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83D31" w:rsidRDefault="006E04A4">
      <w:pPr>
        <w:pStyle w:val="Dokumentbeteckning"/>
        <w:rPr>
          <w:u w:val="single"/>
        </w:rPr>
      </w:pPr>
      <w:r w:rsidRPr="00783D31">
        <w:fldChar w:fldCharType="begin" w:fldLock="1"/>
      </w:r>
      <w:r w:rsidRPr="00783D31">
        <w:instrText xml:space="preserve"> DOCPROPERTY "DocumentYear" </w:instrText>
      </w:r>
      <w:r w:rsidRPr="00783D31">
        <w:fldChar w:fldCharType="separate"/>
      </w:r>
      <w:r w:rsidR="003E05C2" w:rsidRPr="00783D31">
        <w:t>2010/11</w:t>
      </w:r>
      <w:r w:rsidRPr="00783D31">
        <w:fldChar w:fldCharType="end"/>
      </w:r>
      <w:r w:rsidRPr="00783D31">
        <w:t>:</w:t>
      </w:r>
      <w:r w:rsidRPr="00783D31">
        <w:fldChar w:fldCharType="begin" w:fldLock="1"/>
      </w:r>
      <w:r w:rsidRPr="00783D31">
        <w:instrText xml:space="preserve"> DOCPROPERTY "DocumentNumber" </w:instrText>
      </w:r>
      <w:r w:rsidRPr="00783D31">
        <w:fldChar w:fldCharType="separate"/>
      </w:r>
      <w:r w:rsidR="003E05C2" w:rsidRPr="00783D31">
        <w:t>39</w:t>
      </w:r>
      <w:r w:rsidRPr="00783D31">
        <w:fldChar w:fldCharType="end"/>
      </w:r>
    </w:p>
    <w:p w:rsidR="006E04A4" w:rsidRPr="00783D31" w:rsidRDefault="006E04A4">
      <w:pPr>
        <w:pStyle w:val="Datum"/>
        <w:outlineLvl w:val="0"/>
      </w:pPr>
      <w:r w:rsidRPr="00783D31">
        <w:fldChar w:fldCharType="begin" w:fldLock="1"/>
      </w:r>
      <w:r w:rsidRPr="00783D31">
        <w:instrText xml:space="preserve"> DOCPROPERTY "DocumentDate" </w:instrText>
      </w:r>
      <w:r w:rsidRPr="00783D31">
        <w:fldChar w:fldCharType="separate"/>
      </w:r>
      <w:r w:rsidR="003E05C2" w:rsidRPr="00783D31">
        <w:t>Tisdagen den 21 december 2010</w:t>
      </w:r>
      <w:r w:rsidRPr="00783D31">
        <w:fldChar w:fldCharType="end"/>
      </w:r>
      <w:r w:rsidR="00254C1C" w:rsidRPr="00783D31">
        <w:t xml:space="preserve"> (första sammanträdet)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83D31" w:rsidTr="005F6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83D31" w:rsidRDefault="005F612F">
            <w:pPr>
              <w:pStyle w:val="Plenum"/>
              <w:tabs>
                <w:tab w:val="clear" w:pos="1418"/>
              </w:tabs>
            </w:pPr>
            <w:r w:rsidRPr="00783D31">
              <w:t>Kl.</w:t>
            </w:r>
          </w:p>
        </w:tc>
        <w:tc>
          <w:tcPr>
            <w:tcW w:w="851" w:type="dxa"/>
          </w:tcPr>
          <w:p w:rsidR="006E04A4" w:rsidRPr="00783D31" w:rsidRDefault="005F612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83D31">
              <w:t>09.00</w:t>
            </w:r>
          </w:p>
        </w:tc>
        <w:tc>
          <w:tcPr>
            <w:tcW w:w="397" w:type="dxa"/>
          </w:tcPr>
          <w:p w:rsidR="006E04A4" w:rsidRPr="00783D3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83D31" w:rsidRDefault="005F612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783D31">
              <w:rPr>
                <w:sz w:val="24"/>
              </w:rPr>
              <w:t xml:space="preserve">Arbetsplenum </w:t>
            </w:r>
          </w:p>
        </w:tc>
      </w:tr>
      <w:tr w:rsidR="005F612F" w:rsidRPr="00783D31" w:rsidTr="005F6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F612F" w:rsidRPr="00783D31" w:rsidRDefault="005F61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F612F" w:rsidRPr="00783D31" w:rsidRDefault="005F612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F612F" w:rsidRPr="00783D31" w:rsidRDefault="005F61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F612F" w:rsidRPr="00783D31" w:rsidRDefault="005F612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783D31">
              <w:rPr>
                <w:sz w:val="24"/>
              </w:rPr>
              <w:t>Votering</w:t>
            </w:r>
            <w:r w:rsidR="006C66F1" w:rsidRPr="00783D31">
              <w:rPr>
                <w:sz w:val="24"/>
              </w:rPr>
              <w:t xml:space="preserve"> efter debattens slut</w:t>
            </w:r>
          </w:p>
        </w:tc>
      </w:tr>
      <w:tr w:rsidR="005F612F" w:rsidRPr="00783D31" w:rsidTr="005F6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F612F" w:rsidRPr="00783D31" w:rsidRDefault="005F61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F612F" w:rsidRPr="00783D31" w:rsidRDefault="005F612F">
            <w:pPr>
              <w:pStyle w:val="Plenum"/>
              <w:tabs>
                <w:tab w:val="clear" w:pos="1418"/>
              </w:tabs>
              <w:jc w:val="right"/>
            </w:pPr>
            <w:r w:rsidRPr="00783D31">
              <w:t>13.00</w:t>
            </w:r>
          </w:p>
        </w:tc>
        <w:tc>
          <w:tcPr>
            <w:tcW w:w="397" w:type="dxa"/>
          </w:tcPr>
          <w:p w:rsidR="005F612F" w:rsidRPr="00783D31" w:rsidRDefault="005F61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F612F" w:rsidRPr="00783D31" w:rsidRDefault="005F612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783D31">
              <w:rPr>
                <w:sz w:val="24"/>
              </w:rPr>
              <w:t>Återrapportering från Europeiska rådets möte</w:t>
            </w:r>
          </w:p>
        </w:tc>
      </w:tr>
    </w:tbl>
    <w:p w:rsidR="006E04A4" w:rsidRPr="00783D31" w:rsidRDefault="006E04A4">
      <w:pPr>
        <w:pStyle w:val="StreckLngt"/>
      </w:pPr>
      <w:r w:rsidRPr="00783D31">
        <w:tab/>
      </w:r>
    </w:p>
    <w:p w:rsidR="00AD3749" w:rsidRPr="00783D31" w:rsidRDefault="00AD3749" w:rsidP="003675A0">
      <w:pPr>
        <w:pStyle w:val="Blankrad"/>
      </w:pPr>
      <w:r w:rsidRPr="00783D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3749" w:rsidRPr="00783D31" w:rsidTr="00527A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3749" w:rsidRPr="00783D31" w:rsidRDefault="00AD3749" w:rsidP="00527A4D">
            <w:pPr>
              <w:pStyle w:val="HuvudrubrikFlisteNr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HuvudrubrikEnsam"/>
            </w:pPr>
            <w:r w:rsidRPr="00783D31">
              <w:t>Justering av protokoll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HuvudrubrikKolumn3"/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Protokollet från sammanträdet onsdagen den 15 december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</w:p>
        </w:tc>
      </w:tr>
    </w:tbl>
    <w:p w:rsidR="00AD3749" w:rsidRPr="00783D31" w:rsidRDefault="00AD3749" w:rsidP="003675A0">
      <w:pPr>
        <w:pStyle w:val="Blankrad"/>
      </w:pPr>
      <w:r w:rsidRPr="00783D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3749" w:rsidRPr="00783D31" w:rsidTr="00527A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3749" w:rsidRPr="00783D31" w:rsidRDefault="00AD3749" w:rsidP="00527A4D">
            <w:pPr>
              <w:pStyle w:val="HuvudrubrikFlisteNr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HuvudrubrikEnsam"/>
            </w:pPr>
            <w:r w:rsidRPr="00783D31">
              <w:t>Anmälan om kompletteringsval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HuvudrubrikKolumn3"/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Krister Örnfjäder (S) som suppleant i trafikutskottet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</w:p>
        </w:tc>
      </w:tr>
    </w:tbl>
    <w:p w:rsidR="00AD3749" w:rsidRPr="00783D31" w:rsidRDefault="00AD3749" w:rsidP="003675A0">
      <w:pPr>
        <w:pStyle w:val="Blankrad"/>
      </w:pPr>
      <w:r w:rsidRPr="00783D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3749" w:rsidRPr="00783D31" w:rsidTr="00527A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3749" w:rsidRPr="00783D31" w:rsidRDefault="00AD3749" w:rsidP="00527A4D">
            <w:pPr>
              <w:pStyle w:val="HuvudrubrikFlisteNr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HuvudrubrikEnsam"/>
            </w:pPr>
            <w:r w:rsidRPr="00783D31">
              <w:t>Ansökan om ledighet, m.m.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HuvudrubrikKolumn3"/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Jonas Jacobsson (M) fr.o.m. den 4 april 2011 t.o.m. den 22 juni 2011</w:t>
            </w:r>
          </w:p>
          <w:p w:rsidR="00AD3749" w:rsidRPr="00783D31" w:rsidRDefault="00AD3749" w:rsidP="00527A4D">
            <w:r w:rsidRPr="00783D31">
              <w:t>Ersättare Mats Sander (M)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</w:p>
        </w:tc>
      </w:tr>
    </w:tbl>
    <w:p w:rsidR="00AD3749" w:rsidRPr="00783D31" w:rsidRDefault="00AD3749" w:rsidP="003675A0">
      <w:pPr>
        <w:pStyle w:val="Blankrad"/>
      </w:pPr>
      <w:r w:rsidRPr="00783D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3749" w:rsidRPr="00783D31" w:rsidTr="00527A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3749" w:rsidRPr="00783D31" w:rsidRDefault="00AD3749" w:rsidP="00527A4D">
            <w:pPr>
              <w:pStyle w:val="HuvudrubrikFlisteNr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HuvudrubrikEnsam"/>
            </w:pPr>
            <w:bookmarkStart w:id="1" w:name="Start_FördröjdaInterpellationer"/>
            <w:bookmarkEnd w:id="1"/>
            <w:r w:rsidRPr="00783D31">
              <w:t>Anmälan om fördröjt svar på interpellation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HuvudrubrikKolumn3"/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2010/11:127 av Matilda Ernkrans (S)</w:t>
            </w:r>
          </w:p>
          <w:p w:rsidR="00AD3749" w:rsidRPr="00783D31" w:rsidRDefault="00AD3749" w:rsidP="00527A4D">
            <w:r w:rsidRPr="00783D31">
              <w:t>Användandet av överskottet av de svenska utsläppsrätterna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</w:p>
        </w:tc>
      </w:tr>
    </w:tbl>
    <w:p w:rsidR="00AD3749" w:rsidRPr="00783D31" w:rsidRDefault="00AD3749" w:rsidP="003675A0">
      <w:pPr>
        <w:pStyle w:val="Blankrad"/>
      </w:pPr>
      <w:r w:rsidRPr="00783D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3749" w:rsidRPr="00783D31" w:rsidTr="00527A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3749" w:rsidRPr="00783D31" w:rsidRDefault="00AD3749" w:rsidP="00527A4D">
            <w:pPr>
              <w:pStyle w:val="Huvudrubrik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Huvudrubrik"/>
            </w:pPr>
            <w:r w:rsidRPr="00783D31">
              <w:t>Ärenden för hänvisning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HuvudrubrikKolumn3"/>
            </w:pPr>
            <w:r w:rsidRPr="00783D31">
              <w:t>Förslag</w:t>
            </w: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527A4D">
            <w:pPr>
              <w:pStyle w:val="renderubrik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renderubrik"/>
            </w:pPr>
            <w:r w:rsidRPr="00783D31">
              <w:t>EU-dokument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renderubrik"/>
              <w:rPr>
                <w:spacing w:val="-4"/>
              </w:rPr>
            </w:pPr>
          </w:p>
        </w:tc>
      </w:tr>
      <w:tr w:rsidR="006523D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23D9" w:rsidRPr="00783D31" w:rsidRDefault="006523D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523D9" w:rsidRPr="00783D31" w:rsidRDefault="0015085E" w:rsidP="006523D9">
            <w:r w:rsidRPr="00783D31">
              <w:t xml:space="preserve">KOM(2010)608 </w:t>
            </w:r>
            <w:r w:rsidR="006523D9" w:rsidRPr="00783D31">
              <w:t>Meddelande från kommissionen till Europaparlamentet, rådet, Europeiska ekonomiska och sociala kommittén och</w:t>
            </w:r>
            <w:r w:rsidR="00A072FE" w:rsidRPr="00783D31">
              <w:t xml:space="preserve"> </w:t>
            </w:r>
            <w:r w:rsidR="006523D9" w:rsidRPr="00783D31">
              <w:t>Regionkommittén På väg mot en inre marknadsakt</w:t>
            </w:r>
            <w:r w:rsidR="00A83498" w:rsidRPr="00783D31">
              <w:t xml:space="preserve"> </w:t>
            </w:r>
            <w:r w:rsidR="00A072FE" w:rsidRPr="00783D31">
              <w:t>A</w:t>
            </w:r>
            <w:r w:rsidR="006523D9" w:rsidRPr="00783D31">
              <w:t xml:space="preserve">tt skapa en verkligt konkurrenskraftig social marknadsekonomi Femtio förslag för att arbeta, driva företagsverksamhet och handel </w:t>
            </w:r>
            <w:r w:rsidR="00A83498" w:rsidRPr="00783D31">
              <w:t>b</w:t>
            </w:r>
            <w:r w:rsidR="006523D9" w:rsidRPr="00783D31">
              <w:t>ättre tillsammans</w:t>
            </w:r>
          </w:p>
        </w:tc>
        <w:tc>
          <w:tcPr>
            <w:tcW w:w="2481" w:type="dxa"/>
          </w:tcPr>
          <w:p w:rsidR="006523D9" w:rsidRPr="00783D31" w:rsidRDefault="006523D9" w:rsidP="00527A4D">
            <w:pPr>
              <w:rPr>
                <w:spacing w:val="-4"/>
              </w:rPr>
            </w:pPr>
            <w:r w:rsidRPr="00783D31">
              <w:rPr>
                <w:spacing w:val="-4"/>
              </w:rPr>
              <w:t>NU</w:t>
            </w:r>
          </w:p>
        </w:tc>
      </w:tr>
      <w:tr w:rsidR="006523D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23D9" w:rsidRPr="00783D31" w:rsidRDefault="006523D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523D9" w:rsidRPr="00783D31" w:rsidRDefault="0015085E" w:rsidP="006523D9">
            <w:r w:rsidRPr="00783D31">
              <w:t xml:space="preserve">KOM(2010)636 </w:t>
            </w:r>
            <w:r w:rsidR="006523D9" w:rsidRPr="00783D31">
              <w:t>Meddelande från kommissionen till Europaparlamentet,</w:t>
            </w:r>
            <w:r w:rsidR="00A83498" w:rsidRPr="00783D31">
              <w:t xml:space="preserve"> </w:t>
            </w:r>
            <w:r w:rsidR="006523D9" w:rsidRPr="00783D31">
              <w:t>rådet, Europeiska ekonomiska och sociala kommittén och</w:t>
            </w:r>
            <w:r w:rsidR="00A83498" w:rsidRPr="00783D31">
              <w:t xml:space="preserve"> </w:t>
            </w:r>
            <w:r w:rsidR="006523D9" w:rsidRPr="00783D31">
              <w:t>Regionkommittén</w:t>
            </w:r>
            <w:r w:rsidR="00A83498" w:rsidRPr="00783D31">
              <w:t xml:space="preserve"> </w:t>
            </w:r>
            <w:r w:rsidR="006523D9" w:rsidRPr="00783D31">
              <w:t>E</w:t>
            </w:r>
            <w:r w:rsidR="00A83498" w:rsidRPr="00783D31">
              <w:t>U</w:t>
            </w:r>
            <w:r w:rsidR="006523D9" w:rsidRPr="00783D31">
              <w:t>:s handikappstrategi 2010–2020:</w:t>
            </w:r>
            <w:r w:rsidR="00A83498" w:rsidRPr="00783D31">
              <w:t xml:space="preserve"> </w:t>
            </w:r>
            <w:r w:rsidR="006523D9" w:rsidRPr="00783D31">
              <w:t xml:space="preserve">Nya åtgärder för ett hinderfritt samhälle i </w:t>
            </w:r>
            <w:r w:rsidR="00A83498" w:rsidRPr="00783D31">
              <w:t>EU</w:t>
            </w:r>
          </w:p>
        </w:tc>
        <w:tc>
          <w:tcPr>
            <w:tcW w:w="2481" w:type="dxa"/>
          </w:tcPr>
          <w:p w:rsidR="006523D9" w:rsidRPr="00783D31" w:rsidRDefault="00A83498" w:rsidP="00527A4D">
            <w:pPr>
              <w:rPr>
                <w:spacing w:val="-4"/>
              </w:rPr>
            </w:pPr>
            <w:r w:rsidRPr="00783D31">
              <w:rPr>
                <w:spacing w:val="-4"/>
              </w:rPr>
              <w:t>SoU</w:t>
            </w: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KOM(2010)749 Förslag till rådets beslut om ändring av beslut 2004/162/EG när det gäller produkter som kan komma att omfattas av befrielse från eller nedsättning av sjötull</w:t>
            </w:r>
          </w:p>
          <w:p w:rsidR="00AD3749" w:rsidRPr="00783D31" w:rsidRDefault="00AD3749" w:rsidP="00527A4D">
            <w:r w:rsidRPr="00783D31">
              <w:rPr>
                <w:i/>
              </w:rPr>
              <w:t>Åttaveckorsfristen för att avge ett motiverat yttrande går ut den 14 februari 2011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  <w:r w:rsidRPr="00783D31">
              <w:rPr>
                <w:spacing w:val="-4"/>
              </w:rPr>
              <w:t>SkU</w:t>
            </w: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KOM(2010)759 Förslag till Europaparlamentets och rådets förordning om ändring av rådets förordning (EG) nr 834/2007 om ekologisk produktion och märkning av ekologiska produkter</w:t>
            </w:r>
          </w:p>
          <w:p w:rsidR="00AD3749" w:rsidRPr="00783D31" w:rsidRDefault="00AD3749" w:rsidP="00527A4D">
            <w:r w:rsidRPr="00783D31">
              <w:rPr>
                <w:i/>
              </w:rPr>
              <w:t>Åttaveckorsfristen för att avge ett motiverat yttrande går ut den 11 februari 2011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  <w:r w:rsidRPr="00783D31">
              <w:rPr>
                <w:spacing w:val="-4"/>
              </w:rPr>
              <w:t>MJU</w:t>
            </w: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KOM(2010)761 Förslag till Europaparlamentets och rådets förordning om ändring av rådets förordning (EG) nr 485/2008 om medlemsstaternas granskning av de transaktioner som utgör en del av systemet för finansiering genom Europeiska</w:t>
            </w:r>
          </w:p>
          <w:p w:rsidR="00AD3749" w:rsidRPr="00783D31" w:rsidRDefault="00AD3749" w:rsidP="00527A4D">
            <w:r w:rsidRPr="00783D31">
              <w:t>garantifonden för jordbruket</w:t>
            </w:r>
          </w:p>
          <w:p w:rsidR="00AD3749" w:rsidRPr="00783D31" w:rsidRDefault="00AD3749" w:rsidP="00527A4D">
            <w:r w:rsidRPr="00783D31">
              <w:rPr>
                <w:i/>
              </w:rPr>
              <w:t>Åttaveckorsfristen för att avge ett motiverat yttrande går ut den 11 februari 2011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  <w:r w:rsidRPr="00783D31">
              <w:rPr>
                <w:spacing w:val="-4"/>
              </w:rPr>
              <w:t>MJU</w:t>
            </w: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KOM(2010)767 Förslag till Europaparlamentets och rådets förordning (EU) om särskilda åtgärder inom jordbruket till förmån för de mindre Egeiska öarna</w:t>
            </w:r>
          </w:p>
          <w:p w:rsidR="00AD3749" w:rsidRPr="00783D31" w:rsidRDefault="00AD3749" w:rsidP="00527A4D">
            <w:r w:rsidRPr="00783D31">
              <w:rPr>
                <w:i/>
              </w:rPr>
              <w:t>Åttaveckorsfristen för att avge ett motiverat yttrande går ut den 11 februari 2011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  <w:r w:rsidRPr="00783D31">
              <w:rPr>
                <w:spacing w:val="-4"/>
              </w:rPr>
              <w:t>MJU</w:t>
            </w: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KOM(2010)775 Förslag till Europaparlamentets och rådets förordning om antagande av tekniska krav för betalningar och autogireringar i euro och om ändring av förordning (EG) nr 924/2009</w:t>
            </w:r>
          </w:p>
          <w:p w:rsidR="00AD3749" w:rsidRPr="00783D31" w:rsidRDefault="00AD3749" w:rsidP="00527A4D">
            <w:r w:rsidRPr="00783D31">
              <w:rPr>
                <w:i/>
              </w:rPr>
              <w:t>Åttaveckorsfristen för att avge ett motiverat yttrande går ut den 14 februari 2011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  <w:r w:rsidRPr="00783D31">
              <w:rPr>
                <w:spacing w:val="-4"/>
              </w:rPr>
              <w:t>FiU</w:t>
            </w:r>
          </w:p>
        </w:tc>
      </w:tr>
    </w:tbl>
    <w:p w:rsidR="00AD3749" w:rsidRPr="00783D31" w:rsidRDefault="00AD3749" w:rsidP="003675A0">
      <w:pPr>
        <w:pStyle w:val="Blankrad"/>
      </w:pPr>
      <w:r w:rsidRPr="00783D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3749" w:rsidRPr="00783D31" w:rsidTr="00527A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3749" w:rsidRPr="00783D31" w:rsidRDefault="00AD3749" w:rsidP="00527A4D">
            <w:pPr>
              <w:pStyle w:val="HuvudrubrikFlisteNr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HuvudrubrikEnsam"/>
            </w:pPr>
            <w:bookmarkStart w:id="2" w:name="TypRubrik"/>
            <w:bookmarkEnd w:id="2"/>
            <w:r w:rsidRPr="00783D31">
              <w:t>Ärenden för avgörande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HuvudrubrikKolumn3"/>
            </w:pPr>
            <w:r w:rsidRPr="00783D31">
              <w:t>Reservationer</w:t>
            </w: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527A4D">
            <w:pPr>
              <w:pStyle w:val="Underrubrik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Underrubrik"/>
            </w:pPr>
            <w:bookmarkStart w:id="3" w:name="TypUnderrubrik"/>
            <w:bookmarkEnd w:id="3"/>
            <w:r w:rsidRPr="00783D31">
              <w:t>Tidigare slutdebatterade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Underrubrik"/>
              <w:rPr>
                <w:spacing w:val="-4"/>
              </w:rPr>
            </w:pPr>
          </w:p>
        </w:tc>
      </w:tr>
      <w:tr w:rsidR="00E14021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14021" w:rsidRPr="00783D31" w:rsidRDefault="00E14021" w:rsidP="00527A4D">
            <w:pPr>
              <w:pStyle w:val="renderubrik"/>
            </w:pPr>
          </w:p>
        </w:tc>
        <w:tc>
          <w:tcPr>
            <w:tcW w:w="6237" w:type="dxa"/>
          </w:tcPr>
          <w:p w:rsidR="00E14021" w:rsidRPr="00783D31" w:rsidRDefault="00E14021" w:rsidP="00527A4D">
            <w:pPr>
              <w:pStyle w:val="renderubrik"/>
            </w:pPr>
            <w:r w:rsidRPr="00783D31">
              <w:t>Näringsutskottets betänkande</w:t>
            </w:r>
          </w:p>
        </w:tc>
        <w:tc>
          <w:tcPr>
            <w:tcW w:w="2481" w:type="dxa"/>
          </w:tcPr>
          <w:p w:rsidR="00E14021" w:rsidRPr="00783D31" w:rsidRDefault="00E14021" w:rsidP="00527A4D">
            <w:pPr>
              <w:pStyle w:val="renderubrik"/>
              <w:rPr>
                <w:spacing w:val="-4"/>
              </w:rPr>
            </w:pPr>
          </w:p>
        </w:tc>
      </w:tr>
      <w:tr w:rsidR="00E14021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14021" w:rsidRPr="00783D31" w:rsidRDefault="00E14021" w:rsidP="00527A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14021" w:rsidRPr="00783D31" w:rsidRDefault="00E14021" w:rsidP="00527A4D">
            <w:r w:rsidRPr="00783D31">
              <w:t>2010/11:NU2 Utgiftsområde 19 Regional tillväxt</w:t>
            </w:r>
          </w:p>
        </w:tc>
        <w:tc>
          <w:tcPr>
            <w:tcW w:w="2481" w:type="dxa"/>
          </w:tcPr>
          <w:p w:rsidR="00E14021" w:rsidRPr="00783D31" w:rsidRDefault="00E14021" w:rsidP="00527A4D">
            <w:pPr>
              <w:rPr>
                <w:spacing w:val="-4"/>
              </w:rPr>
            </w:pPr>
            <w:r w:rsidRPr="00783D31">
              <w:rPr>
                <w:spacing w:val="-4"/>
              </w:rPr>
              <w:t>8 res. (S,MP,V)</w:t>
            </w: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527A4D">
            <w:pPr>
              <w:pStyle w:val="renderubrik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renderubrik"/>
            </w:pPr>
            <w:r w:rsidRPr="00783D31">
              <w:t>Utbildningsutskottets betänkanden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renderubrik"/>
              <w:rPr>
                <w:spacing w:val="-4"/>
              </w:rPr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527A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2010/11:UbU2 Utgiftsområde 15 Studiestöd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527A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200/11:UbU3 Betyg från årskurs 6 i grundskolan m.m.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  <w:r w:rsidRPr="00783D31">
              <w:rPr>
                <w:spacing w:val="-4"/>
              </w:rPr>
              <w:t>6 res. (S,MP,SD,V)</w:t>
            </w:r>
          </w:p>
        </w:tc>
      </w:tr>
    </w:tbl>
    <w:p w:rsidR="00AD3749" w:rsidRPr="00783D31" w:rsidRDefault="00AD3749" w:rsidP="003675A0">
      <w:pPr>
        <w:pStyle w:val="Blankrad"/>
      </w:pPr>
      <w:bookmarkStart w:id="4" w:name="StartText"/>
      <w:bookmarkEnd w:id="4"/>
      <w:r w:rsidRPr="00783D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3749" w:rsidRPr="00783D31" w:rsidTr="00527A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3749" w:rsidRPr="00783D31" w:rsidRDefault="00AD3749" w:rsidP="00527A4D">
            <w:pPr>
              <w:pStyle w:val="HuvudrubrikFlisteNr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Huvudrubrik"/>
            </w:pPr>
            <w:bookmarkStart w:id="5" w:name="Start_Ärendenfördebattochavgörande"/>
            <w:bookmarkEnd w:id="5"/>
            <w:r w:rsidRPr="00783D31">
              <w:t>Ärenden för debatt och avgörande</w:t>
            </w:r>
            <w:r w:rsidRPr="00783D31">
              <w:br/>
              <w:t>efter debattens slut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HuvudrubrikKolumn3"/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527A4D">
            <w:pPr>
              <w:pStyle w:val="renderubrik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renderubrik"/>
            </w:pPr>
            <w:r w:rsidRPr="00783D31">
              <w:t>Trafikutskottets betänkande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renderubrik"/>
              <w:rPr>
                <w:spacing w:val="-4"/>
              </w:rPr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2010/11:TU1 Utgiftsområde 22 Kommunikationer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  <w:r w:rsidRPr="00783D31">
              <w:rPr>
                <w:spacing w:val="-4"/>
              </w:rPr>
              <w:t>7 res. (S,MP,V)</w:t>
            </w: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527A4D">
            <w:pPr>
              <w:pStyle w:val="renderubrik"/>
            </w:pPr>
          </w:p>
        </w:tc>
        <w:tc>
          <w:tcPr>
            <w:tcW w:w="6237" w:type="dxa"/>
          </w:tcPr>
          <w:p w:rsidR="00AD3749" w:rsidRPr="00783D31" w:rsidRDefault="00AD3749" w:rsidP="00527A4D">
            <w:pPr>
              <w:pStyle w:val="renderubrik"/>
            </w:pPr>
            <w:r w:rsidRPr="00783D31">
              <w:t>Finansutskottets betänkanden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renderubrik"/>
              <w:rPr>
                <w:spacing w:val="-4"/>
              </w:rPr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2010/11:FiU2 Utgiftsområde 2 Samhällsekonomi och finansförvaltning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2010/11:FiU3 Utgiftsområde 25 Allmänna bidrag till kommuner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2010/11:FiU4 Utgiftsområde 26 Statsskuldsräntor m.m.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2010/11:FiU5 Utgiftsområde 27 Avgiften till Europeiska unionen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  <w:r w:rsidRPr="00783D31">
              <w:rPr>
                <w:spacing w:val="-4"/>
              </w:rPr>
              <w:t>1 res. (MP)</w:t>
            </w:r>
          </w:p>
        </w:tc>
      </w:tr>
    </w:tbl>
    <w:p w:rsidR="00AD3749" w:rsidRPr="00783D31" w:rsidRDefault="00AD3749" w:rsidP="003675A0">
      <w:pPr>
        <w:pStyle w:val="Blankrad"/>
      </w:pPr>
      <w:r w:rsidRPr="00783D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3749" w:rsidRPr="00783D31" w:rsidTr="00527A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3749" w:rsidRPr="00783D31" w:rsidRDefault="00AD3749" w:rsidP="00527A4D">
            <w:pPr>
              <w:pStyle w:val="HuvudrubrikFlisteNr"/>
            </w:pPr>
          </w:p>
        </w:tc>
        <w:tc>
          <w:tcPr>
            <w:tcW w:w="6237" w:type="dxa"/>
          </w:tcPr>
          <w:p w:rsidR="00AD3749" w:rsidRPr="00783D31" w:rsidRDefault="00877399" w:rsidP="00527A4D">
            <w:pPr>
              <w:pStyle w:val="HuvudrubrikEnsam"/>
            </w:pPr>
            <w:r w:rsidRPr="00783D31">
              <w:t>Återrapportering från E</w:t>
            </w:r>
            <w:r w:rsidR="00AD3749" w:rsidRPr="00783D31">
              <w:t>uropeiska rådets möte kl. 13.00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pStyle w:val="HuvudrubrikKolumn3"/>
            </w:pPr>
          </w:p>
        </w:tc>
      </w:tr>
      <w:tr w:rsidR="00AD3749" w:rsidRPr="00783D31" w:rsidTr="00527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3749" w:rsidRPr="00783D31" w:rsidRDefault="00AD3749" w:rsidP="00AD37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3749" w:rsidRPr="00783D31" w:rsidRDefault="00AD3749" w:rsidP="00527A4D">
            <w:r w:rsidRPr="00783D31">
              <w:t>Statsminister Fredrik Reinfeldt (M) återrapporterar från Europeiska rådets möte den 16-17 december</w:t>
            </w:r>
          </w:p>
        </w:tc>
        <w:tc>
          <w:tcPr>
            <w:tcW w:w="2481" w:type="dxa"/>
          </w:tcPr>
          <w:p w:rsidR="00AD3749" w:rsidRPr="00783D31" w:rsidRDefault="00AD3749" w:rsidP="00527A4D">
            <w:pPr>
              <w:rPr>
                <w:spacing w:val="-4"/>
              </w:rPr>
            </w:pPr>
          </w:p>
        </w:tc>
      </w:tr>
    </w:tbl>
    <w:p w:rsidR="00AD3749" w:rsidRPr="00783D31" w:rsidRDefault="00AD3749" w:rsidP="003675A0">
      <w:pPr>
        <w:pStyle w:val="Blankrad"/>
      </w:pPr>
      <w:r w:rsidRPr="00783D31">
        <w:t>     </w:t>
      </w:r>
    </w:p>
    <w:p w:rsidR="00AD3749" w:rsidRPr="00783D31" w:rsidRDefault="00AD3749" w:rsidP="003675A0">
      <w:pPr>
        <w:pStyle w:val="Blankrad"/>
      </w:pPr>
      <w:bookmarkStart w:id="6" w:name="Start"/>
      <w:bookmarkEnd w:id="6"/>
      <w:r w:rsidRPr="00783D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83D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83D3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83D31" w:rsidRDefault="006E04A4" w:rsidP="00D016E9">
            <w:pPr>
              <w:pStyle w:val="StreckMitten"/>
            </w:pPr>
            <w:r w:rsidRPr="00783D31">
              <w:tab/>
            </w:r>
            <w:r w:rsidRPr="00783D31">
              <w:tab/>
            </w:r>
          </w:p>
        </w:tc>
      </w:tr>
    </w:tbl>
    <w:p w:rsidR="006E04A4" w:rsidRPr="00783D31" w:rsidRDefault="006E04A4" w:rsidP="003675A0">
      <w:pPr>
        <w:pStyle w:val="Blankrad"/>
      </w:pPr>
    </w:p>
    <w:sectPr w:rsidR="006E04A4" w:rsidRPr="00783D3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A4D" w:rsidRPr="00783D31" w:rsidRDefault="00527A4D">
      <w:r w:rsidRPr="00783D31">
        <w:separator/>
      </w:r>
    </w:p>
  </w:endnote>
  <w:endnote w:type="continuationSeparator" w:id="0">
    <w:p w:rsidR="00527A4D" w:rsidRPr="00783D31" w:rsidRDefault="00527A4D">
      <w:r w:rsidRPr="00783D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ABB" w:rsidRPr="00783D31" w:rsidRDefault="007B3ABB">
    <w:pPr>
      <w:pStyle w:val="Sidhuvud"/>
      <w:jc w:val="center"/>
    </w:pPr>
    <w:r w:rsidRPr="00783D31">
      <w:fldChar w:fldCharType="begin" w:fldLock="1"/>
    </w:r>
    <w:r w:rsidRPr="00783D31">
      <w:instrText xml:space="preserve"> PAGE </w:instrText>
    </w:r>
    <w:r w:rsidRPr="00783D31">
      <w:fldChar w:fldCharType="separate"/>
    </w:r>
    <w:r w:rsidR="003C0583" w:rsidRPr="00783D31">
      <w:t>3</w:t>
    </w:r>
    <w:r w:rsidRPr="00783D31">
      <w:fldChar w:fldCharType="end"/>
    </w:r>
    <w:r w:rsidRPr="00783D31">
      <w:t xml:space="preserve"> (</w:t>
    </w:r>
    <w:r w:rsidRPr="00783D31">
      <w:fldChar w:fldCharType="begin" w:fldLock="1"/>
    </w:r>
    <w:r w:rsidRPr="00783D31">
      <w:instrText xml:space="preserve"> NUMPAGES </w:instrText>
    </w:r>
    <w:r w:rsidRPr="00783D31">
      <w:fldChar w:fldCharType="separate"/>
    </w:r>
    <w:r w:rsidR="003C0583" w:rsidRPr="00783D31">
      <w:t>3</w:t>
    </w:r>
    <w:r w:rsidRPr="00783D31">
      <w:fldChar w:fldCharType="end"/>
    </w:r>
    <w:r w:rsidRPr="00783D31">
      <w:t>)</w:t>
    </w:r>
  </w:p>
  <w:p w:rsidR="007B3ABB" w:rsidRPr="00783D31" w:rsidRDefault="007B3A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ABB" w:rsidRPr="00783D31" w:rsidRDefault="007B3ABB">
    <w:pPr>
      <w:pStyle w:val="Sidhuvud"/>
      <w:jc w:val="center"/>
    </w:pPr>
    <w:r w:rsidRPr="00783D31">
      <w:fldChar w:fldCharType="begin" w:fldLock="1"/>
    </w:r>
    <w:r w:rsidRPr="00783D31">
      <w:instrText xml:space="preserve"> PAGE </w:instrText>
    </w:r>
    <w:r w:rsidRPr="00783D31">
      <w:fldChar w:fldCharType="separate"/>
    </w:r>
    <w:r w:rsidR="00527A4D" w:rsidRPr="00783D31">
      <w:t>1</w:t>
    </w:r>
    <w:r w:rsidRPr="00783D31">
      <w:fldChar w:fldCharType="end"/>
    </w:r>
    <w:r w:rsidRPr="00783D31">
      <w:t xml:space="preserve"> (</w:t>
    </w:r>
    <w:r w:rsidRPr="00783D31">
      <w:fldChar w:fldCharType="begin" w:fldLock="1"/>
    </w:r>
    <w:r w:rsidRPr="00783D31">
      <w:instrText xml:space="preserve"> NUMPAGES </w:instrText>
    </w:r>
    <w:r w:rsidRPr="00783D31">
      <w:fldChar w:fldCharType="separate"/>
    </w:r>
    <w:r w:rsidR="003E05C2" w:rsidRPr="00783D31">
      <w:t>3</w:t>
    </w:r>
    <w:r w:rsidRPr="00783D31">
      <w:fldChar w:fldCharType="end"/>
    </w:r>
    <w:r w:rsidRPr="00783D31">
      <w:t>)</w:t>
    </w:r>
  </w:p>
  <w:p w:rsidR="007B3ABB" w:rsidRPr="00783D31" w:rsidRDefault="007B3A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A4D" w:rsidRPr="00783D31" w:rsidRDefault="00527A4D">
      <w:r w:rsidRPr="00783D31">
        <w:separator/>
      </w:r>
    </w:p>
  </w:footnote>
  <w:footnote w:type="continuationSeparator" w:id="0">
    <w:p w:rsidR="00527A4D" w:rsidRPr="00783D31" w:rsidRDefault="00527A4D">
      <w:r w:rsidRPr="00783D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ABB" w:rsidRPr="00783D31" w:rsidRDefault="007B3ABB">
    <w:pPr>
      <w:pStyle w:val="Sidhuvud"/>
      <w:tabs>
        <w:tab w:val="clear" w:pos="4536"/>
      </w:tabs>
    </w:pPr>
    <w:r w:rsidRPr="00783D31">
      <w:fldChar w:fldCharType="begin" w:fldLock="1"/>
    </w:r>
    <w:r w:rsidRPr="00783D31">
      <w:instrText xml:space="preserve"> DOCPROPERTY "DocumentDate" </w:instrText>
    </w:r>
    <w:r w:rsidRPr="00783D31">
      <w:fldChar w:fldCharType="separate"/>
    </w:r>
    <w:r w:rsidR="003E05C2" w:rsidRPr="00783D31">
      <w:t>Tisdagen den 21 december 2010</w:t>
    </w:r>
    <w:r w:rsidRPr="00783D31">
      <w:fldChar w:fldCharType="end"/>
    </w:r>
    <w:r w:rsidRPr="00783D31">
      <w:tab/>
    </w:r>
  </w:p>
  <w:p w:rsidR="007B3ABB" w:rsidRPr="00783D31" w:rsidRDefault="007B3A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83D31">
      <w:rPr>
        <w:sz w:val="12"/>
      </w:rPr>
      <w:tab/>
    </w:r>
  </w:p>
  <w:p w:rsidR="007B3ABB" w:rsidRPr="00783D31" w:rsidRDefault="007B3ABB"/>
  <w:p w:rsidR="007B3ABB" w:rsidRPr="00783D31" w:rsidRDefault="007B3A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ABB" w:rsidRPr="00783D31" w:rsidRDefault="00783D3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83D3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ABB" w:rsidRPr="00783D31" w:rsidRDefault="007B3ABB">
    <w:pPr>
      <w:pStyle w:val="Dokumentrubrik"/>
      <w:spacing w:after="360"/>
    </w:pPr>
    <w:r w:rsidRPr="00783D31">
      <w:t>Föredragningslista</w:t>
    </w:r>
  </w:p>
  <w:p w:rsidR="007B3ABB" w:rsidRPr="00783D31" w:rsidRDefault="007B3A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51336817">
    <w:abstractNumId w:val="5"/>
  </w:num>
  <w:num w:numId="2" w16cid:durableId="1750929553">
    <w:abstractNumId w:val="2"/>
  </w:num>
  <w:num w:numId="3" w16cid:durableId="1002969446">
    <w:abstractNumId w:val="4"/>
  </w:num>
  <w:num w:numId="4" w16cid:durableId="284820159">
    <w:abstractNumId w:val="1"/>
  </w:num>
  <w:num w:numId="5" w16cid:durableId="16081724">
    <w:abstractNumId w:val="0"/>
  </w:num>
  <w:num w:numId="6" w16cid:durableId="1247154422">
    <w:abstractNumId w:val="3"/>
  </w:num>
  <w:num w:numId="7" w16cid:durableId="1694914957">
    <w:abstractNumId w:val="3"/>
  </w:num>
  <w:num w:numId="8" w16cid:durableId="1177886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31C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2D85"/>
    <w:rsid w:val="00135D30"/>
    <w:rsid w:val="00143D28"/>
    <w:rsid w:val="00146992"/>
    <w:rsid w:val="0014779C"/>
    <w:rsid w:val="00147F56"/>
    <w:rsid w:val="0015085E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06CA8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4C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0583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5C2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26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A4D"/>
    <w:rsid w:val="005315B3"/>
    <w:rsid w:val="00533A3C"/>
    <w:rsid w:val="00536033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612F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3D9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C66F1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83D31"/>
    <w:rsid w:val="00796C1C"/>
    <w:rsid w:val="00797ED8"/>
    <w:rsid w:val="007A090E"/>
    <w:rsid w:val="007A0BF3"/>
    <w:rsid w:val="007A12F0"/>
    <w:rsid w:val="007A3C83"/>
    <w:rsid w:val="007A5D21"/>
    <w:rsid w:val="007B01A2"/>
    <w:rsid w:val="007B3ABB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31CF"/>
    <w:rsid w:val="008240AC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77399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BAC"/>
    <w:rsid w:val="00993C2E"/>
    <w:rsid w:val="009965C3"/>
    <w:rsid w:val="009A350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1EC0"/>
    <w:rsid w:val="00A020C6"/>
    <w:rsid w:val="00A047C8"/>
    <w:rsid w:val="00A06675"/>
    <w:rsid w:val="00A072FE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3498"/>
    <w:rsid w:val="00A87597"/>
    <w:rsid w:val="00A936C6"/>
    <w:rsid w:val="00AA1BD1"/>
    <w:rsid w:val="00AA23B0"/>
    <w:rsid w:val="00AA4806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3749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1640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5547"/>
    <w:rsid w:val="00D76DAF"/>
    <w:rsid w:val="00D77FF8"/>
    <w:rsid w:val="00D80B4A"/>
    <w:rsid w:val="00D82BA7"/>
    <w:rsid w:val="00D852CE"/>
    <w:rsid w:val="00D923F2"/>
    <w:rsid w:val="00D93CC8"/>
    <w:rsid w:val="00D96321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A29"/>
    <w:rsid w:val="00DD7E13"/>
    <w:rsid w:val="00DE198B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4021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21CF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BCA9B7-D4C3-4324-AF4F-2314CD31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315B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497</Words>
  <Characters>3194</Characters>
  <Application>Microsoft Office Word</Application>
  <DocSecurity>4</DocSecurity>
  <Lines>187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2010/11:39</vt:lpstr>
      <vt:lpstr>Tisdagen den 21 december 2010 (första sammanträdet)</vt:lpstr>
    </vt:vector>
  </TitlesOfParts>
  <Company>Riksdagen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2010-12-20T15:17:00Z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21 december 2010</vt:lpwstr>
  </property>
  <property fmtid="{D5CDD505-2E9C-101B-9397-08002B2CF9AE}" pid="3" name="DocumentNumber">
    <vt:lpwstr>39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2010-12-21</vt:lpwstr>
  </property>
  <property fmtid="{D5CDD505-2E9C-101B-9397-08002B2CF9AE}" pid="7" name="DatumAvgörande">
    <vt:lpwstr>2010-12-21</vt:lpwstr>
  </property>
</Properties>
</file>