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3012"/>
        <w:gridCol w:w="1559"/>
      </w:tblGrid>
      <w:tr w:rsidR="00000000" w:rsidRPr="00A05E14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6024" w:type="dxa"/>
            <w:gridSpan w:val="2"/>
            <w:vMerge w:val="restart"/>
          </w:tcPr>
          <w:p w:rsidR="002278C8" w:rsidRPr="00A05E14" w:rsidRDefault="002278C8">
            <w:pPr>
              <w:pStyle w:val="HuvudRubrik"/>
            </w:pPr>
            <w:bookmarkStart w:id="0" w:name="BetänkandeRubrik"/>
            <w:bookmarkEnd w:id="0"/>
            <w:r w:rsidRPr="00A05E14">
              <w:t>Justitieutskottets betänkande</w:t>
            </w:r>
            <w:r w:rsidR="00A05E14" w:rsidRPr="00A05E1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page">
                        <wp:posOffset>4608830</wp:posOffset>
                      </wp:positionH>
                      <wp:positionV relativeFrom="page">
                        <wp:posOffset>198120</wp:posOffset>
                      </wp:positionV>
                      <wp:extent cx="1150620" cy="981075"/>
                      <wp:effectExtent l="0" t="0" r="0" b="0"/>
                      <wp:wrapNone/>
                      <wp:docPr id="134504703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0620" cy="981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bookmarkStart w:id="1" w:name="_MON_929452563"/>
                                <w:bookmarkStart w:id="2" w:name="_MON_929529912"/>
                                <w:bookmarkStart w:id="3" w:name="_MON_932818888"/>
                                <w:bookmarkStart w:id="4" w:name="_MON_947076358"/>
                                <w:bookmarkStart w:id="5" w:name="_MON_947165881"/>
                                <w:bookmarkStart w:id="6" w:name="_MON_968067888"/>
                                <w:bookmarkStart w:id="7" w:name="_MON_968068624"/>
                                <w:bookmarkStart w:id="8" w:name="_MON_973953492"/>
                                <w:bookmarkEnd w:id="1"/>
                                <w:bookmarkEnd w:id="2"/>
                                <w:bookmarkEnd w:id="3"/>
                                <w:bookmarkEnd w:id="4"/>
                                <w:bookmarkEnd w:id="5"/>
                                <w:bookmarkEnd w:id="6"/>
                                <w:bookmarkEnd w:id="7"/>
                                <w:bookmarkEnd w:id="8"/>
                                <w:p w:rsidR="002278C8" w:rsidRPr="00A05E14" w:rsidRDefault="002278C8">
                                  <w:pPr>
                                    <w:pStyle w:val="Logo"/>
                                  </w:pPr>
                                  <w:r w:rsidRPr="00A05E14">
                                    <w:object w:dxaOrig="840" w:dyaOrig="1545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5" type="#_x0000_t75" style="width:90.45pt;height:77.15pt" fillcolor="window">
                                        <v:imagedata r:id="rId6" o:title="" cropright="-75835f"/>
                                      </v:shape>
                                      <o:OLEObject Type="Embed" ProgID="Word.Picture.8" ShapeID="_x0000_i1025" DrawAspect="Content" ObjectID="_1827349394" r:id="rId7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62.9pt;margin-top:15.6pt;width:90.6pt;height:77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" o:allowincell="f" stroked="f">
                      <v:textbox inset="0,0,0,0">
                        <w:txbxContent>
                          <w:bookmarkStart w:id="9" w:name="_MON_929452563"/>
                          <w:bookmarkStart w:id="10" w:name="_MON_929529912"/>
                          <w:bookmarkStart w:id="11" w:name="_MON_932818888"/>
                          <w:bookmarkStart w:id="12" w:name="_MON_947076358"/>
                          <w:bookmarkStart w:id="13" w:name="_MON_947165881"/>
                          <w:bookmarkStart w:id="14" w:name="_MON_968067888"/>
                          <w:bookmarkStart w:id="15" w:name="_MON_968068624"/>
                          <w:bookmarkStart w:id="16" w:name="_MON_973953492"/>
                          <w:bookmarkEnd w:id="9"/>
                          <w:bookmarkEnd w:id="10"/>
                          <w:bookmarkEnd w:id="11"/>
                          <w:bookmarkEnd w:id="12"/>
                          <w:bookmarkEnd w:id="13"/>
                          <w:bookmarkEnd w:id="14"/>
                          <w:bookmarkEnd w:id="15"/>
                          <w:bookmarkEnd w:id="16"/>
                          <w:p w:rsidR="002278C8" w:rsidRPr="00A05E14" w:rsidRDefault="002278C8">
                            <w:pPr>
                              <w:pStyle w:val="Logo"/>
                            </w:pPr>
                            <w:r w:rsidRPr="00A05E14">
                              <w:object w:dxaOrig="840" w:dyaOrig="1545">
                                <v:shape id="_x0000_i1025" type="#_x0000_t75" style="width:90.45pt;height:77.15pt" fillcolor="window">
                                  <v:imagedata r:id="rId6" o:title="" cropright="-75835f"/>
                                </v:shape>
                                <o:OLEObject Type="Embed" ProgID="Word.Picture.8" ShapeID="_x0000_i1025" DrawAspect="Content" ObjectID="_1827349394" r:id="rId8"/>
                              </w:objec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:rsidR="002278C8" w:rsidRPr="00A05E14" w:rsidRDefault="002278C8">
            <w:pPr>
              <w:pStyle w:val="HuvudRubrikRad2"/>
            </w:pPr>
            <w:bookmarkStart w:id="17" w:name="BetänkandeNr"/>
            <w:bookmarkEnd w:id="17"/>
            <w:r w:rsidRPr="00A05E14">
              <w:t>2000/01:JuU3</w:t>
            </w:r>
          </w:p>
          <w:p w:rsidR="002278C8" w:rsidRPr="00A05E14" w:rsidRDefault="002278C8">
            <w:pPr>
              <w:pStyle w:val="BetnkandeRubrik"/>
            </w:pPr>
            <w:bookmarkStart w:id="18" w:name="Huvudrubrik"/>
            <w:bookmarkEnd w:id="18"/>
            <w:r w:rsidRPr="00A05E14">
              <w:t>Penningtvätt</w:t>
            </w:r>
          </w:p>
        </w:tc>
        <w:tc>
          <w:tcPr>
            <w:tcW w:w="1559" w:type="dxa"/>
            <w:tcBorders>
              <w:bottom w:val="nil"/>
            </w:tcBorders>
          </w:tcPr>
          <w:p w:rsidR="002278C8" w:rsidRPr="00A05E14" w:rsidRDefault="002278C8">
            <w:pPr>
              <w:spacing w:before="0" w:line="230" w:lineRule="auto"/>
              <w:rPr>
                <w:sz w:val="24"/>
              </w:rPr>
            </w:pPr>
          </w:p>
        </w:tc>
      </w:tr>
      <w:tr w:rsidR="00000000" w:rsidRPr="00A05E14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6024" w:type="dxa"/>
            <w:gridSpan w:val="2"/>
            <w:vMerge/>
            <w:tcBorders>
              <w:top w:val="nil"/>
              <w:bottom w:val="nil"/>
            </w:tcBorders>
          </w:tcPr>
          <w:p w:rsidR="002278C8" w:rsidRPr="00A05E14" w:rsidRDefault="002278C8">
            <w:pPr>
              <w:spacing w:before="40" w:after="900" w:line="280" w:lineRule="exact"/>
              <w:jc w:val="left"/>
              <w:rPr>
                <w:sz w:val="28"/>
              </w:rPr>
            </w:pPr>
          </w:p>
        </w:tc>
        <w:tc>
          <w:tcPr>
            <w:tcW w:w="1559" w:type="dxa"/>
          </w:tcPr>
          <w:p w:rsidR="002278C8" w:rsidRPr="00A05E14" w:rsidRDefault="002278C8">
            <w:pPr>
              <w:pStyle w:val="rtal"/>
            </w:pPr>
            <w:r w:rsidRPr="00A05E14">
              <w:t>2000/01</w:t>
            </w:r>
          </w:p>
        </w:tc>
      </w:tr>
      <w:tr w:rsidR="00000000" w:rsidRPr="00A05E1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6024" w:type="dxa"/>
            <w:gridSpan w:val="2"/>
            <w:vMerge/>
            <w:tcBorders>
              <w:top w:val="nil"/>
              <w:bottom w:val="single" w:sz="6" w:space="0" w:color="auto"/>
            </w:tcBorders>
          </w:tcPr>
          <w:p w:rsidR="002278C8" w:rsidRPr="00A05E14" w:rsidRDefault="002278C8">
            <w:pPr>
              <w:spacing w:before="40" w:after="900" w:line="280" w:lineRule="exact"/>
              <w:jc w:val="left"/>
              <w:rPr>
                <w:sz w:val="28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2278C8" w:rsidRPr="00A05E14" w:rsidRDefault="002278C8">
            <w:pPr>
              <w:pStyle w:val="rtal"/>
            </w:pPr>
            <w:r w:rsidRPr="00A05E14">
              <w:t>JuU3</w:t>
            </w:r>
          </w:p>
        </w:tc>
      </w:tr>
      <w:tr w:rsidR="00000000" w:rsidRPr="00A05E14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3012" w:type="dxa"/>
          </w:tcPr>
          <w:p w:rsidR="002278C8" w:rsidRPr="00A05E14" w:rsidRDefault="002278C8">
            <w:pPr>
              <w:pStyle w:val="StatusSida1"/>
            </w:pPr>
          </w:p>
        </w:tc>
        <w:tc>
          <w:tcPr>
            <w:tcW w:w="3012" w:type="dxa"/>
          </w:tcPr>
          <w:p w:rsidR="002278C8" w:rsidRPr="00A05E14" w:rsidRDefault="002278C8">
            <w:pPr>
              <w:pStyle w:val="UtskriftsdatumSida1"/>
              <w:rPr>
                <w:b/>
                <w:sz w:val="28"/>
              </w:rPr>
            </w:pPr>
          </w:p>
        </w:tc>
        <w:tc>
          <w:tcPr>
            <w:tcW w:w="1559" w:type="dxa"/>
          </w:tcPr>
          <w:p w:rsidR="002278C8" w:rsidRPr="00A05E14" w:rsidRDefault="002278C8"/>
        </w:tc>
      </w:tr>
    </w:tbl>
    <w:p w:rsidR="002278C8" w:rsidRPr="00A05E14" w:rsidRDefault="002278C8">
      <w:pPr>
        <w:pStyle w:val="Rubrik1"/>
        <w:spacing w:before="0"/>
      </w:pPr>
      <w:bookmarkStart w:id="19" w:name="Textstart"/>
      <w:bookmarkStart w:id="20" w:name="_Toc476043054"/>
      <w:bookmarkStart w:id="21" w:name="_Toc496671335"/>
      <w:bookmarkEnd w:id="19"/>
      <w:r w:rsidRPr="00A05E14">
        <w:t>Sammanfattning</w:t>
      </w:r>
      <w:bookmarkEnd w:id="20"/>
      <w:bookmarkEnd w:id="21"/>
    </w:p>
    <w:p w:rsidR="002278C8" w:rsidRPr="00A05E14" w:rsidRDefault="002278C8">
      <w:r w:rsidRPr="00A05E14">
        <w:t>I detta betänkande behandlar utskottet ett regeringsförslag som innebär att penningtvättslagen utvidgas till att omfatta all yrkesmässig betalningsöverf</w:t>
      </w:r>
      <w:r w:rsidRPr="00A05E14">
        <w:t>ö</w:t>
      </w:r>
      <w:r w:rsidRPr="00A05E14">
        <w:t>ring. Lagändringarna föreslås träda i kraft den 1 januari 2001.</w:t>
      </w:r>
    </w:p>
    <w:p w:rsidR="002278C8" w:rsidRPr="00A05E14" w:rsidRDefault="002278C8">
      <w:pPr>
        <w:pStyle w:val="Normaltindrag"/>
      </w:pPr>
      <w:r w:rsidRPr="00A05E14">
        <w:t xml:space="preserve">Utskottet tillstyrker regeringens förslag. </w:t>
      </w:r>
    </w:p>
    <w:p w:rsidR="002278C8" w:rsidRPr="00A05E14" w:rsidRDefault="002278C8">
      <w:pPr>
        <w:pStyle w:val="Rubrik1"/>
      </w:pPr>
      <w:bookmarkStart w:id="22" w:name="_Toc496671336"/>
      <w:r w:rsidRPr="00A05E14">
        <w:t>Propositionen</w:t>
      </w:r>
      <w:bookmarkEnd w:id="22"/>
    </w:p>
    <w:p w:rsidR="002278C8" w:rsidRPr="00A05E14" w:rsidRDefault="002278C8">
      <w:r w:rsidRPr="00A05E14">
        <w:t>I proposition 1999/2000:145 har regeringen (Finansdepartementet) föreslagit att riksdagen antar regeringens fö</w:t>
      </w:r>
      <w:r w:rsidRPr="00A05E14">
        <w:t>r</w:t>
      </w:r>
      <w:r w:rsidRPr="00A05E14">
        <w:t>slag till</w:t>
      </w:r>
    </w:p>
    <w:p w:rsidR="002278C8" w:rsidRPr="00A05E14" w:rsidRDefault="002278C8">
      <w:pPr>
        <w:pStyle w:val="Normaltindrag"/>
      </w:pPr>
      <w:r w:rsidRPr="00A05E14">
        <w:t xml:space="preserve">1. lag om ändring i valutaväxlingslagen (1996:1006), </w:t>
      </w:r>
    </w:p>
    <w:p w:rsidR="002278C8" w:rsidRPr="00A05E14" w:rsidRDefault="002278C8">
      <w:pPr>
        <w:pStyle w:val="Normaltindrag"/>
      </w:pPr>
      <w:r w:rsidRPr="00A05E14">
        <w:t xml:space="preserve">2. lag om ändring i lagen (1993:768) om åtgärder mot penningtvätt, </w:t>
      </w:r>
    </w:p>
    <w:p w:rsidR="002278C8" w:rsidRPr="00A05E14" w:rsidRDefault="002278C8">
      <w:pPr>
        <w:pStyle w:val="Normaltindrag"/>
      </w:pPr>
      <w:r w:rsidRPr="00A05E14">
        <w:t xml:space="preserve">3. lag om ändring i sekretesslagen (1980:100), </w:t>
      </w:r>
    </w:p>
    <w:p w:rsidR="002278C8" w:rsidRPr="00A05E14" w:rsidRDefault="002278C8">
      <w:pPr>
        <w:pStyle w:val="Normaltindrag"/>
      </w:pPr>
      <w:r w:rsidRPr="00A05E14">
        <w:t xml:space="preserve">4. lag om ändring i prisinformationslagen (1991:601).  </w:t>
      </w:r>
    </w:p>
    <w:p w:rsidR="002278C8" w:rsidRPr="00A05E14" w:rsidRDefault="002278C8">
      <w:pPr>
        <w:pStyle w:val="Normaltindrag"/>
      </w:pPr>
      <w:r w:rsidRPr="00A05E14">
        <w:t>Lagförslagen, som har granskats av Lagrådet, har fogats till betänkandet, se bilaga.</w:t>
      </w:r>
    </w:p>
    <w:p w:rsidR="002278C8" w:rsidRPr="00A05E14" w:rsidRDefault="002278C8">
      <w:pPr>
        <w:pStyle w:val="Rubrik1"/>
      </w:pPr>
      <w:bookmarkStart w:id="23" w:name="_Toc496671337"/>
      <w:r w:rsidRPr="00A05E14">
        <w:t>Utskottet</w:t>
      </w:r>
      <w:bookmarkEnd w:id="23"/>
    </w:p>
    <w:p w:rsidR="002278C8" w:rsidRPr="00A05E14" w:rsidRDefault="002278C8">
      <w:r w:rsidRPr="00A05E14">
        <w:t>Regeringens förslag grundar sig på en promemoria, Penningtvätt och beta</w:t>
      </w:r>
      <w:r w:rsidRPr="00A05E14">
        <w:t>l</w:t>
      </w:r>
      <w:r w:rsidRPr="00A05E14">
        <w:t>ningsöverföring, som utarbetats inom Finansdepartementet. Promemorian har remissbehandlats. Remissyttrandena finns tillgängliga på Finansdepart</w:t>
      </w:r>
      <w:r w:rsidRPr="00A05E14">
        <w:t>e</w:t>
      </w:r>
      <w:r w:rsidRPr="00A05E14">
        <w:t>mentet (dnr Fi2000/650). Det kan också nämnas att regeringens förslag li</w:t>
      </w:r>
      <w:r w:rsidRPr="00A05E14">
        <w:t>g</w:t>
      </w:r>
      <w:r w:rsidRPr="00A05E14">
        <w:t>ger i linje med ett förslag till skärpning av EG-direktivet mot penningtvätt om vilket politisk enighet nåddes vid Ekofin-rådets möte den 29 september 2000.</w:t>
      </w:r>
    </w:p>
    <w:p w:rsidR="002278C8" w:rsidRPr="00A05E14" w:rsidRDefault="002278C8">
      <w:pPr>
        <w:pStyle w:val="Normaltindrag"/>
      </w:pPr>
      <w:r w:rsidRPr="00A05E14">
        <w:t>Enligt regeringens förslag skall valutaväxlingslagen (1996:1006) utvidgas till att omfatta alla juridiska och fysiska personer som yrkesm</w:t>
      </w:r>
      <w:r w:rsidRPr="00A05E14">
        <w:t>ässigt ägnar sig åt betalningsöverföring. Härigenom blir dessa företag, i likhet med vad som nu gäller för valutaväxlingsrörelse, skyldiga att anmäla sin verksamhet till  Finansinspektionen för registrering. Genom att lagen (1993:768) om åtgärder mot penningtvätt (penningtvättslagen) gäller för verksamhet som enligt  valutaväxlingslagen kräver anmälan till Finansinspektionen blir pe</w:t>
      </w:r>
      <w:r w:rsidRPr="00A05E14">
        <w:t>n</w:t>
      </w:r>
      <w:r w:rsidRPr="00A05E14">
        <w:t>ning-tvättslagen tillämplig på all yrkesmässig betalningsöverf</w:t>
      </w:r>
      <w:r w:rsidRPr="00A05E14">
        <w:t>ö</w:t>
      </w:r>
      <w:r w:rsidRPr="00A05E14">
        <w:t xml:space="preserve">ring. </w:t>
      </w:r>
    </w:p>
    <w:p w:rsidR="002278C8" w:rsidRPr="00A05E14" w:rsidRDefault="002278C8">
      <w:pPr>
        <w:pStyle w:val="Normaltindrag"/>
      </w:pPr>
      <w:r w:rsidRPr="00A05E14">
        <w:t>Regeringen föreslår att huvuddelen av valutaväxlingslage</w:t>
      </w:r>
      <w:r w:rsidRPr="00A05E14">
        <w:t xml:space="preserve">ns bestämmelser skall gälla för företag som ägnar sig åt betalningsöverföring. Det rör sig om </w:t>
      </w:r>
      <w:r w:rsidRPr="00A05E14">
        <w:lastRenderedPageBreak/>
        <w:t>bestämmelser om skyldighet att lämna Finansinspektionen upplysningar, möjligheter för Finansinspektionen att ingripa genom att meddela förelä</w:t>
      </w:r>
      <w:r w:rsidRPr="00A05E14">
        <w:t>g</w:t>
      </w:r>
      <w:r w:rsidRPr="00A05E14">
        <w:t>ganden samt bestämmelser om överklaganden och avgifter. Valutaväxlin</w:t>
      </w:r>
      <w:r w:rsidRPr="00A05E14">
        <w:t>g</w:t>
      </w:r>
      <w:r w:rsidRPr="00A05E14">
        <w:t>s-lagens bestämmelser om konsumentskydd föreslås dock inte gälla för beta</w:t>
      </w:r>
      <w:r w:rsidRPr="00A05E14">
        <w:t>l</w:t>
      </w:r>
      <w:r w:rsidRPr="00A05E14">
        <w:t>ning</w:t>
      </w:r>
      <w:r w:rsidRPr="00A05E14">
        <w:t>s</w:t>
      </w:r>
      <w:r w:rsidRPr="00A05E14">
        <w:t>överföring.</w:t>
      </w:r>
    </w:p>
    <w:p w:rsidR="002278C8" w:rsidRPr="00A05E14" w:rsidRDefault="002278C8">
      <w:pPr>
        <w:pStyle w:val="Normaltindrag"/>
      </w:pPr>
      <w:r w:rsidRPr="00A05E14">
        <w:t>Regeringen anför till grund för sitt förslag bl.a. följande. En effektiv b</w:t>
      </w:r>
      <w:r w:rsidRPr="00A05E14">
        <w:t>e</w:t>
      </w:r>
      <w:r w:rsidRPr="00A05E14">
        <w:t>kämpning av penningtvätt fordrar att regelverket är heltäckande. Om ett institut som verkar på den finansiella marknaden utnyttjas för tvättning av pengar i större omfattning kan detta allvarligt äventyra sundheten och stab</w:t>
      </w:r>
      <w:r w:rsidRPr="00A05E14">
        <w:t>i</w:t>
      </w:r>
      <w:r w:rsidRPr="00A05E14">
        <w:t>liteten i det ifrågavarande institutet och minska allmänhetens förtroende för det finansiella systemet. Också i syfte att bekämpa den ekonomiska och organiserade brottsligheten är det enligt regeringen viktigt att åtgärderna mot penningtvätt är effektiva. Dessa brott inbringar stora vin</w:t>
      </w:r>
      <w:r w:rsidRPr="00A05E14">
        <w:t>ster för de kriminella och utgör därmed en drivande kraft för den brottsliga verksamh</w:t>
      </w:r>
      <w:r w:rsidRPr="00A05E14">
        <w:t>e</w:t>
      </w:r>
      <w:r w:rsidRPr="00A05E14">
        <w:t xml:space="preserve">ten. </w:t>
      </w:r>
    </w:p>
    <w:p w:rsidR="002278C8" w:rsidRPr="00A05E14" w:rsidRDefault="002278C8">
      <w:pPr>
        <w:pStyle w:val="Normaltindrag"/>
      </w:pPr>
      <w:r w:rsidRPr="00A05E14">
        <w:t>Enligt regeringen har det under de senaste åren uppmärksammats, såväl internationellt som nationellt, att andra yrkesgrupper och företag än banker utnyttjas för penningtvätt. Finanspolisen, vilken är den avdelning inom Rik</w:t>
      </w:r>
      <w:r w:rsidRPr="00A05E14">
        <w:t>s</w:t>
      </w:r>
      <w:r w:rsidRPr="00A05E14">
        <w:t>polisstyrelsen som har det operativa ansvaret för penningtvätt, och Finansi</w:t>
      </w:r>
      <w:r w:rsidRPr="00A05E14">
        <w:t>n</w:t>
      </w:r>
      <w:r w:rsidRPr="00A05E14">
        <w:t>spektionen, som har tillsynsansvaret, har uttalat att det finns ett behov av att reglera betalningsöverföring. Financial Action Task Force on money laund</w:t>
      </w:r>
      <w:r w:rsidRPr="00A05E14">
        <w:t>e</w:t>
      </w:r>
      <w:r w:rsidRPr="00A05E14">
        <w:t>ring (FATF), som är det världsledande internationella organet när det gäller att bekämpa penningtvätt, har i sina senaste årsrapporter pekat på att beta</w:t>
      </w:r>
      <w:r w:rsidRPr="00A05E14">
        <w:t>l</w:t>
      </w:r>
      <w:r w:rsidRPr="00A05E14">
        <w:t>ningsöverföring är en sårbar sektor när det gäller penningtvätt. Under år 1999 bedömde FATF att betalningsöverföring är en ”nyck</w:t>
      </w:r>
      <w:r w:rsidRPr="00A05E14">
        <w:t>elsektor” för pe</w:t>
      </w:r>
      <w:r w:rsidRPr="00A05E14">
        <w:t>n</w:t>
      </w:r>
      <w:r w:rsidRPr="00A05E14">
        <w:t>ningtvätt. Mot bakgrund av det anförda finns det enligt regeringen ett påta</w:t>
      </w:r>
      <w:r w:rsidRPr="00A05E14">
        <w:t>g</w:t>
      </w:r>
      <w:r w:rsidRPr="00A05E14">
        <w:t>ligt behov av att så snart som möjligt utvidga penningtvättslagens tilläm</w:t>
      </w:r>
      <w:r w:rsidRPr="00A05E14">
        <w:t>p</w:t>
      </w:r>
      <w:r w:rsidRPr="00A05E14">
        <w:t>ningsområde i fråga om betalningsöverföring.</w:t>
      </w:r>
    </w:p>
    <w:p w:rsidR="002278C8" w:rsidRPr="00A05E14" w:rsidRDefault="002278C8">
      <w:pPr>
        <w:pStyle w:val="Normaltindrag"/>
      </w:pPr>
      <w:r w:rsidRPr="00A05E14">
        <w:t>Utskottet anser i likhet med regeringen att det är viktigt att åtgärderna mot penningtvätt är effektiva. Detta är inte minst av vikt för att på ett framgång</w:t>
      </w:r>
      <w:r w:rsidRPr="00A05E14">
        <w:t>s</w:t>
      </w:r>
      <w:r w:rsidRPr="00A05E14">
        <w:t xml:space="preserve">rikt sätt kunna bekämpa den organiserade brottsligheten. Utskottet tillstyrker regeringens förslag. </w:t>
      </w:r>
    </w:p>
    <w:p w:rsidR="002278C8" w:rsidRPr="00A05E14" w:rsidRDefault="002278C8">
      <w:pPr>
        <w:pStyle w:val="Rubrik2"/>
      </w:pPr>
      <w:bookmarkStart w:id="24" w:name="_Toc496671338"/>
      <w:r w:rsidRPr="00A05E14">
        <w:t>Hemställan</w:t>
      </w:r>
      <w:bookmarkEnd w:id="24"/>
    </w:p>
    <w:p w:rsidR="002278C8" w:rsidRPr="00A05E14" w:rsidRDefault="002278C8">
      <w:r w:rsidRPr="00A05E14">
        <w:t>Utskottet hemställer</w:t>
      </w:r>
    </w:p>
    <w:p w:rsidR="002278C8" w:rsidRPr="00A05E14" w:rsidRDefault="002278C8">
      <w:pPr>
        <w:pStyle w:val="hembetr"/>
      </w:pPr>
      <w:r w:rsidRPr="00A05E14">
        <w:t xml:space="preserve">beträffande </w:t>
      </w:r>
      <w:r w:rsidRPr="00A05E14">
        <w:rPr>
          <w:i/>
        </w:rPr>
        <w:t>penningtvätt och betalningsöverföring</w:t>
      </w:r>
    </w:p>
    <w:p w:rsidR="002278C8" w:rsidRPr="00A05E14" w:rsidRDefault="002278C8">
      <w:pPr>
        <w:pStyle w:val="hemtext"/>
      </w:pPr>
      <w:r w:rsidRPr="00A05E14">
        <w:t xml:space="preserve">att riksdagen antar regeringens förslag till </w:t>
      </w:r>
    </w:p>
    <w:p w:rsidR="002278C8" w:rsidRPr="00A05E14" w:rsidRDefault="002278C8">
      <w:pPr>
        <w:pStyle w:val="hemtext"/>
      </w:pPr>
      <w:r w:rsidRPr="00A05E14">
        <w:t xml:space="preserve">a) lag om ändring i valutaväxlingslagen (1996:1006), </w:t>
      </w:r>
    </w:p>
    <w:p w:rsidR="002278C8" w:rsidRPr="00A05E14" w:rsidRDefault="002278C8">
      <w:pPr>
        <w:pStyle w:val="hemtext"/>
      </w:pPr>
      <w:r w:rsidRPr="00A05E14">
        <w:t xml:space="preserve">b) lag om ändring i lagen (1993:768) om åtgärder mot penningtvätt, </w:t>
      </w:r>
    </w:p>
    <w:p w:rsidR="002278C8" w:rsidRPr="00A05E14" w:rsidRDefault="002278C8">
      <w:pPr>
        <w:pStyle w:val="hemtext"/>
      </w:pPr>
      <w:r w:rsidRPr="00A05E14">
        <w:t xml:space="preserve">c) lag om ändring i sekretesslagen (1980:100), </w:t>
      </w:r>
    </w:p>
    <w:p w:rsidR="002278C8" w:rsidRPr="00A05E14" w:rsidRDefault="002278C8">
      <w:pPr>
        <w:pStyle w:val="hemtext"/>
      </w:pPr>
      <w:r w:rsidRPr="00A05E14">
        <w:t>d) lag om ändring i prisinformationslagen (1991:601).</w:t>
      </w:r>
    </w:p>
    <w:p w:rsidR="002278C8" w:rsidRPr="00A05E14" w:rsidRDefault="002278C8">
      <w:pPr>
        <w:pStyle w:val="Normaltindrag"/>
      </w:pPr>
      <w:bookmarkStart w:id="25" w:name="Nästa_Hpunkt"/>
      <w:bookmarkEnd w:id="25"/>
    </w:p>
    <w:p w:rsidR="002278C8" w:rsidRPr="00A05E14" w:rsidRDefault="002278C8">
      <w:pPr>
        <w:pStyle w:val="Normaltindrag"/>
      </w:pPr>
    </w:p>
    <w:p w:rsidR="002278C8" w:rsidRPr="00A05E14" w:rsidRDefault="002278C8">
      <w:pPr>
        <w:pStyle w:val="Normaltindrag"/>
      </w:pPr>
    </w:p>
    <w:p w:rsidR="002278C8" w:rsidRPr="00A05E14" w:rsidRDefault="002278C8">
      <w:pPr>
        <w:pStyle w:val="Normaltindrag"/>
      </w:pPr>
    </w:p>
    <w:p w:rsidR="002278C8" w:rsidRPr="00A05E14" w:rsidRDefault="002278C8">
      <w:pPr>
        <w:pStyle w:val="Normaltindrag"/>
      </w:pPr>
    </w:p>
    <w:p w:rsidR="002278C8" w:rsidRPr="00A05E14" w:rsidRDefault="002278C8">
      <w:pPr>
        <w:pStyle w:val="Normaltindrag"/>
      </w:pPr>
    </w:p>
    <w:p w:rsidR="002278C8" w:rsidRPr="00A05E14" w:rsidRDefault="002278C8">
      <w:pPr>
        <w:pStyle w:val="Stockholm"/>
      </w:pPr>
      <w:r w:rsidRPr="00A05E14">
        <w:t>Stockholm den 17 oktober 2000</w:t>
      </w:r>
    </w:p>
    <w:p w:rsidR="002278C8" w:rsidRPr="00A05E14" w:rsidRDefault="002278C8">
      <w:pPr>
        <w:pStyle w:val="Vgnar"/>
      </w:pPr>
      <w:r w:rsidRPr="00A05E14">
        <w:t>På justitieutskottets vägnar</w:t>
      </w:r>
    </w:p>
    <w:p w:rsidR="002278C8" w:rsidRPr="00A05E14" w:rsidRDefault="002278C8">
      <w:pPr>
        <w:pStyle w:val="Ordfnamn"/>
      </w:pPr>
      <w:bookmarkStart w:id="26" w:name="Ordförande"/>
      <w:bookmarkEnd w:id="26"/>
      <w:r w:rsidRPr="00A05E14">
        <w:t xml:space="preserve">Gun Hellsvik </w:t>
      </w:r>
    </w:p>
    <w:p w:rsidR="002278C8" w:rsidRPr="00A05E14" w:rsidRDefault="002278C8"/>
    <w:p w:rsidR="002278C8" w:rsidRPr="00A05E14" w:rsidRDefault="002278C8">
      <w:pPr>
        <w:pStyle w:val="Normaltindrag"/>
      </w:pPr>
    </w:p>
    <w:p w:rsidR="002278C8" w:rsidRPr="00A05E14" w:rsidRDefault="002278C8">
      <w:pPr>
        <w:pStyle w:val="Deltagare"/>
      </w:pPr>
      <w:bookmarkStart w:id="27" w:name="Deltagare"/>
      <w:bookmarkStart w:id="28" w:name="Nästa_Reservation"/>
      <w:bookmarkEnd w:id="27"/>
      <w:bookmarkEnd w:id="28"/>
      <w:r w:rsidRPr="00A05E14">
        <w:t>I beslutet har deltagit: Gun Hellsvik (m), Ingvar Johnsson (s), Märta Johan</w:t>
      </w:r>
      <w:r w:rsidRPr="00A05E14">
        <w:t>s</w:t>
      </w:r>
      <w:r w:rsidRPr="00A05E14">
        <w:t>son (s), Margareta Sandgren (s), Alice Åström (v), Ingemar Vänerlöv (kd), Anders G Högmark (m), Ann-Marie Fagerström (s), Maud Ekendahl (m), Helena Zakariasén (s), Morgan Johansson (s), Yvonne Oscarsson (v), Ragnwi Marcelind (kd), Jeppe Johnsson (m), Kia Andreasson (mp) och Johan Pehrson (fp).</w:t>
      </w:r>
    </w:p>
    <w:p w:rsidR="002278C8" w:rsidRPr="00A05E14" w:rsidRDefault="002278C8">
      <w:pPr>
        <w:pStyle w:val="Normaltindrag"/>
      </w:pPr>
    </w:p>
    <w:p w:rsidR="002278C8" w:rsidRPr="00A05E14" w:rsidRDefault="002278C8">
      <w:pPr>
        <w:pStyle w:val="Normaltindrag"/>
      </w:pPr>
    </w:p>
    <w:p w:rsidR="002278C8" w:rsidRPr="00A05E14" w:rsidRDefault="002278C8">
      <w:pPr>
        <w:pStyle w:val="Normaltindrag"/>
        <w:sectPr w:rsidR="00000000" w:rsidRPr="00A05E14">
          <w:headerReference w:type="default" r:id="rId9"/>
          <w:footerReference w:type="default" r:id="rId10"/>
          <w:pgSz w:w="11906" w:h="16838" w:code="9"/>
          <w:pgMar w:top="567" w:right="4876" w:bottom="4508" w:left="1134" w:header="227" w:footer="227" w:gutter="0"/>
          <w:cols w:space="720"/>
        </w:sectPr>
      </w:pPr>
    </w:p>
    <w:p w:rsidR="002278C8" w:rsidRPr="00A05E14" w:rsidRDefault="002278C8">
      <w:pPr>
        <w:pStyle w:val="Rubrik1"/>
        <w:spacing w:before="123"/>
      </w:pPr>
      <w:bookmarkStart w:id="29" w:name="_Toc496671339"/>
      <w:r w:rsidRPr="00A05E14">
        <w:t>Regeringens lagförslag</w:t>
      </w:r>
      <w:bookmarkEnd w:id="29"/>
    </w:p>
    <w:p w:rsidR="002278C8" w:rsidRPr="00A05E14" w:rsidRDefault="002278C8">
      <w:pPr>
        <w:pStyle w:val="Normaltindrag"/>
      </w:pPr>
      <w:r w:rsidRPr="00A05E14">
        <w:br w:type="page"/>
      </w:r>
      <w:r w:rsidRPr="00A05E14">
        <w:br w:type="page"/>
      </w:r>
      <w:r w:rsidRPr="00A05E14">
        <w:br w:type="page"/>
      </w:r>
      <w:r w:rsidRPr="00A05E14">
        <w:br w:type="page"/>
      </w:r>
      <w:r w:rsidRPr="00A05E14">
        <w:br w:type="page"/>
      </w:r>
    </w:p>
    <w:p w:rsidR="002278C8" w:rsidRPr="00A05E14" w:rsidRDefault="002278C8">
      <w:pPr>
        <w:pStyle w:val="Tryckort"/>
        <w:framePr w:wrap="around"/>
      </w:pPr>
      <w:r w:rsidRPr="00A05E14">
        <w:t>Elanders Gotab, Stockholm  2000</w:t>
      </w:r>
    </w:p>
    <w:p w:rsidR="002278C8" w:rsidRPr="00A05E14" w:rsidRDefault="002278C8">
      <w:pPr>
        <w:pStyle w:val="Normaltindrag"/>
      </w:pPr>
    </w:p>
    <w:sectPr w:rsidR="002278C8" w:rsidRPr="00A05E14">
      <w:headerReference w:type="default" r:id="rId11"/>
      <w:footerReference w:type="default" r:id="rId12"/>
      <w:pgSz w:w="11906" w:h="16838" w:code="9"/>
      <w:pgMar w:top="567" w:right="4876" w:bottom="4508" w:left="1134" w:header="227" w:footer="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78C8" w:rsidRPr="00A05E14" w:rsidRDefault="002278C8">
      <w:pPr>
        <w:spacing w:before="0" w:line="240" w:lineRule="auto"/>
      </w:pPr>
      <w:r w:rsidRPr="00A05E14">
        <w:separator/>
      </w:r>
    </w:p>
  </w:endnote>
  <w:endnote w:type="continuationSeparator" w:id="0">
    <w:p w:rsidR="002278C8" w:rsidRPr="00A05E14" w:rsidRDefault="002278C8">
      <w:pPr>
        <w:spacing w:before="0" w:line="240" w:lineRule="auto"/>
      </w:pPr>
      <w:r w:rsidRPr="00A05E1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78C8" w:rsidRPr="00A05E14" w:rsidRDefault="002278C8">
    <w:pPr>
      <w:pStyle w:val="SidfotH"/>
      <w:framePr w:wrap="around"/>
    </w:pPr>
    <w:r w:rsidRPr="00A05E14">
      <w:fldChar w:fldCharType="begin" w:fldLock="1"/>
    </w:r>
    <w:r w:rsidRPr="00A05E14">
      <w:instrText xml:space="preserve"> P</w:instrText>
    </w:r>
    <w:r w:rsidRPr="00A05E14">
      <w:instrText>A</w:instrText>
    </w:r>
    <w:r w:rsidRPr="00A05E14">
      <w:instrText xml:space="preserve">GE </w:instrText>
    </w:r>
    <w:r w:rsidRPr="00A05E14">
      <w:fldChar w:fldCharType="separate"/>
    </w:r>
    <w:r w:rsidRPr="00A05E14">
      <w:t>1</w:t>
    </w:r>
    <w:r w:rsidRPr="00A05E14">
      <w:fldChar w:fldCharType="end"/>
    </w:r>
  </w:p>
  <w:p w:rsidR="002278C8" w:rsidRPr="00A05E14" w:rsidRDefault="002278C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78C8" w:rsidRPr="00A05E14" w:rsidRDefault="002278C8">
    <w:pPr>
      <w:pStyle w:val="SidfotH"/>
      <w:framePr w:wrap="around"/>
    </w:pPr>
    <w:r w:rsidRPr="00A05E14">
      <w:fldChar w:fldCharType="begin" w:fldLock="1"/>
    </w:r>
    <w:r w:rsidRPr="00A05E14">
      <w:instrText xml:space="preserve"> P</w:instrText>
    </w:r>
    <w:r w:rsidRPr="00A05E14">
      <w:instrText>A</w:instrText>
    </w:r>
    <w:r w:rsidRPr="00A05E14">
      <w:instrText xml:space="preserve">GE </w:instrText>
    </w:r>
    <w:r w:rsidRPr="00A05E14">
      <w:fldChar w:fldCharType="separate"/>
    </w:r>
    <w:r w:rsidRPr="00A05E14">
      <w:t>4</w:t>
    </w:r>
    <w:r w:rsidRPr="00A05E14">
      <w:fldChar w:fldCharType="end"/>
    </w:r>
  </w:p>
  <w:p w:rsidR="002278C8" w:rsidRPr="00A05E14" w:rsidRDefault="002278C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78C8" w:rsidRPr="00A05E14" w:rsidRDefault="002278C8">
      <w:pPr>
        <w:pStyle w:val="Sidfot"/>
      </w:pPr>
    </w:p>
  </w:footnote>
  <w:footnote w:type="continuationSeparator" w:id="0">
    <w:p w:rsidR="002278C8" w:rsidRPr="00A05E14" w:rsidRDefault="002278C8">
      <w:pPr>
        <w:spacing w:before="0" w:line="240" w:lineRule="auto"/>
      </w:pPr>
      <w:r w:rsidRPr="00A05E1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78C8" w:rsidRPr="00A05E14" w:rsidRDefault="002278C8">
    <w:pPr>
      <w:pStyle w:val="SidhuvudKant"/>
      <w:framePr w:w="1758" w:h="2744" w:hRule="exact" w:wrap="around" w:vAnchor="page" w:hAnchor="page" w:x="7372" w:y="568" w:anchorLock="0"/>
    </w:pPr>
    <w:r w:rsidRPr="00A05E14">
      <w:t>2000/01:JuU3</w:t>
    </w:r>
  </w:p>
  <w:p w:rsidR="002278C8" w:rsidRPr="00A05E14" w:rsidRDefault="002278C8">
    <w:pPr>
      <w:pStyle w:val="SidhuvudKantBilaga"/>
      <w:framePr w:w="1758" w:h="2744" w:hRule="exact" w:wrap="around" w:vAnchor="page" w:hAnchor="page" w:x="7372" w:y="568" w:anchorLock="0"/>
    </w:pPr>
  </w:p>
  <w:p w:rsidR="002278C8" w:rsidRPr="00A05E14" w:rsidRDefault="002278C8">
    <w:pPr>
      <w:pStyle w:val="SidhuvudKant"/>
      <w:framePr w:w="1758" w:h="2744" w:hRule="exact" w:wrap="around" w:vAnchor="page" w:hAnchor="page" w:x="7372" w:y="568" w:anchorLock="0"/>
    </w:pPr>
  </w:p>
  <w:p w:rsidR="002278C8" w:rsidRPr="00A05E14" w:rsidRDefault="002278C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78C8" w:rsidRPr="00A05E14" w:rsidRDefault="002278C8">
    <w:pPr>
      <w:pStyle w:val="SidhuvudKant"/>
      <w:framePr w:w="1758" w:h="2744" w:hRule="exact" w:wrap="around" w:vAnchor="page" w:hAnchor="page" w:x="7372" w:y="568" w:anchorLock="0"/>
    </w:pPr>
    <w:r w:rsidRPr="00A05E14">
      <w:t>2000/01:JuU3</w:t>
    </w:r>
  </w:p>
  <w:p w:rsidR="002278C8" w:rsidRPr="00A05E14" w:rsidRDefault="002278C8">
    <w:pPr>
      <w:pStyle w:val="SidhuvudKantBilaga"/>
      <w:framePr w:w="1758" w:h="2744" w:hRule="exact" w:wrap="around" w:vAnchor="page" w:hAnchor="page" w:x="7372" w:y="568" w:anchorLock="0"/>
    </w:pPr>
    <w:r w:rsidRPr="00A05E14">
      <w:t>Bilaga</w:t>
    </w:r>
  </w:p>
  <w:p w:rsidR="002278C8" w:rsidRPr="00A05E14" w:rsidRDefault="002278C8">
    <w:pPr>
      <w:pStyle w:val="SidhuvudKant"/>
      <w:framePr w:w="1758" w:h="2744" w:hRule="exact" w:wrap="around" w:vAnchor="page" w:hAnchor="page" w:x="7372" w:y="568" w:anchorLock="0"/>
    </w:pPr>
  </w:p>
  <w:p w:rsidR="002278C8" w:rsidRPr="00A05E14" w:rsidRDefault="002278C8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defaultTabStop w:val="1304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UtskottsNamn" w:val="justitieutskottets"/>
    <w:docVar w:name="Skapår" w:val="0001"/>
  </w:docVars>
  <w:rsids>
    <w:rsidRoot w:val="0014320A"/>
    <w:rsid w:val="0014320A"/>
    <w:rsid w:val="002278C8"/>
    <w:rsid w:val="00A0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B8C1AA-3934-462F-BD4A-E560CA94F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tindrag"/>
    <w:qFormat/>
    <w:pPr>
      <w:spacing w:before="122" w:line="245" w:lineRule="exact"/>
      <w:jc w:val="both"/>
    </w:pPr>
    <w:rPr>
      <w:sz w:val="19"/>
      <w:lang w:val="sv-SE"/>
    </w:rPr>
  </w:style>
  <w:style w:type="paragraph" w:styleId="Rubrik1">
    <w:name w:val="heading 1"/>
    <w:basedOn w:val="Normal"/>
    <w:next w:val="Normal"/>
    <w:qFormat/>
    <w:pPr>
      <w:keepNext/>
      <w:keepLines/>
      <w:suppressAutoHyphens/>
      <w:spacing w:before="313" w:line="300" w:lineRule="exact"/>
      <w:jc w:val="left"/>
      <w:outlineLvl w:val="0"/>
    </w:pPr>
    <w:rPr>
      <w:sz w:val="28"/>
    </w:rPr>
  </w:style>
  <w:style w:type="paragraph" w:styleId="Rubrik2">
    <w:name w:val="heading 2"/>
    <w:basedOn w:val="Rubrik1"/>
    <w:next w:val="Normal"/>
    <w:qFormat/>
    <w:pPr>
      <w:spacing w:before="360" w:line="256" w:lineRule="exact"/>
      <w:outlineLvl w:val="1"/>
    </w:pPr>
    <w:rPr>
      <w:sz w:val="23"/>
    </w:rPr>
  </w:style>
  <w:style w:type="paragraph" w:styleId="Rubrik3">
    <w:name w:val="heading 3"/>
    <w:basedOn w:val="Rubrik1"/>
    <w:next w:val="Normal"/>
    <w:qFormat/>
    <w:pPr>
      <w:spacing w:before="398" w:line="214" w:lineRule="exact"/>
      <w:outlineLvl w:val="2"/>
    </w:pPr>
    <w:rPr>
      <w:b/>
      <w:sz w:val="19"/>
    </w:rPr>
  </w:style>
  <w:style w:type="paragraph" w:styleId="Rubrik4">
    <w:name w:val="heading 4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outlineLvl w:val="4"/>
    </w:pPr>
    <w:rPr>
      <w:b w:val="0"/>
    </w:rPr>
  </w:style>
  <w:style w:type="paragraph" w:styleId="Rubrik6">
    <w:name w:val="heading 6"/>
    <w:basedOn w:val="Normal"/>
    <w:next w:val="Normal"/>
    <w:qFormat/>
    <w:pPr>
      <w:keepNext/>
      <w:spacing w:before="240" w:after="60"/>
      <w:outlineLvl w:val="5"/>
    </w:pPr>
    <w:rPr>
      <w:sz w:val="16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uvudRubrik">
    <w:name w:val="HuvudRubrik"/>
    <w:basedOn w:val="Normal"/>
    <w:pPr>
      <w:suppressAutoHyphens/>
      <w:spacing w:before="0" w:line="400" w:lineRule="exact"/>
      <w:jc w:val="left"/>
    </w:pPr>
    <w:rPr>
      <w:sz w:val="36"/>
    </w:rPr>
  </w:style>
  <w:style w:type="paragraph" w:customStyle="1" w:styleId="BetnkandeRubrik">
    <w:name w:val="BetänkandeRubrik"/>
    <w:basedOn w:val="Normal"/>
    <w:pPr>
      <w:spacing w:before="40" w:after="720" w:line="280" w:lineRule="exact"/>
      <w:jc w:val="left"/>
    </w:pPr>
    <w:rPr>
      <w:sz w:val="28"/>
    </w:rPr>
  </w:style>
  <w:style w:type="paragraph" w:customStyle="1" w:styleId="rtal">
    <w:name w:val="Årtal"/>
    <w:basedOn w:val="Normal"/>
    <w:pPr>
      <w:spacing w:before="0" w:line="240" w:lineRule="auto"/>
      <w:ind w:left="113"/>
      <w:jc w:val="left"/>
    </w:pPr>
    <w:rPr>
      <w:sz w:val="24"/>
    </w:rPr>
  </w:style>
  <w:style w:type="paragraph" w:customStyle="1" w:styleId="StatusSida1">
    <w:name w:val="Status Sida1"/>
    <w:basedOn w:val="rtal"/>
    <w:pPr>
      <w:ind w:left="0"/>
    </w:pPr>
    <w:rPr>
      <w:b/>
      <w:sz w:val="28"/>
    </w:rPr>
  </w:style>
  <w:style w:type="paragraph" w:customStyle="1" w:styleId="UtskriftsdatumSida1">
    <w:name w:val="Utskriftsdatum Sida1"/>
    <w:basedOn w:val="SidhuvudKant"/>
    <w:pPr>
      <w:spacing w:line="240" w:lineRule="auto"/>
    </w:pPr>
  </w:style>
  <w:style w:type="paragraph" w:customStyle="1" w:styleId="BetRubrik">
    <w:name w:val="BetRubrik"/>
    <w:basedOn w:val="Rubrik1"/>
    <w:pPr>
      <w:spacing w:line="480" w:lineRule="exact"/>
      <w:outlineLvl w:val="9"/>
    </w:pPr>
    <w:rPr>
      <w:sz w:val="36"/>
    </w:rPr>
  </w:style>
  <w:style w:type="paragraph" w:styleId="Brdtext">
    <w:name w:val="Body Text"/>
    <w:basedOn w:val="Normal"/>
    <w:next w:val="Brdtextmedindrag"/>
    <w:semiHidden/>
  </w:style>
  <w:style w:type="paragraph" w:styleId="Brdtextmedindrag">
    <w:name w:val="Body Text Indent"/>
    <w:basedOn w:val="Normal"/>
    <w:semiHidden/>
    <w:pPr>
      <w:ind w:firstLine="284"/>
    </w:pPr>
  </w:style>
  <w:style w:type="paragraph" w:styleId="Citat">
    <w:name w:val="Quote"/>
    <w:basedOn w:val="Normal"/>
    <w:next w:val="Normal"/>
    <w:qFormat/>
    <w:pPr>
      <w:spacing w:before="125" w:line="214" w:lineRule="exact"/>
    </w:pPr>
  </w:style>
  <w:style w:type="paragraph" w:customStyle="1" w:styleId="CitatIndrag">
    <w:name w:val="CitatIndrag"/>
    <w:basedOn w:val="Citat"/>
    <w:pPr>
      <w:spacing w:before="0"/>
      <w:ind w:firstLine="170"/>
    </w:pPr>
  </w:style>
  <w:style w:type="paragraph" w:customStyle="1" w:styleId="Deltagare">
    <w:name w:val="Deltagare"/>
    <w:basedOn w:val="Citat"/>
    <w:next w:val="Normal"/>
    <w:pPr>
      <w:spacing w:before="612"/>
    </w:pPr>
  </w:style>
  <w:style w:type="paragraph" w:styleId="Fotnotstext">
    <w:name w:val="footnote text"/>
    <w:basedOn w:val="Normal"/>
    <w:semiHidden/>
    <w:pPr>
      <w:spacing w:line="170" w:lineRule="exact"/>
    </w:pPr>
    <w:rPr>
      <w:sz w:val="17"/>
    </w:rPr>
  </w:style>
  <w:style w:type="paragraph" w:styleId="Normaltindrag">
    <w:name w:val="Normal Indent"/>
    <w:basedOn w:val="Normal"/>
    <w:semiHidden/>
    <w:pPr>
      <w:spacing w:before="0"/>
      <w:ind w:firstLine="170"/>
    </w:pPr>
  </w:style>
  <w:style w:type="paragraph" w:customStyle="1" w:styleId="hembetr">
    <w:name w:val="hembetr"/>
    <w:basedOn w:val="Normaltindrag"/>
    <w:next w:val="Normal"/>
    <w:pPr>
      <w:ind w:left="510"/>
    </w:pPr>
    <w:rPr>
      <w:color w:val="000000"/>
    </w:rPr>
  </w:style>
  <w:style w:type="paragraph" w:customStyle="1" w:styleId="hemtext">
    <w:name w:val="hemtext"/>
    <w:basedOn w:val="Normaltindrag"/>
    <w:pPr>
      <w:ind w:left="510" w:firstLine="0"/>
    </w:pPr>
  </w:style>
  <w:style w:type="paragraph" w:customStyle="1" w:styleId="Innehll">
    <w:name w:val="Innehåll"/>
    <w:basedOn w:val="Rubrik1"/>
    <w:next w:val="Normal"/>
    <w:pPr>
      <w:spacing w:before="0" w:after="245"/>
      <w:outlineLvl w:val="9"/>
    </w:pPr>
  </w:style>
  <w:style w:type="paragraph" w:styleId="Innehll1">
    <w:name w:val="toc 1"/>
    <w:basedOn w:val="Normal"/>
    <w:autoRedefine/>
    <w:semiHidden/>
    <w:pPr>
      <w:tabs>
        <w:tab w:val="right" w:leader="dot" w:pos="5670"/>
      </w:tabs>
      <w:spacing w:before="0"/>
      <w:ind w:right="567"/>
    </w:pPr>
  </w:style>
  <w:style w:type="paragraph" w:styleId="Innehll2">
    <w:name w:val="toc 2"/>
    <w:basedOn w:val="Innehll1"/>
    <w:autoRedefine/>
    <w:semiHidden/>
    <w:pPr>
      <w:ind w:left="227"/>
    </w:pPr>
  </w:style>
  <w:style w:type="paragraph" w:styleId="Innehll3">
    <w:name w:val="toc 3"/>
    <w:basedOn w:val="Innehll1"/>
    <w:autoRedefine/>
    <w:semiHidden/>
    <w:pPr>
      <w:ind w:left="454" w:right="680"/>
    </w:pPr>
  </w:style>
  <w:style w:type="paragraph" w:styleId="Innehll4">
    <w:name w:val="toc 4"/>
    <w:basedOn w:val="Innehll1"/>
    <w:autoRedefine/>
    <w:semiHidden/>
    <w:pPr>
      <w:ind w:left="680"/>
    </w:pPr>
  </w:style>
  <w:style w:type="paragraph" w:styleId="Innehll5">
    <w:name w:val="toc 5"/>
    <w:basedOn w:val="Innehll4"/>
    <w:next w:val="Normal"/>
    <w:autoRedefine/>
    <w:semiHidden/>
    <w:pPr>
      <w:ind w:left="907"/>
    </w:pPr>
  </w:style>
  <w:style w:type="paragraph" w:styleId="Innehll6">
    <w:name w:val="toc 6"/>
    <w:basedOn w:val="Innehll5"/>
    <w:next w:val="Normal"/>
    <w:autoRedefine/>
    <w:semiHidden/>
    <w:pPr>
      <w:ind w:left="1134"/>
    </w:pPr>
  </w:style>
  <w:style w:type="paragraph" w:styleId="Innehll7">
    <w:name w:val="toc 7"/>
    <w:basedOn w:val="Innehll6"/>
    <w:next w:val="Normal"/>
    <w:autoRedefine/>
    <w:semiHidden/>
    <w:pPr>
      <w:ind w:left="1361"/>
    </w:pPr>
  </w:style>
  <w:style w:type="paragraph" w:styleId="Innehll8">
    <w:name w:val="toc 8"/>
    <w:basedOn w:val="Innehll7"/>
    <w:next w:val="Normal"/>
    <w:autoRedefine/>
    <w:semiHidden/>
    <w:pPr>
      <w:ind w:left="1588"/>
    </w:pPr>
  </w:style>
  <w:style w:type="paragraph" w:styleId="Innehll9">
    <w:name w:val="toc 9"/>
    <w:basedOn w:val="Normal"/>
    <w:next w:val="Normal"/>
    <w:autoRedefine/>
    <w:semiHidden/>
    <w:pPr>
      <w:tabs>
        <w:tab w:val="right" w:leader="dot" w:pos="5896"/>
      </w:tabs>
      <w:ind w:left="1814"/>
    </w:pPr>
  </w:style>
  <w:style w:type="paragraph" w:customStyle="1" w:styleId="Kantrubrik">
    <w:name w:val="Kantrubrik"/>
    <w:basedOn w:val="Normal"/>
    <w:pPr>
      <w:framePr w:w="1701" w:hSpace="284" w:wrap="around" w:vAnchor="text" w:hAnchor="page" w:xAlign="right" w:y="-231"/>
    </w:pPr>
    <w:rPr>
      <w:i/>
    </w:r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Lagtext">
    <w:name w:val="Lagtext"/>
    <w:basedOn w:val="Normal"/>
    <w:next w:val="Normal"/>
    <w:pPr>
      <w:spacing w:before="0" w:line="214" w:lineRule="exact"/>
    </w:pPr>
  </w:style>
  <w:style w:type="paragraph" w:customStyle="1" w:styleId="LagtextIndrag">
    <w:name w:val="LagtextIndrag"/>
    <w:basedOn w:val="Lagtext"/>
    <w:pPr>
      <w:ind w:firstLine="170"/>
    </w:p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  <w:lang w:val="sv-SE"/>
    </w:rPr>
  </w:style>
  <w:style w:type="paragraph" w:customStyle="1" w:styleId="NormalRam">
    <w:name w:val="NormalRam"/>
    <w:basedOn w:val="Normal"/>
    <w:pPr>
      <w:framePr w:hSpace="142" w:wrap="around" w:vAnchor="page" w:hAnchor="text" w:y="1" w:anchorLock="1"/>
    </w:pPr>
  </w:style>
  <w:style w:type="paragraph" w:customStyle="1" w:styleId="Odefinierat">
    <w:name w:val="Odefinierat"/>
    <w:basedOn w:val="Normal"/>
  </w:style>
  <w:style w:type="paragraph" w:customStyle="1" w:styleId="Ordfnamn">
    <w:name w:val="Ordfnamn"/>
    <w:basedOn w:val="Normal"/>
    <w:next w:val="Normal"/>
    <w:pPr>
      <w:spacing w:before="490"/>
    </w:pPr>
    <w:rPr>
      <w:i/>
      <w:sz w:val="21"/>
    </w:rPr>
  </w:style>
  <w:style w:type="paragraph" w:customStyle="1" w:styleId="Resklmb">
    <w:name w:val="Resklämb"/>
    <w:basedOn w:val="hembetr"/>
  </w:style>
  <w:style w:type="paragraph" w:customStyle="1" w:styleId="PropMot">
    <w:name w:val="PropMot"/>
    <w:basedOn w:val="Resklmb"/>
    <w:pPr>
      <w:ind w:left="0"/>
    </w:pPr>
  </w:style>
  <w:style w:type="paragraph" w:customStyle="1" w:styleId="R1">
    <w:name w:val="R1"/>
    <w:basedOn w:val="Rubrik1"/>
    <w:next w:val="Normal"/>
    <w:pPr>
      <w:outlineLvl w:val="9"/>
    </w:pPr>
  </w:style>
  <w:style w:type="paragraph" w:customStyle="1" w:styleId="R2">
    <w:name w:val="R2"/>
    <w:basedOn w:val="Rubrik2"/>
    <w:next w:val="Normal"/>
    <w:pPr>
      <w:outlineLvl w:val="9"/>
    </w:pPr>
  </w:style>
  <w:style w:type="paragraph" w:customStyle="1" w:styleId="R3">
    <w:name w:val="R3"/>
    <w:basedOn w:val="Rubrik3"/>
    <w:next w:val="Normal"/>
    <w:pPr>
      <w:outlineLvl w:val="9"/>
    </w:pPr>
  </w:style>
  <w:style w:type="paragraph" w:customStyle="1" w:styleId="R4">
    <w:name w:val="R4"/>
    <w:basedOn w:val="Rubrik4"/>
    <w:next w:val="Normal"/>
    <w:pPr>
      <w:outlineLvl w:val="9"/>
    </w:pPr>
  </w:style>
  <w:style w:type="paragraph" w:customStyle="1" w:styleId="Reseftermom">
    <w:name w:val="Reseftermom"/>
    <w:basedOn w:val="Normal"/>
    <w:next w:val="Normal"/>
    <w:pPr>
      <w:spacing w:before="0"/>
      <w:ind w:left="2835"/>
    </w:pPr>
    <w:rPr>
      <w:i/>
      <w:color w:val="000000"/>
    </w:rPr>
  </w:style>
  <w:style w:type="paragraph" w:customStyle="1" w:styleId="Resklm">
    <w:name w:val="Reskläm"/>
    <w:basedOn w:val="hemtext"/>
  </w:style>
  <w:style w:type="paragraph" w:customStyle="1" w:styleId="SakregAlfa">
    <w:name w:val="SakregAlfa"/>
    <w:basedOn w:val="Innehll"/>
    <w:pPr>
      <w:tabs>
        <w:tab w:val="right" w:leader="dot" w:pos="5897"/>
      </w:tabs>
      <w:spacing w:after="0" w:line="245" w:lineRule="exact"/>
      <w:ind w:left="284" w:right="1134" w:hanging="284"/>
    </w:pPr>
    <w:rPr>
      <w:sz w:val="19"/>
    </w:rPr>
  </w:style>
  <w:style w:type="paragraph" w:customStyle="1" w:styleId="SakregBetRub">
    <w:name w:val="SakregBetRub"/>
    <w:basedOn w:val="Rubrik3"/>
    <w:pPr>
      <w:spacing w:before="0"/>
      <w:outlineLvl w:val="9"/>
    </w:pPr>
  </w:style>
  <w:style w:type="paragraph" w:customStyle="1" w:styleId="SakregBetText">
    <w:name w:val="SakregBetText"/>
    <w:basedOn w:val="SakregAlfa"/>
    <w:pPr>
      <w:tabs>
        <w:tab w:val="right" w:pos="5897"/>
      </w:tabs>
      <w:ind w:left="0" w:right="1418" w:firstLine="0"/>
    </w:pPr>
  </w:style>
  <w:style w:type="paragraph" w:customStyle="1" w:styleId="Sakregister">
    <w:name w:val="Sakregister"/>
    <w:basedOn w:val="Normal"/>
    <w:pPr>
      <w:tabs>
        <w:tab w:val="right" w:leader="dot" w:pos="5897"/>
      </w:tabs>
      <w:ind w:left="284" w:right="851" w:hanging="284"/>
    </w:pPr>
  </w:style>
  <w:style w:type="paragraph" w:customStyle="1" w:styleId="SBTabell">
    <w:name w:val="SB_Tabell"/>
    <w:basedOn w:val="Normal"/>
    <w:pPr>
      <w:spacing w:before="0" w:line="214" w:lineRule="exact"/>
    </w:pPr>
  </w:style>
  <w:style w:type="paragraph" w:styleId="Sidfot">
    <w:name w:val="footer"/>
    <w:basedOn w:val="Normal"/>
    <w:semiHidden/>
    <w:pPr>
      <w:tabs>
        <w:tab w:val="center" w:pos="4703"/>
        <w:tab w:val="right" w:pos="9406"/>
      </w:tabs>
    </w:pPr>
  </w:style>
  <w:style w:type="paragraph" w:styleId="Sidhuvud">
    <w:name w:val="header"/>
    <w:basedOn w:val="Normal"/>
    <w:semiHidden/>
    <w:pPr>
      <w:tabs>
        <w:tab w:val="center" w:pos="4252"/>
        <w:tab w:val="right" w:pos="8504"/>
      </w:tabs>
      <w:spacing w:before="0"/>
      <w:ind w:left="-851"/>
      <w:jc w:val="left"/>
    </w:pPr>
  </w:style>
  <w:style w:type="paragraph" w:customStyle="1" w:styleId="SidhuvudH">
    <w:name w:val="SidhuvudH"/>
    <w:basedOn w:val="Sidhuvud"/>
    <w:pPr>
      <w:framePr w:w="1701" w:hSpace="284" w:wrap="notBeside" w:hAnchor="page" w:xAlign="right" w:yAlign="top" w:anchorLock="1"/>
      <w:spacing w:line="240" w:lineRule="auto"/>
      <w:ind w:left="0" w:right="113"/>
    </w:pPr>
    <w:rPr>
      <w:sz w:val="21"/>
    </w:rPr>
  </w:style>
  <w:style w:type="paragraph" w:customStyle="1" w:styleId="SidhuvudF">
    <w:name w:val="SidhuvudF"/>
    <w:basedOn w:val="SidhuvudH"/>
    <w:pPr>
      <w:framePr w:wrap="notBeside"/>
    </w:pPr>
  </w:style>
  <w:style w:type="paragraph" w:customStyle="1" w:styleId="SidfotH">
    <w:name w:val="SidfotH"/>
    <w:basedOn w:val="SidhuvudF"/>
    <w:pPr>
      <w:framePr w:w="567" w:hSpace="142" w:vSpace="142" w:wrap="around" w:yAlign="bottom"/>
      <w:jc w:val="right"/>
    </w:pPr>
    <w:rPr>
      <w:sz w:val="18"/>
    </w:rPr>
  </w:style>
  <w:style w:type="paragraph" w:customStyle="1" w:styleId="SidfotV">
    <w:name w:val="SidfotV"/>
    <w:basedOn w:val="SidfotH"/>
    <w:pPr>
      <w:framePr w:wrap="around" w:xAlign="inside"/>
    </w:pPr>
  </w:style>
  <w:style w:type="paragraph" w:customStyle="1" w:styleId="SidhuvudFText">
    <w:name w:val="SidhuvudFText"/>
    <w:basedOn w:val="Normal"/>
    <w:pPr>
      <w:framePr w:hSpace="284" w:wrap="notBeside" w:vAnchor="page" w:hAnchor="text" w:y="3970" w:anchorLock="1"/>
      <w:tabs>
        <w:tab w:val="center" w:pos="4252"/>
        <w:tab w:val="right" w:pos="8504"/>
      </w:tabs>
      <w:suppressAutoHyphens/>
      <w:spacing w:before="0" w:line="240" w:lineRule="exact"/>
      <w:ind w:right="113"/>
      <w:jc w:val="left"/>
    </w:pPr>
    <w:rPr>
      <w:sz w:val="22"/>
    </w:rPr>
  </w:style>
  <w:style w:type="paragraph" w:customStyle="1" w:styleId="SidhuvudFVapen">
    <w:name w:val="SidhuvudFVapen"/>
    <w:basedOn w:val="SidhuvudH"/>
    <w:pPr>
      <w:framePr w:wrap="notBeside" w:vAnchor="page" w:y="3573"/>
      <w:spacing w:line="230" w:lineRule="exact"/>
    </w:pPr>
  </w:style>
  <w:style w:type="paragraph" w:customStyle="1" w:styleId="SidhuvudKant">
    <w:name w:val="SidhuvudKant"/>
    <w:basedOn w:val="Sidhuvud"/>
    <w:pPr>
      <w:ind w:left="0"/>
    </w:pPr>
    <w:rPr>
      <w:sz w:val="21"/>
    </w:rPr>
  </w:style>
  <w:style w:type="paragraph" w:customStyle="1" w:styleId="SidhuvudKantBilaga">
    <w:name w:val="SidhuvudKantBilaga"/>
    <w:basedOn w:val="SidhuvudKant"/>
  </w:style>
  <w:style w:type="paragraph" w:customStyle="1" w:styleId="SidhuvudV">
    <w:name w:val="SidhuvudV"/>
    <w:basedOn w:val="SidhuvudH"/>
    <w:pPr>
      <w:framePr w:wrap="notBeside"/>
    </w:pPr>
  </w:style>
  <w:style w:type="character" w:styleId="Sidnummer">
    <w:name w:val="page number"/>
    <w:basedOn w:val="Standardstycketeckensnitt"/>
    <w:semiHidden/>
    <w:rPr>
      <w:rFonts w:ascii="Times New Roman" w:hAnsi="Times New Roman"/>
      <w:sz w:val="19"/>
    </w:rPr>
  </w:style>
  <w:style w:type="paragraph" w:customStyle="1" w:styleId="Stockholm">
    <w:name w:val="Stockholm"/>
    <w:basedOn w:val="Normal"/>
    <w:pPr>
      <w:spacing w:before="245"/>
    </w:pPr>
  </w:style>
  <w:style w:type="paragraph" w:customStyle="1" w:styleId="Tabell">
    <w:name w:val="Tabell"/>
    <w:basedOn w:val="Normal"/>
    <w:pPr>
      <w:spacing w:before="0" w:line="170" w:lineRule="exact"/>
    </w:pPr>
    <w:rPr>
      <w:sz w:val="17"/>
    </w:rPr>
  </w:style>
  <w:style w:type="paragraph" w:customStyle="1" w:styleId="Tabellrubrik">
    <w:name w:val="Tabellrubrik"/>
    <w:basedOn w:val="Tabell"/>
    <w:next w:val="Tabell"/>
    <w:rPr>
      <w:b/>
    </w:rPr>
  </w:style>
  <w:style w:type="paragraph" w:customStyle="1" w:styleId="tabnormal">
    <w:name w:val="tabnormal"/>
    <w:basedOn w:val="Normaltindrag"/>
  </w:style>
  <w:style w:type="paragraph" w:customStyle="1" w:styleId="Tryckort">
    <w:name w:val="Tryckort"/>
    <w:basedOn w:val="Normal"/>
    <w:pPr>
      <w:framePr w:wrap="around" w:hAnchor="text" w:yAlign="bottom"/>
      <w:spacing w:before="0" w:line="160" w:lineRule="exact"/>
    </w:pPr>
    <w:rPr>
      <w:sz w:val="16"/>
    </w:rPr>
  </w:style>
  <w:style w:type="paragraph" w:customStyle="1" w:styleId="Vinkela">
    <w:name w:val="Vinkela"/>
    <w:basedOn w:val="Normal"/>
    <w:next w:val="Normal"/>
    <w:pPr>
      <w:spacing w:before="123"/>
    </w:pPr>
  </w:style>
  <w:style w:type="paragraph" w:customStyle="1" w:styleId="Vinkelkoder">
    <w:name w:val="Vinkelkoder"/>
    <w:basedOn w:val="Normal"/>
    <w:pPr>
      <w:spacing w:before="0"/>
    </w:pPr>
  </w:style>
  <w:style w:type="paragraph" w:customStyle="1" w:styleId="Vgnar">
    <w:name w:val="Vägnar"/>
    <w:basedOn w:val="Normal"/>
    <w:next w:val="Normal"/>
    <w:pPr>
      <w:spacing w:before="183"/>
    </w:pPr>
  </w:style>
  <w:style w:type="paragraph" w:customStyle="1" w:styleId="HuvudRubrikRad2">
    <w:name w:val="HuvudRubrikRad2"/>
    <w:basedOn w:val="HuvudRubrik"/>
  </w:style>
  <w:style w:type="paragraph" w:customStyle="1" w:styleId="Logo">
    <w:name w:val="Logo"/>
    <w:basedOn w:val="Normal"/>
    <w:pPr>
      <w:spacing w:before="0" w:line="240" w:lineRule="auto"/>
      <w:jc w:val="left"/>
    </w:pPr>
  </w:style>
  <w:style w:type="paragraph" w:customStyle="1" w:styleId="LagtextRubrik">
    <w:name w:val="LagtextRubrik"/>
    <w:basedOn w:val="Normal"/>
    <w:next w:val="LagtextIndrag"/>
    <w:pPr>
      <w:spacing w:before="0" w:after="120"/>
    </w:p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customStyle="1" w:styleId="Proprubrik">
    <w:name w:val="Prop. rubrik"/>
    <w:basedOn w:val="Normal"/>
    <w:next w:val="Normal"/>
    <w:pPr>
      <w:tabs>
        <w:tab w:val="left" w:pos="2835"/>
      </w:tabs>
      <w:spacing w:before="80" w:after="240" w:line="240" w:lineRule="auto"/>
      <w:jc w:val="left"/>
    </w:pPr>
    <w:rPr>
      <w:sz w:val="34"/>
      <w:lang w:eastAsia="sv-SE"/>
    </w:rPr>
  </w:style>
  <w:style w:type="paragraph" w:styleId="Oformateradtext">
    <w:name w:val="Plain Text"/>
    <w:basedOn w:val="Normal"/>
    <w:semiHidden/>
    <w:pPr>
      <w:widowControl w:val="0"/>
      <w:spacing w:before="0" w:line="240" w:lineRule="auto"/>
      <w:jc w:val="left"/>
    </w:pPr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652</Words>
  <Characters>4402</Characters>
  <Application>Microsoft Office Word</Application>
  <DocSecurity>4</DocSecurity>
  <Lines>112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Rubriker</vt:lpstr>
      </vt:variant>
      <vt:variant>
        <vt:i4>5</vt:i4>
      </vt:variant>
    </vt:vector>
  </HeadingPairs>
  <TitlesOfParts>
    <vt:vector size="6" baseType="lpstr">
      <vt:lpstr>Justitieutskottets betänkande</vt:lpstr>
      <vt:lpstr>Sammanfattning</vt:lpstr>
      <vt:lpstr>Propositionen</vt:lpstr>
      <vt:lpstr>Utskottet</vt:lpstr>
      <vt:lpstr>    Hemställan</vt:lpstr>
      <vt:lpstr>Regeringens lagförslag</vt:lpstr>
    </vt:vector>
  </TitlesOfParts>
  <Company>Riksdagen</Company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Justitieutskottets betänkande</dc:title>
  <dc:subject>Justitieutskottets betänkande</dc:subject>
  <dc:creator>Riksdagen</dc:creator>
  <cp:keywords>Riksdagen</cp:keywords>
  <cp:lastModifiedBy>Lars Brink</cp:lastModifiedBy>
  <cp:revision>2</cp:revision>
  <cp:lastPrinted>2000-10-31T14:29:00Z</cp:lastPrinted>
  <dcterms:created xsi:type="dcterms:W3CDTF">2025-12-15T22:56:00Z</dcterms:created>
  <dcterms:modified xsi:type="dcterms:W3CDTF">2025-12-15T22:56:00Z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tänkandeNr">
    <vt:lpwstr>3</vt:lpwstr>
  </property>
  <property fmtid="{D5CDD505-2E9C-101B-9397-08002B2CF9AE}" pid="3" name="Utskott">
    <vt:lpwstr>JuU</vt:lpwstr>
  </property>
  <property fmtid="{D5CDD505-2E9C-101B-9397-08002B2CF9AE}" pid="4" name="BetänkandeÅr">
    <vt:lpwstr>2000/01</vt:lpwstr>
  </property>
  <property fmtid="{D5CDD505-2E9C-101B-9397-08002B2CF9AE}" pid="5" name="UtkastDatum">
    <vt:lpwstr>Ja</vt:lpwstr>
  </property>
  <property fmtid="{D5CDD505-2E9C-101B-9397-08002B2CF9AE}" pid="6" name="Status">
    <vt:lpwstr/>
  </property>
  <property fmtid="{D5CDD505-2E9C-101B-9397-08002B2CF9AE}" pid="7" name="Numrering">
    <vt:lpwstr>NotUpdated</vt:lpwstr>
  </property>
</Properties>
</file>