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151C4">
        <w:tblPrEx>
          <w:tblCellMar>
            <w:top w:w="0" w:type="dxa"/>
            <w:left w:w="0" w:type="dxa"/>
            <w:bottom w:w="0" w:type="dxa"/>
            <w:right w:w="0" w:type="dxa"/>
          </w:tblCellMar>
        </w:tblPrEx>
        <w:trPr>
          <w:gridAfter w:val="2"/>
          <w:wAfter w:w="1758" w:type="dxa"/>
          <w:cantSplit/>
          <w:trHeight w:val="1320"/>
        </w:trPr>
        <w:tc>
          <w:tcPr>
            <w:tcW w:w="5897" w:type="dxa"/>
          </w:tcPr>
          <w:p w:rsidR="002F2A53" w:rsidRPr="002151C4" w:rsidRDefault="002F2A53">
            <w:pPr>
              <w:pStyle w:val="HuvudRubrik"/>
            </w:pPr>
            <w:r w:rsidRPr="002151C4">
              <w:t>Regeringskansliet</w:t>
            </w:r>
          </w:p>
          <w:p w:rsidR="002F2A53" w:rsidRPr="002151C4" w:rsidRDefault="002F2A53">
            <w:pPr>
              <w:pStyle w:val="HuvudRubrik"/>
            </w:pPr>
            <w:r w:rsidRPr="002151C4">
              <w:t>Faktapromemoria 2003/04:FPM87</w:t>
            </w:r>
          </w:p>
        </w:tc>
      </w:tr>
      <w:tr w:rsidR="00000000" w:rsidRPr="002151C4">
        <w:tblPrEx>
          <w:tblCellMar>
            <w:top w:w="0" w:type="dxa"/>
            <w:left w:w="0" w:type="dxa"/>
            <w:bottom w:w="0" w:type="dxa"/>
            <w:right w:w="0" w:type="dxa"/>
          </w:tblCellMar>
        </w:tblPrEx>
        <w:trPr>
          <w:gridAfter w:val="2"/>
          <w:wAfter w:w="1758" w:type="dxa"/>
          <w:cantSplit/>
          <w:trHeight w:val="240"/>
        </w:trPr>
        <w:tc>
          <w:tcPr>
            <w:tcW w:w="5897" w:type="dxa"/>
          </w:tcPr>
          <w:p w:rsidR="002F2A53" w:rsidRPr="002151C4" w:rsidRDefault="002F2A53">
            <w:pPr>
              <w:pStyle w:val="HuvudRubrik"/>
              <w:rPr>
                <w:sz w:val="28"/>
              </w:rPr>
            </w:pPr>
            <w:r w:rsidRPr="002151C4">
              <w:t>Förslag till förordning om inrättande av en ordning för lokal gränstrafik vid medlemsstaternas yttre landgränser, Förslag till rådets förordning om inrättande av en ordning för lokal gränstrafik vid tillfälliga yttre landgränser mellan medlemsstaterna</w:t>
            </w:r>
          </w:p>
        </w:tc>
      </w:tr>
      <w:tr w:rsidR="00000000" w:rsidRPr="002151C4">
        <w:tblPrEx>
          <w:tblCellMar>
            <w:top w:w="0" w:type="dxa"/>
            <w:left w:w="0" w:type="dxa"/>
            <w:bottom w:w="0" w:type="dxa"/>
            <w:right w:w="0" w:type="dxa"/>
          </w:tblCellMar>
        </w:tblPrEx>
        <w:trPr>
          <w:cantSplit/>
          <w:trHeight w:val="285"/>
        </w:trPr>
        <w:tc>
          <w:tcPr>
            <w:tcW w:w="7655" w:type="dxa"/>
            <w:gridSpan w:val="3"/>
          </w:tcPr>
          <w:p w:rsidR="002F2A53" w:rsidRPr="002151C4" w:rsidRDefault="002F2A53">
            <w:pPr>
              <w:pStyle w:val="Departement"/>
              <w:rPr>
                <w:sz w:val="28"/>
              </w:rPr>
            </w:pPr>
            <w:r w:rsidRPr="002151C4">
              <w:t>Utrikesdepartementet</w:t>
            </w:r>
          </w:p>
        </w:tc>
      </w:tr>
      <w:tr w:rsidR="00000000" w:rsidRPr="002151C4">
        <w:tblPrEx>
          <w:tblCellMar>
            <w:top w:w="0" w:type="dxa"/>
            <w:left w:w="0" w:type="dxa"/>
            <w:bottom w:w="0" w:type="dxa"/>
            <w:right w:w="0" w:type="dxa"/>
          </w:tblCellMar>
        </w:tblPrEx>
        <w:trPr>
          <w:cantSplit/>
          <w:trHeight w:val="240"/>
        </w:trPr>
        <w:tc>
          <w:tcPr>
            <w:tcW w:w="7655" w:type="dxa"/>
            <w:gridSpan w:val="3"/>
          </w:tcPr>
          <w:p w:rsidR="002F2A53" w:rsidRPr="002151C4" w:rsidRDefault="002F2A53">
            <w:pPr>
              <w:pStyle w:val="Dokumentdatum"/>
            </w:pPr>
            <w:r w:rsidRPr="002151C4">
              <w:t>2004-04-05</w:t>
            </w:r>
          </w:p>
        </w:tc>
      </w:tr>
      <w:tr w:rsidR="00000000" w:rsidRPr="002151C4">
        <w:tblPrEx>
          <w:tblCellMar>
            <w:top w:w="0" w:type="dxa"/>
            <w:left w:w="0" w:type="dxa"/>
            <w:bottom w:w="0" w:type="dxa"/>
            <w:right w:w="0" w:type="dxa"/>
          </w:tblCellMar>
        </w:tblPrEx>
        <w:trPr>
          <w:cantSplit/>
          <w:trHeight w:val="726"/>
        </w:trPr>
        <w:tc>
          <w:tcPr>
            <w:tcW w:w="7655" w:type="dxa"/>
            <w:gridSpan w:val="3"/>
            <w:vAlign w:val="bottom"/>
          </w:tcPr>
          <w:p w:rsidR="002F2A53" w:rsidRPr="002151C4" w:rsidRDefault="002F2A53">
            <w:pPr>
              <w:pStyle w:val="Dokumentbeteckning"/>
            </w:pPr>
            <w:r w:rsidRPr="002151C4">
              <w:t>Dokumentbeteckning</w:t>
            </w:r>
          </w:p>
        </w:tc>
      </w:tr>
      <w:tr w:rsidR="00000000" w:rsidRPr="002151C4">
        <w:tblPrEx>
          <w:tblCellMar>
            <w:top w:w="0" w:type="dxa"/>
            <w:left w:w="0" w:type="dxa"/>
            <w:bottom w:w="0" w:type="dxa"/>
            <w:right w:w="0" w:type="dxa"/>
          </w:tblCellMar>
        </w:tblPrEx>
        <w:trPr>
          <w:gridAfter w:val="1"/>
          <w:wAfter w:w="1560" w:type="dxa"/>
          <w:trHeight w:val="120"/>
        </w:trPr>
        <w:tc>
          <w:tcPr>
            <w:tcW w:w="6095" w:type="dxa"/>
            <w:gridSpan w:val="2"/>
          </w:tcPr>
          <w:p w:rsidR="002F2A53" w:rsidRPr="002151C4" w:rsidRDefault="002F2A53">
            <w:bookmarkStart w:id="0" w:name="KomNr"/>
            <w:bookmarkEnd w:id="0"/>
            <w:r w:rsidRPr="002151C4">
              <w:t>KOM (2003) 502 slutlig</w:t>
            </w:r>
          </w:p>
        </w:tc>
      </w:tr>
      <w:tr w:rsidR="00000000" w:rsidRPr="002151C4">
        <w:tblPrEx>
          <w:tblCellMar>
            <w:top w:w="0" w:type="dxa"/>
            <w:left w:w="0" w:type="dxa"/>
            <w:bottom w:w="0" w:type="dxa"/>
            <w:right w:w="0" w:type="dxa"/>
          </w:tblCellMar>
        </w:tblPrEx>
        <w:trPr>
          <w:gridAfter w:val="1"/>
          <w:wAfter w:w="1560" w:type="dxa"/>
          <w:trHeight w:val="120"/>
        </w:trPr>
        <w:tc>
          <w:tcPr>
            <w:tcW w:w="6095" w:type="dxa"/>
            <w:gridSpan w:val="2"/>
          </w:tcPr>
          <w:p w:rsidR="002F2A53" w:rsidRPr="002151C4" w:rsidRDefault="002F2A53">
            <w:pPr>
              <w:pStyle w:val="Dokumentbeteckning-titel"/>
            </w:pPr>
            <w:r w:rsidRPr="002151C4">
              <w:t>Förslag till rådets förordning om inrättande av en ordning för lokal gränstrafik vid medlemsstaternas yttre landgränser. Förslag till rådets förordning om inrättande av en ordning för lokal gränstrafik vid tillfälliga yttre landgränser mellan medlemsstaterna</w:t>
            </w:r>
          </w:p>
        </w:tc>
      </w:tr>
    </w:tbl>
    <w:p w:rsidR="002F2A53" w:rsidRPr="002151C4" w:rsidRDefault="002F2A53">
      <w:pPr>
        <w:pStyle w:val="Rubrik1"/>
        <w:numPr>
          <w:ilvl w:val="0"/>
          <w:numId w:val="0"/>
        </w:numPr>
      </w:pPr>
      <w:r w:rsidRPr="002151C4">
        <w:t>Sammanfattning</w:t>
      </w:r>
    </w:p>
    <w:p w:rsidR="002F2A53" w:rsidRPr="002151C4" w:rsidRDefault="002F2A53">
      <w:r w:rsidRPr="002151C4">
        <w:t>I artikel 3.1. i konventionen om tillämpningen av Schengenavtalet (Schengenkonventionen) anges att särskilda bestämmelser skall fastställas av  den Verkställande kommittén (numer ersatt av rådet) om bland annat lokal gränstrafik. Med lokal gränstrafik avses regelbunden passage mellan två medlemsstater av personer som är bosatta i ett gränsområde i syfte att vistas i det angränsande landet under en viss period. Behovet av att utforma bestämmelser om lokal gränstrafik för att stärka gemenskapens rättsliga ra</w:t>
      </w:r>
      <w:r w:rsidRPr="002151C4">
        <w:t>mar för yttre gränser framhölls i kommissionens meddelande ”En framtida integrerad förvaltning av EU-medlemsstaternas yttre gränser”</w:t>
      </w:r>
      <w:r w:rsidRPr="002151C4">
        <w:rPr>
          <w:rStyle w:val="Fotnotsreferens"/>
        </w:rPr>
        <w:footnoteReference w:id="1"/>
      </w:r>
      <w:r w:rsidRPr="002151C4">
        <w:t xml:space="preserve"> och bekräftades den 13 juni 2002</w:t>
      </w:r>
      <w:r w:rsidRPr="002151C4">
        <w:rPr>
          <w:rStyle w:val="Fotnotsreferens"/>
        </w:rPr>
        <w:footnoteReference w:id="2"/>
      </w:r>
      <w:r w:rsidRPr="002151C4">
        <w:t xml:space="preserve"> då rådet antog den plan för integrerad förvaltning av de yttre gränserna som därefter även antogs av Europeiska rådet i Sevilla den </w:t>
      </w:r>
      <w:r w:rsidRPr="002151C4">
        <w:lastRenderedPageBreak/>
        <w:t>21-22 juni 2002. Frågan får dessutom vikt inför den kommande utvidgningen eftersom rörelser över gränserna mellan de framtida medlemsstaterna, och också mellan de framtida medlemsstaterna och deras grannar, är många. En av orsakerna till att utforma bestämmelser om lokal gränstrafik är sålunda bristen på en tydlig och sammanhållen rättslig ram. Det ligger också i det utvidgade</w:t>
      </w:r>
      <w:r w:rsidRPr="002151C4">
        <w:t xml:space="preserve"> EU:s intresse att gränserna mot grannländerna inte utgör hinder för handel, socialt och kulturellt utbyte eller regionalt samarbete. Förslaget omfattar inte sjögränser.    </w:t>
      </w:r>
    </w:p>
    <w:p w:rsidR="002F2A53" w:rsidRPr="002151C4" w:rsidRDefault="002F2A53"/>
    <w:p w:rsidR="002F2A53" w:rsidRPr="002151C4" w:rsidRDefault="002F2A53">
      <w:pPr>
        <w:pStyle w:val="Rubrik1"/>
      </w:pPr>
      <w:r w:rsidRPr="002151C4">
        <w:t>Förslaget</w:t>
      </w:r>
    </w:p>
    <w:p w:rsidR="002F2A53" w:rsidRPr="002151C4" w:rsidRDefault="002F2A53">
      <w:pPr>
        <w:pStyle w:val="Rubrik2"/>
      </w:pPr>
      <w:r w:rsidRPr="002151C4">
        <w:t>Innehåll</w:t>
      </w:r>
    </w:p>
    <w:p w:rsidR="002F2A53" w:rsidRPr="002151C4" w:rsidRDefault="002F2A53">
      <w:r w:rsidRPr="002151C4">
        <w:t>Förslaget innehåller två delar av följande skäl: För det första är de flesta av de tredje länder som gränsar till de nya medlemsstaterna, till skillnad från dagens situation, länder vars medborgare måste ha visering för att resa in i EU. Därför föreslås en förordning med allmänna bestämmelser om kriterier och villkor för att inrätta lokal gränstrafik vid medlemsstaternas yttre landgränser och om inrättande av en särskild visering för ändamålet. För det andra kommer gränskontrollen att finnas kvar en viss t</w:t>
      </w:r>
      <w:r w:rsidRPr="002151C4">
        <w:t>id – till dess Schengenregelverket fullt ut har genomförts av de nya medlemsstaterna och de inre gränskontrollerna har avskaffats - efter anslutningen mellan de nya medlemsstaterna och de nuvarande Schengenstaterna och också mellan de nya medlemsstaterna sinsemellan. Därför föreslås en andra förordning om tillämpningen av bestämmelserna vid de tillfälliga yttre landgränserna mellan medlemsstaterna. Förslaget innehåller sålunda bestämmelser om kriterier och villkor som skall uppfyllas i samband med att man u</w:t>
      </w:r>
      <w:r w:rsidRPr="002151C4">
        <w:t>nderlättar för gränsboende att passera medlemsstaternas yttre landgränser samtidigt som de även måste tillgodose behovet av att förebygga olaglig invandring och potentiella hot mot säkerheten orsakade av brottslig verksamhet.</w:t>
      </w:r>
    </w:p>
    <w:p w:rsidR="002F2A53" w:rsidRPr="002151C4" w:rsidRDefault="002F2A53">
      <w:pPr>
        <w:rPr>
          <w:i/>
        </w:rPr>
      </w:pPr>
      <w:r w:rsidRPr="002151C4">
        <w:rPr>
          <w:i/>
        </w:rPr>
        <w:t xml:space="preserve">Förslaget till förordning om inrättandet av en ordning för lokal gränstrafik vid medlemsstaternas yttre landgränser   </w:t>
      </w:r>
    </w:p>
    <w:p w:rsidR="002F2A53" w:rsidRPr="002151C4" w:rsidRDefault="002F2A53">
      <w:r w:rsidRPr="002151C4">
        <w:t>Genom förslaget bemyndigas medlemsstaterna, om så är lämpligt, att förhandla bilateralt med sina grannar om särskilda arrangemang som är tillämpliga på lokal gränstrafik vid deras gemensamma landgräns, (artiklarna 1 och 17).</w:t>
      </w:r>
    </w:p>
    <w:p w:rsidR="002F2A53" w:rsidRPr="002151C4" w:rsidRDefault="002F2A53">
      <w:r w:rsidRPr="002151C4">
        <w:t xml:space="preserve">Förslaget påverkar inte rätten till fri rörlighet för unionsmedborgare och unionsmedborgares familjemedlemmar som är tredjelandsmedborgare (artikel 2).  </w:t>
      </w:r>
    </w:p>
    <w:p w:rsidR="002F2A53" w:rsidRPr="002151C4" w:rsidRDefault="002F2A53">
      <w:r w:rsidRPr="002151C4">
        <w:t>För gränsboende som är undantagna från viseringstvång räcker det att gränsen kan passeras med ett identitetskort eller ett särskilt tillstånd för gränspassage (artikel 6). Personer som är undantagna från viseringstvång får vistas i gränsområdet i upp till sju dagar i följd. Den totala varaktigheten av flera på varandra följande vistelser får inte överstiga tre månader under en halvårsperiod (artikel 7). För gränsboende som omfattas av viseringstvång införs en särskild visering vars vistelsetid begränsas ti</w:t>
      </w:r>
      <w:r w:rsidRPr="002151C4">
        <w:t>ll sju dagar i följd inte längre än tre månader under en halvårsperiod (artiklarna 9 och 10). Viseringen skall dock vara giltig i minst ett år och högst fem år (artikel 12). Inrese- och utresestämplar skall inte fästas på den resehandling som den gränsboende innehar (artikel 16). Medlemsstaterna får upprätta särskilda gränsövergångar som endast är öppna för gränsboende. Förslaget ger även gränsboende tillstånd att passera gränsen på andra platser än vid de tillåtna gränsövergångarna och på andra tider än de</w:t>
      </w:r>
      <w:r w:rsidRPr="002151C4">
        <w:t xml:space="preserve"> fastställda (artikel 18).  </w:t>
      </w:r>
    </w:p>
    <w:p w:rsidR="002F2A53" w:rsidRPr="002151C4" w:rsidRDefault="002F2A53">
      <w:pPr>
        <w:rPr>
          <w:i/>
        </w:rPr>
      </w:pPr>
      <w:r w:rsidRPr="002151C4">
        <w:rPr>
          <w:i/>
        </w:rPr>
        <w:t xml:space="preserve">Förslag till rådets förordning om inrättande av en ordning för lokal gränstrafik vid tillfälliga yttre landgränser mellan medlemsstaterna     </w:t>
      </w:r>
    </w:p>
    <w:p w:rsidR="002F2A53" w:rsidRPr="002151C4" w:rsidRDefault="002F2A53">
      <w:r w:rsidRPr="002151C4">
        <w:t xml:space="preserve">Syftet med förslaget är att tillämpa samma ordning för lokal gränstrafik vid tillfälliga yttre landgränser som den ordning som föreslås för lokal gränstrafik vid medlemsstaternas yttre landgränser (artikel 1 och 3). </w:t>
      </w:r>
    </w:p>
    <w:p w:rsidR="002F2A53" w:rsidRPr="002151C4" w:rsidRDefault="002F2A53">
      <w:pPr>
        <w:pStyle w:val="Rubrik2"/>
      </w:pPr>
      <w:r w:rsidRPr="002151C4">
        <w:t>Gällande svenska regler och förslagets effekt på dessa</w:t>
      </w:r>
    </w:p>
    <w:p w:rsidR="002F2A53" w:rsidRPr="002151C4" w:rsidRDefault="002F2A53">
      <w:r w:rsidRPr="002151C4">
        <w:t xml:space="preserve">Sverige kommer inte att behöva förhandla bilateralt om särskilda arrangemang kring lokal gränstrafik då Sverige inte har gemensamma landgränser vare sig mot tredje länder som inte ingår i EU eller mot någon av de nya medlemsstaterna. Någon ändring av gällande lagar eller förordningar förutses inte. </w:t>
      </w:r>
    </w:p>
    <w:p w:rsidR="002F2A53" w:rsidRPr="002151C4" w:rsidRDefault="002F2A53">
      <w:pPr>
        <w:pStyle w:val="Rubrik2"/>
      </w:pPr>
      <w:r w:rsidRPr="002151C4">
        <w:t>Budgetära konsekvenser</w:t>
      </w:r>
    </w:p>
    <w:p w:rsidR="002F2A53" w:rsidRPr="002151C4" w:rsidRDefault="002F2A53">
      <w:r w:rsidRPr="002151C4">
        <w:t>Förslaget förutses inte få några budgetära konsekvenser för Sveriges del.</w:t>
      </w:r>
    </w:p>
    <w:p w:rsidR="002F2A53" w:rsidRPr="002151C4" w:rsidRDefault="002F2A53">
      <w:pPr>
        <w:pStyle w:val="Rubrik1"/>
      </w:pPr>
      <w:r w:rsidRPr="002151C4">
        <w:t>Ståndpunkter</w:t>
      </w:r>
    </w:p>
    <w:p w:rsidR="002F2A53" w:rsidRPr="002151C4" w:rsidRDefault="002F2A53">
      <w:pPr>
        <w:pStyle w:val="Rubrik2"/>
      </w:pPr>
      <w:r w:rsidRPr="002151C4">
        <w:t>Svensk ståndpunkt</w:t>
      </w:r>
    </w:p>
    <w:p w:rsidR="002F2A53" w:rsidRPr="002151C4" w:rsidRDefault="002F2A53">
      <w:r w:rsidRPr="002151C4">
        <w:t xml:space="preserve">Sverige stödjer kommissionens förslag. Även om Sverige inte direkt berörs är det önskvärt att en särskild ordning för lokal gränstrafik inrättas i enlighet med rådets uppmaning till kommissionen. Härtill kommer att de nya medlemsstaterna särskilt har begärt att få riktlinjer i frågan för att kunna tillämpa Schengenregelverket korrekt. Sverige är dock tveksam till artikel 18 som bl.a. ger möjlighet för gränsboende att passera gränsen på andra platser och på andra tider än vid de tillåtna gränsövergångarna. </w:t>
      </w:r>
      <w:r w:rsidRPr="002151C4">
        <w:t xml:space="preserve">Denna bestämmelse bör utgå eftersom den omöjliggör gränskontroll.       </w:t>
      </w:r>
    </w:p>
    <w:p w:rsidR="002F2A53" w:rsidRPr="002151C4" w:rsidRDefault="002F2A53">
      <w:pPr>
        <w:pStyle w:val="Rubrik2"/>
      </w:pPr>
      <w:r w:rsidRPr="002151C4">
        <w:t>Medlemsstaternas ståndpunkter</w:t>
      </w:r>
    </w:p>
    <w:p w:rsidR="002F2A53" w:rsidRPr="002151C4" w:rsidRDefault="002F2A53">
      <w:r w:rsidRPr="002151C4">
        <w:t xml:space="preserve">Framför allt tre medlemsstater har invändningar mot förslaget. Dessa medlemsstater menar att en ordning som underlättar för gränsboende bör kunna tillgodoses inom ramen för gällande bestämmelser i Schengenregelverket. Även om dessa medlemsstater kan acceptera en särskild ordning för lokal gränstrafik råder det dock inte någon enhällig uppfattning om förslaget i sådana fall bör omfatta personer som är undantagna från viseringstvång.       </w:t>
      </w:r>
    </w:p>
    <w:p w:rsidR="002F2A53" w:rsidRPr="002151C4" w:rsidRDefault="002F2A53">
      <w:pPr>
        <w:pStyle w:val="Rubrik2"/>
      </w:pPr>
      <w:r w:rsidRPr="002151C4">
        <w:t>Institutionernas ståndpunkter</w:t>
      </w:r>
    </w:p>
    <w:p w:rsidR="002F2A53" w:rsidRPr="002151C4" w:rsidRDefault="002F2A53">
      <w:r w:rsidRPr="002151C4">
        <w:t xml:space="preserve">Europaparlamentet har inte yttrat sig i ärendet. </w:t>
      </w:r>
    </w:p>
    <w:p w:rsidR="002F2A53" w:rsidRPr="002151C4" w:rsidRDefault="002F2A53">
      <w:pPr>
        <w:pStyle w:val="Rubrik2"/>
      </w:pPr>
      <w:r w:rsidRPr="002151C4">
        <w:t>Remissinstansernas ståndpunkter</w:t>
      </w:r>
    </w:p>
    <w:p w:rsidR="002F2A53" w:rsidRPr="002151C4" w:rsidRDefault="002F2A53">
      <w:r w:rsidRPr="002151C4">
        <w:t>Förslaget har inte remissbehandlats.</w:t>
      </w:r>
    </w:p>
    <w:p w:rsidR="002F2A53" w:rsidRPr="002151C4" w:rsidRDefault="002F2A53">
      <w:pPr>
        <w:pStyle w:val="Rubrik1"/>
      </w:pPr>
      <w:r w:rsidRPr="002151C4">
        <w:t>Övrigt</w:t>
      </w:r>
    </w:p>
    <w:p w:rsidR="002F2A53" w:rsidRPr="002151C4" w:rsidRDefault="002F2A53">
      <w:pPr>
        <w:pStyle w:val="Rubrik2"/>
      </w:pPr>
      <w:r w:rsidRPr="002151C4">
        <w:t>Fortsatt behandling av ärendet</w:t>
      </w:r>
    </w:p>
    <w:p w:rsidR="002F2A53" w:rsidRPr="002151C4" w:rsidRDefault="002F2A53">
      <w:r w:rsidRPr="002151C4">
        <w:t xml:space="preserve">Förslaget behandlas inom rådsstrukturen i vanlig ordning. </w:t>
      </w:r>
    </w:p>
    <w:p w:rsidR="002F2A53" w:rsidRPr="002151C4" w:rsidRDefault="002F2A53">
      <w:pPr>
        <w:pStyle w:val="Rubrik2"/>
      </w:pPr>
      <w:r w:rsidRPr="002151C4">
        <w:t>Rättslig grund och beslutsförfarande</w:t>
      </w:r>
    </w:p>
    <w:p w:rsidR="002F2A53" w:rsidRPr="002151C4" w:rsidRDefault="002F2A53">
      <w:r w:rsidRPr="002151C4">
        <w:t>Den rättsliga grunden för förordningen om fastställande av kriterier och villkor för att inrätta lokal gränstrafik är artikel 62.2 i EG-fördraget. Artikel 62.2 är också rättslig grund för förordningen om utsträckning av tillämpningen av bestämmelser om lokal gränstrafik vid de tillfälliga yttre landgränserna. Enligt artikel 67.1 i samma fördrag fattar rådet beslut med enhällighet efter att ha hört Europaparlamentet.</w:t>
      </w:r>
    </w:p>
    <w:p w:rsidR="002F2A53" w:rsidRPr="002151C4" w:rsidRDefault="002F2A53">
      <w:pPr>
        <w:pStyle w:val="Rubrik2"/>
      </w:pPr>
      <w:r w:rsidRPr="002151C4">
        <w:t>Fackuttryck/termer</w:t>
      </w:r>
    </w:p>
    <w:p w:rsidR="002F2A53" w:rsidRPr="002151C4" w:rsidRDefault="002F2A53"/>
    <w:sectPr w:rsidR="002F2A53" w:rsidRPr="002151C4">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2A53" w:rsidRPr="002151C4" w:rsidRDefault="002F2A53">
      <w:pPr>
        <w:spacing w:before="0" w:line="240" w:lineRule="auto"/>
      </w:pPr>
      <w:r w:rsidRPr="002151C4">
        <w:separator/>
      </w:r>
    </w:p>
  </w:endnote>
  <w:endnote w:type="continuationSeparator" w:id="0">
    <w:p w:rsidR="002F2A53" w:rsidRPr="002151C4" w:rsidRDefault="002F2A53">
      <w:pPr>
        <w:spacing w:before="0" w:line="240" w:lineRule="auto"/>
      </w:pPr>
      <w:r w:rsidRPr="002151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A53" w:rsidRPr="002151C4" w:rsidRDefault="002F2A53">
    <w:pPr>
      <w:pStyle w:val="SidfotH"/>
      <w:framePr w:wrap="around"/>
    </w:pPr>
    <w:r w:rsidRPr="002151C4">
      <w:t>2</w:t>
    </w:r>
  </w:p>
  <w:p w:rsidR="002F2A53" w:rsidRPr="002151C4" w:rsidRDefault="002F2A5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A53" w:rsidRPr="002151C4" w:rsidRDefault="002F2A53">
    <w:pPr>
      <w:pStyle w:val="SidfotH"/>
      <w:framePr w:wrap="around"/>
    </w:pPr>
    <w:r w:rsidRPr="002151C4">
      <w:t>1</w:t>
    </w:r>
  </w:p>
  <w:p w:rsidR="002F2A53" w:rsidRPr="002151C4" w:rsidRDefault="002F2A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2A53" w:rsidRPr="002151C4" w:rsidRDefault="002F2A53">
      <w:pPr>
        <w:spacing w:before="0" w:line="240" w:lineRule="auto"/>
      </w:pPr>
      <w:r w:rsidRPr="002151C4">
        <w:separator/>
      </w:r>
    </w:p>
  </w:footnote>
  <w:footnote w:type="continuationSeparator" w:id="0">
    <w:p w:rsidR="002F2A53" w:rsidRPr="002151C4" w:rsidRDefault="002F2A53">
      <w:pPr>
        <w:spacing w:before="0" w:line="240" w:lineRule="auto"/>
      </w:pPr>
      <w:r w:rsidRPr="002151C4">
        <w:continuationSeparator/>
      </w:r>
    </w:p>
  </w:footnote>
  <w:footnote w:id="1">
    <w:p w:rsidR="002F2A53" w:rsidRPr="002151C4" w:rsidRDefault="002F2A53">
      <w:pPr>
        <w:pStyle w:val="Fotnotstext"/>
      </w:pPr>
      <w:r w:rsidRPr="002151C4">
        <w:rPr>
          <w:rStyle w:val="Fotnotsreferens"/>
        </w:rPr>
        <w:footnoteRef/>
      </w:r>
      <w:r w:rsidRPr="002151C4">
        <w:t xml:space="preserve"> KOM(2002) 233 slutlig, 7.5.2002.</w:t>
      </w:r>
    </w:p>
  </w:footnote>
  <w:footnote w:id="2">
    <w:p w:rsidR="002F2A53" w:rsidRPr="002151C4" w:rsidRDefault="002F2A53">
      <w:pPr>
        <w:pStyle w:val="Fotnotstext"/>
      </w:pPr>
      <w:r w:rsidRPr="002151C4">
        <w:rPr>
          <w:rStyle w:val="Fotnotsreferens"/>
        </w:rPr>
        <w:footnoteRef/>
      </w:r>
      <w:r w:rsidRPr="002151C4">
        <w:t xml:space="preserve"> Dok. 10019/02 FRONT 58 COMIX 398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A53" w:rsidRPr="002151C4" w:rsidRDefault="002F2A53">
    <w:pPr>
      <w:pStyle w:val="Kantrubrik"/>
      <w:framePr w:h="1157" w:hRule="exact" w:wrap="around" w:y="738"/>
    </w:pPr>
    <w:r w:rsidRPr="002151C4">
      <w:t>2003/04:FPM87</w:t>
    </w:r>
  </w:p>
  <w:p w:rsidR="002F2A53" w:rsidRPr="002151C4" w:rsidRDefault="002F2A5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A53" w:rsidRPr="002151C4" w:rsidRDefault="002151C4">
    <w:pPr>
      <w:pStyle w:val="Sidhuvud"/>
    </w:pPr>
    <w:r w:rsidRPr="002151C4">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59149339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2F2A53" w:rsidRDefault="002F2A5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39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2F2A53" w:rsidRDefault="002F2A53">
                    <w:pPr>
                      <w:pStyle w:val="Logo"/>
                    </w:pPr>
                    <w:r>
                      <w:object w:dxaOrig="840" w:dyaOrig="1545">
                        <v:shape id="_x0000_i1025" type="#_x0000_t75" style="width:42pt;height:77.15pt" fillcolor="window">
                          <v:imagedata r:id="rId1" o:title=""/>
                        </v:shape>
                        <o:OLEObject Type="Embed" ProgID="Word.Picture.8" ShapeID="_x0000_i1025" DrawAspect="Content" ObjectID="_182741839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07207469">
    <w:abstractNumId w:val="4"/>
  </w:num>
  <w:num w:numId="2" w16cid:durableId="704647152">
    <w:abstractNumId w:val="1"/>
  </w:num>
  <w:num w:numId="3" w16cid:durableId="306396131">
    <w:abstractNumId w:val="2"/>
  </w:num>
  <w:num w:numId="4" w16cid:durableId="618221970">
    <w:abstractNumId w:val="3"/>
  </w:num>
  <w:num w:numId="5" w16cid:durableId="588584682">
    <w:abstractNumId w:val="5"/>
  </w:num>
  <w:num w:numId="6" w16cid:durableId="1079593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4-05"/>
    <w:docVar w:name="Ar" w:val="2003/04"/>
    <w:docVar w:name="Dep" w:val="Utrikesdepartementet"/>
    <w:docVar w:name="DepWeb" w:val="Utrikesdepartementet"/>
    <w:docVar w:name="GDB1" w:val="KOM (2003) 502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inrättande av en ordning för lokal gränstrafik vid medlemsstaternas yttre landgränser. Förslag till rådets förordning om inrättande av en ordning för lokal gränstrafik vid tillfälliga yttre landgränser mellan medlemsstatern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 502 slutlig"/>
    <w:docVar w:name="Nr" w:val="87"/>
    <w:docVar w:name="Rub" w:val="Förslag till förordning om inrättande av en ordning för lokal gränstrafik vid medlemsstaternas yttre landgränser, Förslag till rådets förordning om inrättande av en ordning för lokal gränstrafik vid tillfälliga yttre landgränser mellan medlemsstaterna"/>
    <w:docVar w:name="UppDat" w:val="2004-04-05"/>
    <w:docVar w:name="Utsk" w:val="Socialförsäkringsutskottet"/>
  </w:docVars>
  <w:rsids>
    <w:rsidRoot w:val="004D3DEA"/>
    <w:rsid w:val="002151C4"/>
    <w:rsid w:val="002F2A53"/>
    <w:rsid w:val="004D3DE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E5C4F4-BE91-485E-B065-08CD71E5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1034</Words>
  <Characters>6428</Characters>
  <Application>Microsoft Office Word</Application>
  <DocSecurity>4</DocSecurity>
  <Lines>126</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2004-04-05T12:16:00Z</cp:lastPrinted>
  <dcterms:created xsi:type="dcterms:W3CDTF">2025-12-16T18:18:00Z</dcterms:created>
  <dcterms:modified xsi:type="dcterms:W3CDTF">2025-12-16T18:18:00Z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87</vt:lpwstr>
  </property>
  <property fmtid="{D5CDD505-2E9C-101B-9397-08002B2CF9AE}" pid="4" name="GDB1">
    <vt:lpwstr>KOM (2003) 502 slutlig</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Förslag till förordning om inrättande av en ordning för lokal gränstrafik vid medlemsstaternas yttre landgränser, Förslag till rådets förordning om inrättande av en ordning för lokal gränstrafik vid tillfälliga yttre landgränser mellan medlemsstaterna</vt:lpwstr>
  </property>
  <property fmtid="{D5CDD505-2E9C-101B-9397-08002B2CF9AE}" pid="8" name="UppDat">
    <vt:lpwstr>2004-04-05</vt:lpwstr>
  </property>
  <property fmtid="{D5CDD505-2E9C-101B-9397-08002B2CF9AE}" pid="9" name="AnkDat">
    <vt:lpwstr>2004-04-05</vt:lpwstr>
  </property>
  <property fmtid="{D5CDD505-2E9C-101B-9397-08002B2CF9AE}" pid="10" name="Utsk">
    <vt:lpwstr>Socialförsäkringsutskottet</vt:lpwstr>
  </property>
  <property fmtid="{D5CDD505-2E9C-101B-9397-08002B2CF9AE}" pid="11" name="Ar">
    <vt:lpwstr>2003/04</vt:lpwstr>
  </property>
  <property fmtid="{D5CDD505-2E9C-101B-9397-08002B2CF9AE}" pid="12" name="DepID">
    <vt:lpwstr>3;0;0;227</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