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0CA52579" w14:textId="77777777">
        <w:tc>
          <w:tcPr>
            <w:tcW w:w="2268" w:type="dxa"/>
          </w:tcPr>
          <w:p w14:paraId="47F9FDC3" w14:textId="6A7636F8"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5C88F17D" w14:textId="4D2C07FD"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0BA5F91" w14:textId="77777777">
        <w:tc>
          <w:tcPr>
            <w:tcW w:w="2268" w:type="dxa"/>
          </w:tcPr>
          <w:p w14:paraId="369B5D5D" w14:textId="71280F36"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01597A6D"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0D3B735B" w14:textId="77777777">
        <w:tc>
          <w:tcPr>
            <w:tcW w:w="3402" w:type="dxa"/>
            <w:gridSpan w:val="2"/>
          </w:tcPr>
          <w:p w14:paraId="68F131D0" w14:textId="62BFE258" w:rsidR="006E4E11" w:rsidRPr="00340549" w:rsidRDefault="006E4E11" w:rsidP="007242A3">
            <w:pPr>
              <w:framePr w:w="5035" w:h="1644" w:wrap="notBeside" w:vAnchor="page" w:hAnchor="page" w:x="6573" w:y="721"/>
              <w:rPr>
                <w:i/>
              </w:rPr>
            </w:pPr>
          </w:p>
        </w:tc>
        <w:tc>
          <w:tcPr>
            <w:tcW w:w="1865" w:type="dxa"/>
          </w:tcPr>
          <w:p w14:paraId="0810F2B3" w14:textId="77777777" w:rsidR="006E4E11" w:rsidRPr="00005077" w:rsidRDefault="006E4E11" w:rsidP="007242A3">
            <w:pPr>
              <w:framePr w:w="5035" w:h="1644" w:wrap="notBeside" w:vAnchor="page" w:hAnchor="page" w:x="6573" w:y="721"/>
            </w:pPr>
          </w:p>
        </w:tc>
      </w:tr>
      <w:tr w:rsidR="006E4E11" w:rsidRPr="00005077" w14:paraId="4BE21DD3" w14:textId="77777777">
        <w:tc>
          <w:tcPr>
            <w:tcW w:w="2268" w:type="dxa"/>
          </w:tcPr>
          <w:p w14:paraId="3CC5119F" w14:textId="77777777" w:rsidR="006E4E11" w:rsidRPr="00005077" w:rsidRDefault="00340549" w:rsidP="0033204E">
            <w:pPr>
              <w:framePr w:w="5035" w:h="1644" w:wrap="notBeside" w:vAnchor="page" w:hAnchor="page" w:x="6573" w:y="721"/>
            </w:pPr>
            <w:r>
              <w:t>2015-</w:t>
            </w:r>
            <w:r w:rsidR="0033204E">
              <w:t>05-04</w:t>
            </w:r>
          </w:p>
        </w:tc>
        <w:tc>
          <w:tcPr>
            <w:tcW w:w="2999" w:type="dxa"/>
            <w:gridSpan w:val="2"/>
          </w:tcPr>
          <w:p w14:paraId="6F41D700" w14:textId="77777777" w:rsidR="006E4E11" w:rsidRPr="00005077" w:rsidRDefault="006E4E11" w:rsidP="007242A3">
            <w:pPr>
              <w:framePr w:w="5035" w:h="1644" w:wrap="notBeside" w:vAnchor="page" w:hAnchor="page" w:x="6573" w:y="721"/>
              <w:rPr>
                <w:sz w:val="20"/>
              </w:rPr>
            </w:pPr>
          </w:p>
        </w:tc>
      </w:tr>
      <w:tr w:rsidR="006E4E11" w:rsidRPr="00005077" w14:paraId="46235AB6" w14:textId="77777777">
        <w:tc>
          <w:tcPr>
            <w:tcW w:w="2268" w:type="dxa"/>
          </w:tcPr>
          <w:p w14:paraId="3C9F0709" w14:textId="31499356" w:rsidR="006E4E11" w:rsidRPr="00005077" w:rsidRDefault="006E4E11" w:rsidP="007242A3">
            <w:pPr>
              <w:framePr w:w="5035" w:h="1644" w:wrap="notBeside" w:vAnchor="page" w:hAnchor="page" w:x="6573" w:y="721"/>
            </w:pPr>
          </w:p>
        </w:tc>
        <w:tc>
          <w:tcPr>
            <w:tcW w:w="2999" w:type="dxa"/>
            <w:gridSpan w:val="2"/>
          </w:tcPr>
          <w:p w14:paraId="3BDDC6E0" w14:textId="77777777" w:rsidR="006E4E11" w:rsidRPr="00005077" w:rsidRDefault="006E4E11" w:rsidP="007242A3">
            <w:pPr>
              <w:framePr w:w="5035" w:h="1644" w:wrap="notBeside" w:vAnchor="page" w:hAnchor="page" w:x="6573" w:y="721"/>
            </w:pPr>
          </w:p>
        </w:tc>
      </w:tr>
    </w:tbl>
    <w:p w14:paraId="555BE211"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0DC35BB" w14:textId="77777777">
        <w:trPr>
          <w:trHeight w:val="284"/>
        </w:trPr>
        <w:tc>
          <w:tcPr>
            <w:tcW w:w="4911" w:type="dxa"/>
          </w:tcPr>
          <w:p w14:paraId="40FC79DF"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03F92B0E" w14:textId="77777777">
        <w:trPr>
          <w:trHeight w:val="284"/>
        </w:trPr>
        <w:tc>
          <w:tcPr>
            <w:tcW w:w="4911" w:type="dxa"/>
          </w:tcPr>
          <w:p w14:paraId="0B0618FC" w14:textId="77777777" w:rsidR="006E4E11" w:rsidRPr="00005077" w:rsidRDefault="006E4E11">
            <w:pPr>
              <w:pStyle w:val="Avsndare"/>
              <w:framePr w:h="2483" w:wrap="notBeside" w:x="1504"/>
              <w:rPr>
                <w:bCs/>
                <w:iCs/>
              </w:rPr>
            </w:pPr>
          </w:p>
        </w:tc>
      </w:tr>
      <w:tr w:rsidR="006E4E11" w:rsidRPr="00005077" w14:paraId="4B17FA61" w14:textId="77777777">
        <w:trPr>
          <w:trHeight w:val="284"/>
        </w:trPr>
        <w:tc>
          <w:tcPr>
            <w:tcW w:w="4911" w:type="dxa"/>
          </w:tcPr>
          <w:p w14:paraId="08F571B6" w14:textId="77777777" w:rsidR="006E4E11" w:rsidRPr="00005077" w:rsidRDefault="006E4E11">
            <w:pPr>
              <w:pStyle w:val="Avsndare"/>
              <w:framePr w:h="2483" w:wrap="notBeside" w:x="1504"/>
              <w:rPr>
                <w:bCs/>
                <w:iCs/>
              </w:rPr>
            </w:pPr>
          </w:p>
        </w:tc>
      </w:tr>
      <w:tr w:rsidR="006E4E11" w:rsidRPr="00005077" w14:paraId="3522860A" w14:textId="77777777">
        <w:trPr>
          <w:trHeight w:val="284"/>
        </w:trPr>
        <w:tc>
          <w:tcPr>
            <w:tcW w:w="4911" w:type="dxa"/>
          </w:tcPr>
          <w:p w14:paraId="71ED3BF8" w14:textId="77777777" w:rsidR="006E4E11" w:rsidRPr="00005077" w:rsidRDefault="006E4E11">
            <w:pPr>
              <w:pStyle w:val="Avsndare"/>
              <w:framePr w:h="2483" w:wrap="notBeside" w:x="1504"/>
              <w:rPr>
                <w:bCs/>
                <w:iCs/>
              </w:rPr>
            </w:pPr>
          </w:p>
        </w:tc>
      </w:tr>
      <w:tr w:rsidR="006E4E11" w:rsidRPr="00005077" w14:paraId="402FB7A5" w14:textId="77777777">
        <w:trPr>
          <w:trHeight w:val="284"/>
        </w:trPr>
        <w:tc>
          <w:tcPr>
            <w:tcW w:w="4911" w:type="dxa"/>
          </w:tcPr>
          <w:p w14:paraId="087D0B86" w14:textId="77777777" w:rsidR="006E4E11" w:rsidRPr="00005077" w:rsidRDefault="006E4E11">
            <w:pPr>
              <w:pStyle w:val="Avsndare"/>
              <w:framePr w:h="2483" w:wrap="notBeside" w:x="1504"/>
              <w:rPr>
                <w:bCs/>
                <w:iCs/>
              </w:rPr>
            </w:pPr>
          </w:p>
        </w:tc>
      </w:tr>
      <w:tr w:rsidR="006E4E11" w:rsidRPr="00005077" w14:paraId="3548D3EA" w14:textId="77777777">
        <w:trPr>
          <w:trHeight w:val="284"/>
        </w:trPr>
        <w:tc>
          <w:tcPr>
            <w:tcW w:w="4911" w:type="dxa"/>
          </w:tcPr>
          <w:p w14:paraId="01A515FA" w14:textId="77777777" w:rsidR="006E4E11" w:rsidRPr="00005077" w:rsidRDefault="006E4E11">
            <w:pPr>
              <w:pStyle w:val="Avsndare"/>
              <w:framePr w:h="2483" w:wrap="notBeside" w:x="1504"/>
              <w:rPr>
                <w:bCs/>
                <w:iCs/>
              </w:rPr>
            </w:pPr>
          </w:p>
        </w:tc>
      </w:tr>
      <w:tr w:rsidR="00005077" w:rsidRPr="00005077" w14:paraId="1D68E47A" w14:textId="77777777">
        <w:trPr>
          <w:trHeight w:val="284"/>
        </w:trPr>
        <w:tc>
          <w:tcPr>
            <w:tcW w:w="4911" w:type="dxa"/>
          </w:tcPr>
          <w:p w14:paraId="45F68569" w14:textId="77777777" w:rsidR="00005077" w:rsidRPr="00005077" w:rsidRDefault="00005077">
            <w:pPr>
              <w:pStyle w:val="Avsndare"/>
              <w:framePr w:h="2483" w:wrap="notBeside" w:x="1504"/>
              <w:rPr>
                <w:bCs/>
                <w:iCs/>
              </w:rPr>
            </w:pPr>
          </w:p>
        </w:tc>
      </w:tr>
    </w:tbl>
    <w:p w14:paraId="5C11D796" w14:textId="77777777" w:rsidR="00005077" w:rsidRDefault="00005077">
      <w:pPr>
        <w:framePr w:w="4400" w:h="2523" w:wrap="notBeside" w:vAnchor="page" w:hAnchor="page" w:x="6453" w:y="2445"/>
        <w:ind w:left="142"/>
      </w:pPr>
    </w:p>
    <w:p w14:paraId="33888955" w14:textId="77777777" w:rsidR="00005077" w:rsidRDefault="00005077">
      <w:pPr>
        <w:framePr w:w="4400" w:h="2523" w:wrap="notBeside" w:vAnchor="page" w:hAnchor="page" w:x="6453" w:y="2445"/>
        <w:ind w:left="142"/>
      </w:pPr>
    </w:p>
    <w:p w14:paraId="180954AD" w14:textId="77777777" w:rsidR="00005077" w:rsidRDefault="00005077">
      <w:pPr>
        <w:framePr w:w="4400" w:h="2523" w:wrap="notBeside" w:vAnchor="page" w:hAnchor="page" w:x="6453" w:y="2445"/>
        <w:ind w:left="142"/>
      </w:pPr>
      <w:r>
        <w:t xml:space="preserve">Ekofinrådets möte den </w:t>
      </w:r>
    </w:p>
    <w:p w14:paraId="39023FAC" w14:textId="77777777" w:rsidR="006E4E11" w:rsidRPr="00005077" w:rsidRDefault="0033204E">
      <w:pPr>
        <w:framePr w:w="4400" w:h="2523" w:wrap="notBeside" w:vAnchor="page" w:hAnchor="page" w:x="6453" w:y="2445"/>
        <w:ind w:left="142"/>
      </w:pPr>
      <w:r>
        <w:t>12 maj</w:t>
      </w:r>
      <w:r w:rsidR="00175FCE">
        <w:t xml:space="preserve"> i Bryssel</w:t>
      </w:r>
    </w:p>
    <w:p w14:paraId="2651869F" w14:textId="29DF9D0C" w:rsidR="0037413C" w:rsidRDefault="0037413C" w:rsidP="00005077">
      <w:pPr>
        <w:pStyle w:val="RKrubrik"/>
        <w:pBdr>
          <w:bottom w:val="single" w:sz="4" w:space="1" w:color="000000"/>
        </w:pBdr>
        <w:spacing w:before="0" w:after="0"/>
      </w:pPr>
      <w:bookmarkStart w:id="0" w:name="_GoBack"/>
      <w:bookmarkEnd w:id="0"/>
    </w:p>
    <w:p w14:paraId="20A65323" w14:textId="77777777" w:rsidR="006E4E11" w:rsidRPr="00005077" w:rsidRDefault="00005077" w:rsidP="00005077">
      <w:pPr>
        <w:pStyle w:val="RKrubrik"/>
        <w:pBdr>
          <w:bottom w:val="single" w:sz="4" w:space="1" w:color="000000"/>
        </w:pBdr>
        <w:spacing w:before="0" w:after="0"/>
      </w:pPr>
      <w:r>
        <w:t>Kommenterad dagordning</w:t>
      </w:r>
    </w:p>
    <w:p w14:paraId="27D0233C" w14:textId="77777777" w:rsidR="006E4E11" w:rsidRPr="00005077" w:rsidRDefault="00005077">
      <w:pPr>
        <w:pStyle w:val="RKnormal"/>
        <w:rPr>
          <w:sz w:val="20"/>
        </w:rPr>
      </w:pPr>
      <w:r>
        <w:rPr>
          <w:sz w:val="20"/>
        </w:rPr>
        <w:t>- enligt den preliminära dagordning som framkom</w:t>
      </w:r>
      <w:r w:rsidR="00347F48">
        <w:rPr>
          <w:sz w:val="20"/>
        </w:rPr>
        <w:t xml:space="preserve"> </w:t>
      </w:r>
      <w:r w:rsidR="00020BA0">
        <w:rPr>
          <w:sz w:val="20"/>
        </w:rPr>
        <w:t xml:space="preserve">den </w:t>
      </w:r>
      <w:r w:rsidR="00EB09DE">
        <w:rPr>
          <w:sz w:val="20"/>
        </w:rPr>
        <w:t>27</w:t>
      </w:r>
      <w:r w:rsidR="0033204E">
        <w:rPr>
          <w:sz w:val="20"/>
        </w:rPr>
        <w:t xml:space="preserve"> april 2015</w:t>
      </w:r>
    </w:p>
    <w:p w14:paraId="76E46D24" w14:textId="77777777" w:rsidR="00693D83" w:rsidRDefault="00693D83">
      <w:pPr>
        <w:pStyle w:val="RKnormal"/>
      </w:pPr>
    </w:p>
    <w:p w14:paraId="343BEEB2"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7A40FCCD" w14:textId="77777777" w:rsidR="004370D3" w:rsidRPr="00386A23" w:rsidRDefault="004370D3" w:rsidP="004370D3">
      <w:pPr>
        <w:pStyle w:val="Rubrik3"/>
        <w:rPr>
          <w:rStyle w:val="Stark"/>
          <w:u w:val="single"/>
        </w:rPr>
      </w:pPr>
      <w:r w:rsidRPr="00386A23">
        <w:rPr>
          <w:rStyle w:val="Stark"/>
          <w:u w:val="single"/>
        </w:rPr>
        <w:t>Lagstiftande verksamhet</w:t>
      </w:r>
    </w:p>
    <w:p w14:paraId="2A2F3205"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6F9EB2B8" w14:textId="77777777" w:rsidR="004370D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363B32EF"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181DB87E" w14:textId="77777777" w:rsidR="00DA05B6" w:rsidRPr="00340549" w:rsidRDefault="00006C6F" w:rsidP="00340549">
      <w:pPr>
        <w:pStyle w:val="Liststycke"/>
        <w:numPr>
          <w:ilvl w:val="0"/>
          <w:numId w:val="1"/>
        </w:numPr>
        <w:tabs>
          <w:tab w:val="left" w:pos="0"/>
        </w:tabs>
        <w:overflowPunct/>
        <w:spacing w:line="240" w:lineRule="auto"/>
        <w:textAlignment w:val="auto"/>
        <w:rPr>
          <w:rFonts w:cs="OrigGarmnd BT"/>
          <w:bCs/>
          <w:color w:val="000000"/>
          <w:szCs w:val="24"/>
          <w:lang w:eastAsia="sv-SE"/>
        </w:rPr>
      </w:pPr>
      <w:r w:rsidRPr="00340549">
        <w:rPr>
          <w:rFonts w:cs="OrigGarmnd BT"/>
          <w:b/>
          <w:bCs/>
          <w:color w:val="000000"/>
          <w:szCs w:val="24"/>
          <w:lang w:eastAsia="sv-SE"/>
        </w:rPr>
        <w:t>Investeringsplan för Europa</w:t>
      </w:r>
      <w:r w:rsidR="00A9526C" w:rsidRPr="00340549">
        <w:rPr>
          <w:rFonts w:cs="OrigGarmnd BT"/>
          <w:b/>
          <w:bCs/>
          <w:color w:val="000000"/>
          <w:szCs w:val="24"/>
          <w:lang w:eastAsia="sv-SE"/>
        </w:rPr>
        <w:t xml:space="preserve"> - Europeiska </w:t>
      </w:r>
      <w:r w:rsidR="00ED3466" w:rsidRPr="00340549">
        <w:rPr>
          <w:rFonts w:cs="OrigGarmnd BT"/>
          <w:b/>
          <w:bCs/>
          <w:color w:val="000000"/>
          <w:szCs w:val="24"/>
          <w:lang w:eastAsia="sv-SE"/>
        </w:rPr>
        <w:t>f</w:t>
      </w:r>
      <w:r w:rsidR="00A9526C" w:rsidRPr="00340549">
        <w:rPr>
          <w:rFonts w:cs="OrigGarmnd BT"/>
          <w:b/>
          <w:bCs/>
          <w:color w:val="000000"/>
          <w:szCs w:val="24"/>
          <w:lang w:eastAsia="sv-SE"/>
        </w:rPr>
        <w:t xml:space="preserve">onden för </w:t>
      </w:r>
      <w:r w:rsidR="00ED3466" w:rsidRPr="00340549">
        <w:rPr>
          <w:rFonts w:cs="OrigGarmnd BT"/>
          <w:b/>
          <w:bCs/>
          <w:color w:val="000000"/>
          <w:szCs w:val="24"/>
          <w:lang w:eastAsia="sv-SE"/>
        </w:rPr>
        <w:t>s</w:t>
      </w:r>
      <w:r w:rsidR="00A9526C" w:rsidRPr="00340549">
        <w:rPr>
          <w:rFonts w:cs="OrigGarmnd BT"/>
          <w:b/>
          <w:bCs/>
          <w:color w:val="000000"/>
          <w:szCs w:val="24"/>
          <w:lang w:eastAsia="sv-SE"/>
        </w:rPr>
        <w:t xml:space="preserve">trategiska </w:t>
      </w:r>
      <w:r w:rsidR="00ED3466" w:rsidRPr="00340549">
        <w:rPr>
          <w:rFonts w:cs="OrigGarmnd BT"/>
          <w:b/>
          <w:bCs/>
          <w:color w:val="000000"/>
          <w:szCs w:val="24"/>
          <w:lang w:eastAsia="sv-SE"/>
        </w:rPr>
        <w:t>i</w:t>
      </w:r>
      <w:r w:rsidR="00F90B42">
        <w:rPr>
          <w:rFonts w:cs="OrigGarmnd BT"/>
          <w:b/>
          <w:bCs/>
          <w:color w:val="000000"/>
          <w:szCs w:val="24"/>
          <w:lang w:eastAsia="sv-SE"/>
        </w:rPr>
        <w:t>nvesteringar (Efsi</w:t>
      </w:r>
      <w:r w:rsidR="00A9526C" w:rsidRPr="00340549">
        <w:rPr>
          <w:rFonts w:cs="OrigGarmnd BT"/>
          <w:b/>
          <w:bCs/>
          <w:color w:val="000000"/>
          <w:szCs w:val="24"/>
          <w:lang w:eastAsia="sv-SE"/>
        </w:rPr>
        <w:t>)</w:t>
      </w:r>
    </w:p>
    <w:p w14:paraId="473B800E" w14:textId="77777777" w:rsidR="00FB2B93" w:rsidRDefault="0033204E" w:rsidP="00195567">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Diskussionspunkt</w:t>
      </w:r>
    </w:p>
    <w:p w14:paraId="50AC8176" w14:textId="77777777" w:rsidR="00C6060F" w:rsidRDefault="00C6060F" w:rsidP="00C6060F">
      <w:pPr>
        <w:tabs>
          <w:tab w:val="left" w:pos="0"/>
        </w:tabs>
        <w:overflowPunct/>
        <w:spacing w:line="240" w:lineRule="auto"/>
        <w:textAlignment w:val="auto"/>
        <w:rPr>
          <w:lang w:eastAsia="sv-SE"/>
        </w:rPr>
      </w:pPr>
    </w:p>
    <w:p w14:paraId="04EF66AF" w14:textId="77777777" w:rsidR="00C6060F" w:rsidRDefault="00C6060F" w:rsidP="00C6060F">
      <w:r>
        <w:t xml:space="preserve">Ordförandeskapet och kommissionen väntas informera om pågående triloger som behandlar förslaget till förordning om Europeiska fonden för strategiska investeringar (Efsi). En allmän inriktning som lade fast rådets ståndpunkt beslutades av Ekofin den 10 mars. Den 20 april presenterade Europaparlamentets budgetutskott (BU) och utskottet för ekonomi och valutafrågor (ECON) Europaparlamentets rapport om kommissionens förslag till förordning om Efsi. </w:t>
      </w:r>
    </w:p>
    <w:p w14:paraId="6F4300BE" w14:textId="77777777" w:rsidR="00F716ED" w:rsidRDefault="00F716ED" w:rsidP="00C6060F"/>
    <w:p w14:paraId="78806990" w14:textId="77777777" w:rsidR="00F716ED" w:rsidRDefault="00F716ED" w:rsidP="00F716ED">
      <w:r>
        <w:t xml:space="preserve">Regeringen har samrått med EU-nämnden om investeringsplanen vid ett flertal tillfällen. Samråd om kommissionens förslag till förordning ägde rum senast den 6 mars 2015 inför Ekofinrådets möte den 10 mars. Överläggning med Finansutskottet skedde den 10 februari 2015. </w:t>
      </w:r>
    </w:p>
    <w:p w14:paraId="715EB2C5" w14:textId="77777777" w:rsidR="00C6060F" w:rsidRDefault="00C6060F" w:rsidP="00C6060F"/>
    <w:p w14:paraId="58FD1A57" w14:textId="77777777" w:rsidR="00C6060F" w:rsidRDefault="00C6060F" w:rsidP="00C6060F">
      <w:r>
        <w:t>Förslaget till förordning om Efsi utgör en del av kommissionens investeringsplan för Europa. Kommissionens förslag till förordning om E</w:t>
      </w:r>
      <w:r w:rsidR="00AE763E">
        <w:t>fsi</w:t>
      </w:r>
      <w:r>
        <w:t xml:space="preserve"> redogörs för i Faktapromemoria 2014/15: FPM18. Kommissionens meddelande om investeringsplanen redogörs för i Faktapromemoria 2014/15: FPM13. </w:t>
      </w:r>
    </w:p>
    <w:p w14:paraId="00E84F4E" w14:textId="77777777" w:rsidR="00C6060F" w:rsidRDefault="00C6060F" w:rsidP="00C6060F"/>
    <w:p w14:paraId="6B3712B0" w14:textId="77777777" w:rsidR="00C6060F" w:rsidRDefault="00C6060F" w:rsidP="00C6060F">
      <w:r>
        <w:lastRenderedPageBreak/>
        <w:t xml:space="preserve">Förhandlingarna med Europaparlamentet väntas bland annat kretsa kring finansieringen och styrningen av Efsi. Avsikten är fortsatt att förordningen ska kunna träda ikraft senast vid halvårsskiftet. </w:t>
      </w:r>
    </w:p>
    <w:p w14:paraId="3AD4E259" w14:textId="77777777" w:rsidR="00C6060F" w:rsidRDefault="00C6060F" w:rsidP="00C6060F">
      <w:pPr>
        <w:pStyle w:val="Default"/>
        <w:rPr>
          <w:rFonts w:ascii="Calibri" w:hAnsi="Calibri"/>
          <w:color w:val="auto"/>
          <w:sz w:val="22"/>
          <w:szCs w:val="22"/>
        </w:rPr>
      </w:pPr>
    </w:p>
    <w:p w14:paraId="13FC51AB" w14:textId="77777777" w:rsidR="00C6060F" w:rsidRPr="00F716ED" w:rsidRDefault="00C6060F" w:rsidP="00C6060F">
      <w:pPr>
        <w:rPr>
          <w:b/>
          <w:i/>
          <w:sz w:val="22"/>
          <w:szCs w:val="22"/>
        </w:rPr>
      </w:pPr>
      <w:r w:rsidRPr="00F716ED">
        <w:rPr>
          <w:b/>
          <w:i/>
        </w:rPr>
        <w:t xml:space="preserve">Regeringens ståndpunkt </w:t>
      </w:r>
    </w:p>
    <w:p w14:paraId="51D5BEB9" w14:textId="77777777" w:rsidR="00C6060F" w:rsidRDefault="00C6060F" w:rsidP="00C6060F">
      <w:r>
        <w:t xml:space="preserve">I det fortsatta lagstiftningsarbetet med Europaparlamentet avser regeringen fortsätta att driva de ståndpunkter som redovisats för riksdagen. </w:t>
      </w:r>
    </w:p>
    <w:p w14:paraId="1002A27E" w14:textId="77777777" w:rsidR="00C6060F" w:rsidRDefault="00C6060F" w:rsidP="00C6060F"/>
    <w:p w14:paraId="502062BC" w14:textId="77777777" w:rsidR="00C6060F" w:rsidRDefault="00C6060F" w:rsidP="00C6060F">
      <w:r>
        <w:t xml:space="preserve">Regeringen har välkomnat investeringsplanen, där Efsi ingår, som syftar till att öka investeringar i EU och därmed bidra till förutsättningar för fler jobb och högre tillväxtpotential. Investeringsplanen kan under de kommande tre åren bli ett viktigt komplement till de åtgärder som genomförs på nationell nivå, inklusive strukturreformer, för att stärka konkurrenskraft och tillväxt samt bidra till en hållbar utveckling. </w:t>
      </w:r>
    </w:p>
    <w:p w14:paraId="0578B186" w14:textId="77777777" w:rsidR="00C6060F" w:rsidRDefault="00C6060F" w:rsidP="00C6060F"/>
    <w:p w14:paraId="023F1263" w14:textId="77777777" w:rsidR="00C6060F" w:rsidRDefault="00C6060F" w:rsidP="00C6060F">
      <w:r>
        <w:t xml:space="preserve">Det är bra att planen fokuserar på att stimulera privata investeringar. Regeringen stödjer ambitionen att förbättra investeringsklimatet genom bättre lagstiftning och enklare regler samt fördjupning av den inre marknaden, särskilt den digitala inre marknaden. Av vikt är även att fortsatt verka för en öppen och fri världshandel. Det är viktigt med hållbara investeringar på energi-, miljö- och klimatområdet med fokus på innovativa teknologier. Investeringsplanen ska bidra till omställningen till en grön resurseffektiv ekonomi. </w:t>
      </w:r>
    </w:p>
    <w:p w14:paraId="48B115FD" w14:textId="77777777" w:rsidR="00C6060F" w:rsidRDefault="00C6060F" w:rsidP="00C6060F"/>
    <w:p w14:paraId="4CA56354" w14:textId="77777777" w:rsidR="00C6060F" w:rsidRDefault="00C6060F" w:rsidP="00C6060F">
      <w:r>
        <w:t>Generellt anser regeringen att det är viktigt att värna sunda offentliga finanser och att EU:s fleråriga budgetram för 2014-2020 respekteras. Regeringen ska aktivt arbeta för att eventuella ökade risker för EU:s budget, som investeringsplanen kan innebära, minimeras och att eventuella tillkommande utgiftsbehov inte får leda till ökade medlemsavgifter utan hanteras genom omprioriteringar. Beträffande Efsi avser regeringen vidare verka för att EIB:s roll blir central, att styrformerna inte kringskär EIB:s beslutsautonomi och att projekt granskas och bedöms - och finansiering beviljas - på transparenta och objektiva grunder.</w:t>
      </w:r>
    </w:p>
    <w:p w14:paraId="7FE064E1" w14:textId="77777777" w:rsidR="00C6060F" w:rsidRPr="00C6060F" w:rsidRDefault="00C6060F" w:rsidP="00C6060F">
      <w:pPr>
        <w:tabs>
          <w:tab w:val="left" w:pos="0"/>
        </w:tabs>
        <w:overflowPunct/>
        <w:spacing w:line="240" w:lineRule="auto"/>
        <w:textAlignment w:val="auto"/>
        <w:rPr>
          <w:rFonts w:cs="OrigGarmnd BT"/>
          <w:bCs/>
          <w:color w:val="000000"/>
          <w:szCs w:val="24"/>
          <w:lang w:eastAsia="sv-SE"/>
        </w:rPr>
      </w:pPr>
    </w:p>
    <w:p w14:paraId="5E8B03FF" w14:textId="77777777" w:rsidR="00FB2B93" w:rsidRPr="00391CF8" w:rsidRDefault="00FB2B93" w:rsidP="00FB2B93">
      <w:pPr>
        <w:rPr>
          <w:i/>
        </w:rPr>
      </w:pPr>
    </w:p>
    <w:p w14:paraId="16253C02" w14:textId="77777777" w:rsidR="00A73DEF" w:rsidRPr="00504D0F" w:rsidRDefault="00F716ED" w:rsidP="0033204E">
      <w:pPr>
        <w:pStyle w:val="Liststycke"/>
        <w:numPr>
          <w:ilvl w:val="0"/>
          <w:numId w:val="1"/>
        </w:numPr>
        <w:tabs>
          <w:tab w:val="left" w:pos="0"/>
        </w:tabs>
        <w:overflowPunct/>
        <w:spacing w:line="240" w:lineRule="auto"/>
        <w:textAlignment w:val="auto"/>
        <w:rPr>
          <w:rFonts w:cs="OrigGarmnd BT"/>
          <w:b/>
          <w:bCs/>
          <w:color w:val="000000"/>
          <w:szCs w:val="24"/>
          <w:lang w:eastAsia="sv-SE"/>
        </w:rPr>
      </w:pPr>
      <w:r>
        <w:rPr>
          <w:b/>
          <w:lang w:eastAsia="sv-SE"/>
        </w:rPr>
        <w:t xml:space="preserve">(ev.) </w:t>
      </w:r>
      <w:r w:rsidR="0033204E" w:rsidRPr="00504D0F">
        <w:rPr>
          <w:b/>
          <w:lang w:eastAsia="sv-SE"/>
        </w:rPr>
        <w:t xml:space="preserve">Ränte- och royaltydirektivet </w:t>
      </w:r>
    </w:p>
    <w:p w14:paraId="2D7BE18F" w14:textId="77777777" w:rsidR="00A73DEF" w:rsidRPr="002E7C17" w:rsidRDefault="00504D0F" w:rsidP="00391CF8">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504D0F">
        <w:rPr>
          <w:lang w:eastAsia="sv-SE"/>
        </w:rPr>
        <w:t>Beslutspunkt</w:t>
      </w:r>
    </w:p>
    <w:p w14:paraId="0488F3B5" w14:textId="77777777" w:rsidR="002E7C17" w:rsidRDefault="002E7C17" w:rsidP="002E7C17">
      <w:pPr>
        <w:pStyle w:val="RKnormal"/>
        <w:rPr>
          <w:rFonts w:cs="OrigGarmnd BT"/>
          <w:bCs/>
          <w:color w:val="000000"/>
          <w:szCs w:val="24"/>
          <w:lang w:eastAsia="sv-SE"/>
        </w:rPr>
      </w:pPr>
    </w:p>
    <w:p w14:paraId="14FA288B" w14:textId="77777777" w:rsidR="002E7C17" w:rsidRDefault="002E7C17" w:rsidP="002E7C17">
      <w:pPr>
        <w:pStyle w:val="RKnormal"/>
      </w:pPr>
      <w:r>
        <w:t>Avsikten är att uppnå en politisk överenskommelse avseende ändringar i ränte- och royaltydirektivet.</w:t>
      </w:r>
    </w:p>
    <w:p w14:paraId="5BF22267" w14:textId="77777777" w:rsidR="002E7C17" w:rsidRDefault="002E7C17" w:rsidP="002E7C17">
      <w:pPr>
        <w:pStyle w:val="Liststycke"/>
        <w:tabs>
          <w:tab w:val="left" w:pos="0"/>
        </w:tabs>
        <w:overflowPunct/>
        <w:spacing w:line="240" w:lineRule="auto"/>
        <w:textAlignment w:val="auto"/>
        <w:rPr>
          <w:rFonts w:cs="OrigGarmnd BT"/>
          <w:bCs/>
          <w:color w:val="000000"/>
          <w:szCs w:val="24"/>
          <w:lang w:eastAsia="sv-SE"/>
        </w:rPr>
      </w:pPr>
    </w:p>
    <w:p w14:paraId="731EB550" w14:textId="77777777" w:rsidR="002E7C17" w:rsidRDefault="002E7C17" w:rsidP="002E7C17">
      <w:r>
        <w:lastRenderedPageBreak/>
        <w:t>Överläggning med Skatteutskottet är planerad till den 7 maj 2015. Skatteutskottet informerades om frågan den 5 mars 2015.</w:t>
      </w:r>
    </w:p>
    <w:p w14:paraId="7C1EAD7A" w14:textId="77777777" w:rsidR="002E7C17" w:rsidRDefault="002E7C17" w:rsidP="002E7C17">
      <w:pPr>
        <w:pStyle w:val="RKnormal"/>
      </w:pPr>
      <w:r>
        <w:t xml:space="preserve">Ränte- och royaltydirektivet innebär att källskatter inte ska tas ut på ränte- och royaltybetalningar mellan närstående företag i olika medlemsstater. </w:t>
      </w:r>
    </w:p>
    <w:p w14:paraId="3FF2256B" w14:textId="77777777" w:rsidR="002E7C17" w:rsidRDefault="002E7C17" w:rsidP="002E7C17">
      <w:pPr>
        <w:pStyle w:val="RKnormal"/>
      </w:pPr>
    </w:p>
    <w:p w14:paraId="47925CB4" w14:textId="77777777" w:rsidR="002E7C17" w:rsidRDefault="002E7C17" w:rsidP="002E7C17">
      <w:pPr>
        <w:pStyle w:val="RKnormal"/>
      </w:pPr>
      <w:r>
        <w:t>Kommissionen presenterade i november 2011 ett förslag till om</w:t>
      </w:r>
      <w:r>
        <w:softHyphen/>
        <w:t xml:space="preserve">arbetning av direktivet som beskrivs närmare i faktapromemoria 2011/12:FPM45. Förslaget har behandlats i rådsarbetsgruppen för skattefrågor, men någon överenskommelse har inte kunnat nås. </w:t>
      </w:r>
    </w:p>
    <w:p w14:paraId="54FB2F45" w14:textId="77777777" w:rsidR="002E7C17" w:rsidRDefault="002E7C17" w:rsidP="002E7C17">
      <w:pPr>
        <w:pStyle w:val="RKnormal"/>
      </w:pPr>
    </w:p>
    <w:p w14:paraId="435147A7" w14:textId="77777777" w:rsidR="0021228C" w:rsidRPr="00EB63DF" w:rsidRDefault="0021228C" w:rsidP="0021228C">
      <w:pPr>
        <w:pStyle w:val="RKnormal"/>
        <w:rPr>
          <w:color w:val="000000"/>
        </w:rPr>
      </w:pPr>
      <w:r>
        <w:t>Det nuvarande lettiska ordförandeskapet har lämnat ett förslag till omarbetning av direktivet. Ordförandeskapet har i huvudsak föreslagit att det ska införas dels ett villkor enligt vilket friheten från källskatt på ränte- och royaltybetalningar bara ska gälla om betalningen faktiskt beskattas i mottagarstaten, dels en allmän anti-missbruksklausul liknande den som redan införts i moder- och dotterbolagsdirektivet.</w:t>
      </w:r>
    </w:p>
    <w:p w14:paraId="2036A67D" w14:textId="77777777" w:rsidR="002E7C17" w:rsidRDefault="002E7C17" w:rsidP="002E7C17">
      <w:pPr>
        <w:pStyle w:val="RKnormal"/>
        <w:spacing w:line="240" w:lineRule="auto"/>
        <w:textAlignment w:val="auto"/>
        <w:rPr>
          <w:color w:val="000000"/>
        </w:rPr>
      </w:pPr>
    </w:p>
    <w:p w14:paraId="6B9DD490" w14:textId="77777777" w:rsidR="002E7C17" w:rsidRPr="00EB63DF" w:rsidRDefault="002E7C17" w:rsidP="002E7C17">
      <w:pPr>
        <w:pStyle w:val="RKnormal"/>
        <w:spacing w:line="240" w:lineRule="auto"/>
        <w:textAlignment w:val="auto"/>
        <w:rPr>
          <w:color w:val="000000"/>
        </w:rPr>
      </w:pPr>
      <w:r>
        <w:rPr>
          <w:color w:val="000000"/>
        </w:rPr>
        <w:t xml:space="preserve">Eftersom medlemsstaterna inte har kunnat enas kring dessa frågor har ordförandeskapet nu föreslagit en uppdelning av frågorna och att frågan om en allmän anti-missbruksklausul behandlas i ett första steg. Förhandlingarna i rådsarbetsgruppen ska återupptas inför Ekofinrådsmötet den 12 maj, men det är i skrivande stund osäkert hur förslaget som ska behandlas på Ekofinrådet kommer att se ut. </w:t>
      </w:r>
    </w:p>
    <w:p w14:paraId="20F07946" w14:textId="77777777" w:rsidR="002E7C17" w:rsidRDefault="002E7C17" w:rsidP="002E7C17"/>
    <w:p w14:paraId="4469278E" w14:textId="77777777" w:rsidR="002E7C17" w:rsidRPr="00F716ED" w:rsidRDefault="002E7C17" w:rsidP="002E7C17">
      <w:pPr>
        <w:rPr>
          <w:b/>
          <w:i/>
          <w:sz w:val="22"/>
          <w:szCs w:val="22"/>
        </w:rPr>
      </w:pPr>
      <w:r w:rsidRPr="00F716ED">
        <w:rPr>
          <w:b/>
          <w:i/>
        </w:rPr>
        <w:t xml:space="preserve">Regeringens ståndpunkt </w:t>
      </w:r>
    </w:p>
    <w:p w14:paraId="111F441C" w14:textId="77777777" w:rsidR="002E7C17" w:rsidRPr="00AE04A8" w:rsidRDefault="002E7C17" w:rsidP="002E7C17">
      <w:pPr>
        <w:pStyle w:val="RKnormal"/>
      </w:pPr>
      <w:r>
        <w:t>Regeringen anser att det är viktigt att underlätta för företag som bedriver gränsöverskridande verksamhet inom den inre marknaden. Ränte- och royaltybetalningar mellan närstående bolag i olika medlemsstater bör därför inte beskattas mer än en gång. Samtidigt är det viktigt att säkerställa att sådana betalningar inte helt undgår beskattning. Det är viktigt att i så stor utsträckning som möjligt motverka möjligheterna till skattefusk. Regeringen är därför positivt inställd till att det införs en allmän anti-missbruksregel i direktivet. Öppenhet mellan medlems</w:t>
      </w:r>
      <w:r>
        <w:softHyphen/>
        <w:t>staterna genom en förbättrad transparens i tillämpningen bör också främjas.</w:t>
      </w:r>
    </w:p>
    <w:p w14:paraId="7784B19F" w14:textId="77777777" w:rsidR="00391CF8" w:rsidRPr="00391CF8" w:rsidRDefault="00391CF8" w:rsidP="00391CF8">
      <w:pPr>
        <w:pStyle w:val="Liststycke"/>
        <w:tabs>
          <w:tab w:val="left" w:pos="0"/>
        </w:tabs>
        <w:overflowPunct/>
        <w:spacing w:line="240" w:lineRule="auto"/>
        <w:textAlignment w:val="auto"/>
        <w:rPr>
          <w:rFonts w:cs="OrigGarmnd BT"/>
          <w:bCs/>
          <w:color w:val="000000"/>
          <w:szCs w:val="24"/>
          <w:lang w:eastAsia="sv-SE"/>
        </w:rPr>
      </w:pPr>
    </w:p>
    <w:p w14:paraId="389F1D98"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4B3F1B39"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4F042CBA" w14:textId="77777777"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6E34BF4C" w14:textId="77777777"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89BBDBE" w14:textId="77777777" w:rsidR="00AA445E" w:rsidRDefault="00AA445E" w:rsidP="00AA445E">
      <w:pPr>
        <w:tabs>
          <w:tab w:val="left" w:pos="0"/>
        </w:tabs>
        <w:overflowPunct/>
        <w:spacing w:line="240" w:lineRule="auto"/>
        <w:textAlignment w:val="auto"/>
        <w:rPr>
          <w:lang w:eastAsia="sv-SE"/>
        </w:rPr>
      </w:pPr>
    </w:p>
    <w:p w14:paraId="09CB1AE3" w14:textId="77777777" w:rsidR="00AA445E" w:rsidRDefault="00AA445E" w:rsidP="00AA445E">
      <w:pPr>
        <w:pStyle w:val="RKnormal"/>
      </w:pPr>
      <w:r>
        <w:t xml:space="preserve">Det har i skrivande stund inte kommit någon information </w:t>
      </w:r>
      <w:r w:rsidRPr="000B54F4">
        <w:t>från ordförandeskapet</w:t>
      </w:r>
      <w:r w:rsidR="003A1FE4">
        <w:t xml:space="preserve"> om</w:t>
      </w:r>
      <w:r>
        <w:t xml:space="preserve"> vilka förslag informationen kommer avse. </w:t>
      </w:r>
    </w:p>
    <w:p w14:paraId="4FD3297E" w14:textId="77777777"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72EB94FF" w14:textId="77777777" w:rsidR="00C55805" w:rsidRPr="00C55805" w:rsidRDefault="00C55805" w:rsidP="00C55805">
      <w:pPr>
        <w:pStyle w:val="Liststycke"/>
        <w:rPr>
          <w:rFonts w:cs="OrigGarmnd BT"/>
          <w:b/>
          <w:bCs/>
          <w:color w:val="000000"/>
          <w:szCs w:val="24"/>
          <w:lang w:eastAsia="sv-SE"/>
        </w:rPr>
      </w:pPr>
    </w:p>
    <w:p w14:paraId="52BFECC0" w14:textId="77777777" w:rsidR="00504D0F" w:rsidRDefault="00C55805" w:rsidP="00C6060F">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7EA742B" w14:textId="77777777" w:rsidR="00C6060F" w:rsidRPr="00C6060F" w:rsidRDefault="00C6060F" w:rsidP="00C6060F">
      <w:pPr>
        <w:pStyle w:val="Liststycke"/>
        <w:tabs>
          <w:tab w:val="left" w:pos="0"/>
        </w:tabs>
        <w:overflowPunct/>
        <w:spacing w:line="240" w:lineRule="auto"/>
        <w:ind w:left="360"/>
        <w:textAlignment w:val="auto"/>
        <w:rPr>
          <w:rFonts w:cs="OrigGarmnd BT"/>
          <w:b/>
          <w:bCs/>
          <w:color w:val="000000"/>
          <w:szCs w:val="24"/>
          <w:lang w:eastAsia="sv-SE"/>
        </w:rPr>
      </w:pPr>
    </w:p>
    <w:p w14:paraId="6877571B" w14:textId="77777777" w:rsidR="00C55805" w:rsidRDefault="00504D0F"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Uppföljning </w:t>
      </w:r>
      <w:r w:rsidR="00F716ED">
        <w:rPr>
          <w:rFonts w:cs="OrigGarmnd BT"/>
          <w:b/>
          <w:bCs/>
          <w:color w:val="000000"/>
          <w:szCs w:val="24"/>
          <w:lang w:eastAsia="sv-SE"/>
        </w:rPr>
        <w:t>av det</w:t>
      </w:r>
      <w:r>
        <w:rPr>
          <w:rFonts w:cs="OrigGarmnd BT"/>
          <w:b/>
          <w:bCs/>
          <w:color w:val="000000"/>
          <w:szCs w:val="24"/>
          <w:lang w:eastAsia="sv-SE"/>
        </w:rPr>
        <w:t xml:space="preserve"> informella Ekofin</w:t>
      </w:r>
      <w:r w:rsidR="00F716ED">
        <w:rPr>
          <w:rFonts w:cs="OrigGarmnd BT"/>
          <w:b/>
          <w:bCs/>
          <w:color w:val="000000"/>
          <w:szCs w:val="24"/>
          <w:lang w:eastAsia="sv-SE"/>
        </w:rPr>
        <w:t>mötet</w:t>
      </w:r>
    </w:p>
    <w:p w14:paraId="45559D92" w14:textId="77777777" w:rsidR="00653F9C" w:rsidRDefault="00653F9C" w:rsidP="00653F9C">
      <w:pPr>
        <w:pStyle w:val="Liststycke"/>
        <w:numPr>
          <w:ilvl w:val="0"/>
          <w:numId w:val="12"/>
        </w:numPr>
        <w:overflowPunct/>
        <w:autoSpaceDE/>
        <w:autoSpaceDN/>
        <w:adjustRightInd/>
        <w:spacing w:before="480" w:line="240" w:lineRule="auto"/>
        <w:textAlignment w:val="auto"/>
        <w:rPr>
          <w:rFonts w:cs="OrigGarmnd BT"/>
          <w:bCs/>
          <w:color w:val="000000"/>
          <w:szCs w:val="24"/>
          <w:lang w:eastAsia="sv-SE"/>
        </w:rPr>
      </w:pPr>
      <w:r>
        <w:rPr>
          <w:rFonts w:cs="OrigGarmnd BT"/>
          <w:bCs/>
          <w:color w:val="000000"/>
          <w:szCs w:val="24"/>
          <w:lang w:eastAsia="sv-SE"/>
        </w:rPr>
        <w:t>Informationspunkt</w:t>
      </w:r>
    </w:p>
    <w:p w14:paraId="008AC010" w14:textId="77777777" w:rsidR="00653F9C" w:rsidRDefault="00653F9C" w:rsidP="00653F9C">
      <w:pPr>
        <w:pStyle w:val="Liststycke"/>
        <w:overflowPunct/>
        <w:autoSpaceDE/>
        <w:autoSpaceDN/>
        <w:adjustRightInd/>
        <w:spacing w:before="480" w:line="240" w:lineRule="auto"/>
        <w:textAlignment w:val="auto"/>
        <w:rPr>
          <w:rFonts w:cs="OrigGarmnd BT"/>
          <w:bCs/>
          <w:color w:val="000000"/>
          <w:szCs w:val="24"/>
          <w:lang w:eastAsia="sv-SE"/>
        </w:rPr>
      </w:pPr>
    </w:p>
    <w:p w14:paraId="65F6C701" w14:textId="77777777" w:rsidR="008A73AA" w:rsidRPr="009F7BFC" w:rsidRDefault="00653F9C" w:rsidP="009F7BFC">
      <w:r>
        <w:t xml:space="preserve">Ordförandeskapet väntas följa upp Ekofinrådets informella möte i Riga den 24-25 april. Det är i skrivande stund inte klart vilka frågor som man avser att lyfta under dagordningspunkten. Under informella Ekofin diskuterade man bl.a. det ekonomiska läget och tillväxtfrågor, kommissionens förslag om en kapitalmarknadsunion samt EU:s arbete med att bekämpa skatteflykt och skatteundandragande. </w:t>
      </w:r>
    </w:p>
    <w:p w14:paraId="473D5D1C" w14:textId="3496F2BB" w:rsidR="00791C1D" w:rsidRDefault="00504D0F" w:rsidP="00791C1D">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 </w:t>
      </w:r>
      <w:r w:rsidR="00344475">
        <w:rPr>
          <w:rFonts w:cs="OrigGarmnd BT"/>
          <w:b/>
          <w:bCs/>
          <w:color w:val="000000"/>
          <w:szCs w:val="24"/>
          <w:lang w:eastAsia="sv-SE"/>
        </w:rPr>
        <w:t>Den e</w:t>
      </w:r>
      <w:r>
        <w:rPr>
          <w:rFonts w:cs="OrigGarmnd BT"/>
          <w:b/>
          <w:bCs/>
          <w:color w:val="000000"/>
          <w:szCs w:val="24"/>
          <w:lang w:eastAsia="sv-SE"/>
        </w:rPr>
        <w:t xml:space="preserve">uropeiska </w:t>
      </w:r>
      <w:r w:rsidR="00344475">
        <w:rPr>
          <w:rFonts w:cs="OrigGarmnd BT"/>
          <w:b/>
          <w:bCs/>
          <w:color w:val="000000"/>
          <w:szCs w:val="24"/>
          <w:lang w:eastAsia="sv-SE"/>
        </w:rPr>
        <w:t>planerings</w:t>
      </w:r>
      <w:r>
        <w:rPr>
          <w:rFonts w:cs="OrigGarmnd BT"/>
          <w:b/>
          <w:bCs/>
          <w:color w:val="000000"/>
          <w:szCs w:val="24"/>
          <w:lang w:eastAsia="sv-SE"/>
        </w:rPr>
        <w:t>terminen</w:t>
      </w:r>
    </w:p>
    <w:p w14:paraId="1829E81F" w14:textId="77777777" w:rsidR="00504D0F" w:rsidRPr="00504D0F" w:rsidRDefault="00504D0F" w:rsidP="00504D0F">
      <w:pPr>
        <w:pStyle w:val="Liststycke"/>
        <w:rPr>
          <w:rFonts w:cs="OrigGarmnd BT"/>
          <w:b/>
          <w:bCs/>
          <w:color w:val="000000"/>
          <w:szCs w:val="24"/>
          <w:lang w:eastAsia="sv-SE"/>
        </w:rPr>
      </w:pPr>
    </w:p>
    <w:p w14:paraId="1ABAA4C9" w14:textId="77777777" w:rsidR="00504D0F" w:rsidRDefault="00504D0F" w:rsidP="00504D0F">
      <w:pPr>
        <w:pStyle w:val="Liststycke"/>
        <w:numPr>
          <w:ilvl w:val="0"/>
          <w:numId w:val="22"/>
        </w:numPr>
        <w:overflowPunct/>
        <w:autoSpaceDE/>
        <w:autoSpaceDN/>
        <w:adjustRightInd/>
        <w:spacing w:before="480" w:line="240" w:lineRule="auto"/>
        <w:textAlignment w:val="auto"/>
        <w:rPr>
          <w:rFonts w:cs="OrigGarmnd BT"/>
          <w:b/>
          <w:bCs/>
          <w:color w:val="000000"/>
          <w:szCs w:val="24"/>
          <w:lang w:eastAsia="sv-SE"/>
        </w:rPr>
      </w:pPr>
      <w:r w:rsidRPr="00504D0F">
        <w:rPr>
          <w:rFonts w:cs="OrigGarmnd BT"/>
          <w:b/>
          <w:bCs/>
          <w:color w:val="000000"/>
          <w:szCs w:val="24"/>
          <w:lang w:eastAsia="sv-SE"/>
        </w:rPr>
        <w:t>Makroekon</w:t>
      </w:r>
      <w:r w:rsidR="00F716ED">
        <w:rPr>
          <w:rFonts w:cs="OrigGarmnd BT"/>
          <w:b/>
          <w:bCs/>
          <w:color w:val="000000"/>
          <w:szCs w:val="24"/>
          <w:lang w:eastAsia="sv-SE"/>
        </w:rPr>
        <w:t xml:space="preserve">omiska obalansförfarandet: Fördjupade </w:t>
      </w:r>
      <w:r w:rsidRPr="00504D0F">
        <w:rPr>
          <w:rFonts w:cs="OrigGarmnd BT"/>
          <w:b/>
          <w:bCs/>
          <w:color w:val="000000"/>
          <w:szCs w:val="24"/>
          <w:lang w:eastAsia="sv-SE"/>
        </w:rPr>
        <w:t>granskningar</w:t>
      </w:r>
    </w:p>
    <w:p w14:paraId="05507D5A" w14:textId="77777777" w:rsidR="00504D0F" w:rsidRDefault="00504D0F" w:rsidP="00504D0F">
      <w:pPr>
        <w:pStyle w:val="Liststycke"/>
        <w:numPr>
          <w:ilvl w:val="0"/>
          <w:numId w:val="12"/>
        </w:numPr>
        <w:overflowPunct/>
        <w:autoSpaceDE/>
        <w:autoSpaceDN/>
        <w:adjustRightInd/>
        <w:spacing w:before="480" w:line="240" w:lineRule="auto"/>
        <w:textAlignment w:val="auto"/>
        <w:rPr>
          <w:rFonts w:cs="OrigGarmnd BT"/>
          <w:bCs/>
          <w:color w:val="000000"/>
          <w:szCs w:val="24"/>
          <w:lang w:eastAsia="sv-SE"/>
        </w:rPr>
      </w:pPr>
      <w:r w:rsidRPr="00504D0F">
        <w:rPr>
          <w:rFonts w:cs="OrigGarmnd BT"/>
          <w:bCs/>
          <w:color w:val="000000"/>
          <w:szCs w:val="24"/>
          <w:lang w:eastAsia="sv-SE"/>
        </w:rPr>
        <w:t>Beslutspunkt</w:t>
      </w:r>
    </w:p>
    <w:p w14:paraId="7BE5A05C" w14:textId="77777777" w:rsidR="00655D9C" w:rsidRDefault="00655D9C" w:rsidP="00655D9C">
      <w:pPr>
        <w:pStyle w:val="Liststycke"/>
        <w:overflowPunct/>
        <w:autoSpaceDE/>
        <w:autoSpaceDN/>
        <w:adjustRightInd/>
        <w:spacing w:before="480" w:line="240" w:lineRule="auto"/>
        <w:textAlignment w:val="auto"/>
        <w:rPr>
          <w:rFonts w:cs="OrigGarmnd BT"/>
          <w:bCs/>
          <w:color w:val="000000"/>
          <w:szCs w:val="24"/>
          <w:lang w:eastAsia="sv-SE"/>
        </w:rPr>
      </w:pPr>
    </w:p>
    <w:p w14:paraId="3345F23E" w14:textId="77777777" w:rsidR="00655D9C" w:rsidRDefault="00655D9C" w:rsidP="00655D9C">
      <w:pPr>
        <w:pStyle w:val="RKnormal"/>
      </w:pPr>
      <w:r>
        <w:t xml:space="preserve">Rådet ska anta slutsatser om kommissionens djupgranskningar av makroekonomiska obalanser i 16 medlemsstater. </w:t>
      </w:r>
    </w:p>
    <w:p w14:paraId="1D6B01ED" w14:textId="77777777" w:rsidR="00655D9C" w:rsidRDefault="00655D9C" w:rsidP="00655D9C"/>
    <w:p w14:paraId="2D35ACED" w14:textId="77777777" w:rsidR="00655D9C" w:rsidRDefault="00333796" w:rsidP="00655D9C">
      <w:r>
        <w:t>D</w:t>
      </w:r>
      <w:r w:rsidR="00655D9C">
        <w:t xml:space="preserve">en europeiska terminen och kommissionens landrapporter, i vilka djupgranskningarna ingår, </w:t>
      </w:r>
      <w:r>
        <w:t>behandlades i EU-nämnden</w:t>
      </w:r>
      <w:r w:rsidR="00655D9C">
        <w:t xml:space="preserve"> den 6 mars 2015 inför Ekofinrådets möte den 10 mars. Finansutskottet informerades om </w:t>
      </w:r>
      <w:r w:rsidR="00913633">
        <w:t xml:space="preserve">förfarandet kring </w:t>
      </w:r>
      <w:r w:rsidR="00655D9C">
        <w:t xml:space="preserve">landrapporterna och djupgranskningarna, inom ramen för det nationella reform- och konvergensprogrammet, den 21 april. </w:t>
      </w:r>
    </w:p>
    <w:p w14:paraId="7F37D30A" w14:textId="77777777" w:rsidR="00655D9C" w:rsidRDefault="00655D9C" w:rsidP="00655D9C"/>
    <w:p w14:paraId="1BA829C3" w14:textId="154B37C3" w:rsidR="00655D9C" w:rsidRDefault="00655D9C" w:rsidP="00655D9C">
      <w:pPr>
        <w:rPr>
          <w:color w:val="000000"/>
        </w:rPr>
      </w:pPr>
      <w:r w:rsidRPr="00F82234">
        <w:t>Det</w:t>
      </w:r>
      <w:r w:rsidRPr="00591FBF">
        <w:rPr>
          <w:color w:val="000000"/>
        </w:rPr>
        <w:t xml:space="preserve"> makroekonomiska obalansförfarandet 2015 inleddes i november då kommissionen publicerade förvarningsrapporten. I </w:t>
      </w:r>
      <w:r>
        <w:rPr>
          <w:color w:val="000000"/>
        </w:rPr>
        <w:t>förvarningsrapporten</w:t>
      </w:r>
      <w:r w:rsidRPr="00591FBF">
        <w:rPr>
          <w:color w:val="000000"/>
        </w:rPr>
        <w:t xml:space="preserve"> identifierades </w:t>
      </w:r>
      <w:r w:rsidR="00EE421A">
        <w:rPr>
          <w:color w:val="000000"/>
        </w:rPr>
        <w:t xml:space="preserve">att djupgranskningar skulle göras för </w:t>
      </w:r>
      <w:r w:rsidRPr="00591FBF">
        <w:rPr>
          <w:color w:val="000000"/>
        </w:rPr>
        <w:t xml:space="preserve">16 medlemsstater, däribland Sverige, för att avgöra om </w:t>
      </w:r>
      <w:r>
        <w:rPr>
          <w:color w:val="000000"/>
        </w:rPr>
        <w:t xml:space="preserve">de hade </w:t>
      </w:r>
      <w:r w:rsidRPr="00591FBF">
        <w:rPr>
          <w:color w:val="000000"/>
        </w:rPr>
        <w:t>makroekonomiska obalanser. I de landrapporter som kommissionen publicerade den 26 februari redogör kommissionen för dessa djupgranskningar. Kommissionen bedömer att Sverige fortfarande har makroekonomiska obalanser</w:t>
      </w:r>
      <w:r w:rsidR="00430B9C">
        <w:rPr>
          <w:color w:val="000000"/>
        </w:rPr>
        <w:t xml:space="preserve">, </w:t>
      </w:r>
      <w:r w:rsidRPr="00591FBF">
        <w:rPr>
          <w:color w:val="000000"/>
        </w:rPr>
        <w:t>som behöver åtgärdas och övervakas</w:t>
      </w:r>
      <w:r>
        <w:rPr>
          <w:color w:val="000000"/>
        </w:rPr>
        <w:t xml:space="preserve">, </w:t>
      </w:r>
      <w:r w:rsidRPr="00665ACC">
        <w:rPr>
          <w:color w:val="000000"/>
        </w:rPr>
        <w:t>särskilt</w:t>
      </w:r>
      <w:r>
        <w:rPr>
          <w:b/>
          <w:color w:val="000000"/>
        </w:rPr>
        <w:t xml:space="preserve"> </w:t>
      </w:r>
      <w:r>
        <w:rPr>
          <w:color w:val="000000"/>
        </w:rPr>
        <w:t xml:space="preserve">på grund av de svenska </w:t>
      </w:r>
      <w:r w:rsidRPr="00591FBF">
        <w:rPr>
          <w:color w:val="000000"/>
        </w:rPr>
        <w:t>hushållens skuldsättning</w:t>
      </w:r>
      <w:r>
        <w:rPr>
          <w:color w:val="000000"/>
        </w:rPr>
        <w:t>.</w:t>
      </w:r>
      <w:r>
        <w:rPr>
          <w:b/>
          <w:color w:val="000000"/>
        </w:rPr>
        <w:t xml:space="preserve"> </w:t>
      </w:r>
      <w:r w:rsidRPr="00591FBF">
        <w:rPr>
          <w:color w:val="000000"/>
        </w:rPr>
        <w:t xml:space="preserve">Av de 16 medlemsstater som har djupgranskats bedömer kommissionen att Bulgarien, Frankrike, Kroatien, Italien och Portugal har </w:t>
      </w:r>
      <w:r w:rsidRPr="00AC2911">
        <w:rPr>
          <w:color w:val="000000"/>
        </w:rPr>
        <w:t>alltför</w:t>
      </w:r>
      <w:r w:rsidRPr="00591FBF">
        <w:rPr>
          <w:color w:val="000000"/>
        </w:rPr>
        <w:t xml:space="preserve"> stora </w:t>
      </w:r>
      <w:r w:rsidRPr="00520551">
        <w:rPr>
          <w:color w:val="000000"/>
        </w:rPr>
        <w:t>makroekonomiska</w:t>
      </w:r>
      <w:r>
        <w:rPr>
          <w:b/>
          <w:color w:val="000000"/>
        </w:rPr>
        <w:t xml:space="preserve"> </w:t>
      </w:r>
      <w:r w:rsidRPr="00591FBF">
        <w:rPr>
          <w:color w:val="000000"/>
        </w:rPr>
        <w:t xml:space="preserve">obalanser. </w:t>
      </w:r>
    </w:p>
    <w:p w14:paraId="1D56CC5F" w14:textId="77777777" w:rsidR="00655D9C" w:rsidRDefault="00655D9C" w:rsidP="00655D9C">
      <w:pPr>
        <w:pStyle w:val="RKnormal"/>
        <w:spacing w:line="240" w:lineRule="auto"/>
        <w:rPr>
          <w:color w:val="000000"/>
        </w:rPr>
      </w:pPr>
    </w:p>
    <w:p w14:paraId="25EB2AA3" w14:textId="77777777" w:rsidR="00655D9C" w:rsidRPr="00F716ED" w:rsidRDefault="00655D9C" w:rsidP="00655D9C">
      <w:pPr>
        <w:rPr>
          <w:b/>
          <w:i/>
          <w:sz w:val="22"/>
          <w:szCs w:val="22"/>
        </w:rPr>
      </w:pPr>
      <w:r w:rsidRPr="00F716ED">
        <w:rPr>
          <w:b/>
          <w:i/>
        </w:rPr>
        <w:t xml:space="preserve">Regeringens ståndpunkt </w:t>
      </w:r>
    </w:p>
    <w:p w14:paraId="49CF65B0" w14:textId="77777777" w:rsidR="00504D0F" w:rsidRPr="00655D9C" w:rsidRDefault="00655D9C" w:rsidP="00655D9C">
      <w:pPr>
        <w:pStyle w:val="RKnormal"/>
        <w:spacing w:line="240" w:lineRule="auto"/>
        <w:rPr>
          <w:color w:val="000000"/>
        </w:rPr>
      </w:pPr>
      <w:r>
        <w:rPr>
          <w:color w:val="000000"/>
        </w:rPr>
        <w:t xml:space="preserve">Regeringen kan ställa sig bakom förslaget till rådsslutsatser. </w:t>
      </w:r>
      <w:r w:rsidRPr="00591FBF">
        <w:rPr>
          <w:color w:val="000000"/>
        </w:rPr>
        <w:t xml:space="preserve">Regeringen </w:t>
      </w:r>
      <w:r>
        <w:rPr>
          <w:color w:val="000000"/>
        </w:rPr>
        <w:t xml:space="preserve">stödjer det makroekonomiska obalansförfarandet och att kommissionen gjort en </w:t>
      </w:r>
      <w:r w:rsidRPr="00591FBF">
        <w:rPr>
          <w:color w:val="000000"/>
        </w:rPr>
        <w:t>djupgranskning av Sverige</w:t>
      </w:r>
      <w:r>
        <w:rPr>
          <w:color w:val="000000"/>
        </w:rPr>
        <w:t>s ekonomi</w:t>
      </w:r>
      <w:r w:rsidRPr="00591FBF">
        <w:rPr>
          <w:color w:val="000000"/>
        </w:rPr>
        <w:t xml:space="preserve">. </w:t>
      </w:r>
      <w:r w:rsidRPr="00591FBF">
        <w:rPr>
          <w:color w:val="000000"/>
        </w:rPr>
        <w:lastRenderedPageBreak/>
        <w:t xml:space="preserve">Regeringen delar i stort kommissionens bild av att bl.a. hushållens skuldsättning utgör en </w:t>
      </w:r>
      <w:r w:rsidR="00913633">
        <w:rPr>
          <w:color w:val="000000"/>
        </w:rPr>
        <w:t>potentiell risk</w:t>
      </w:r>
      <w:r w:rsidRPr="00591FBF">
        <w:rPr>
          <w:color w:val="000000"/>
        </w:rPr>
        <w:t>.</w:t>
      </w:r>
    </w:p>
    <w:p w14:paraId="347CECCD" w14:textId="77777777" w:rsidR="00504D0F" w:rsidRDefault="00504D0F" w:rsidP="00504D0F">
      <w:pPr>
        <w:pStyle w:val="Liststycke"/>
        <w:numPr>
          <w:ilvl w:val="0"/>
          <w:numId w:val="22"/>
        </w:numPr>
        <w:overflowPunct/>
        <w:autoSpaceDE/>
        <w:autoSpaceDN/>
        <w:adjustRightInd/>
        <w:spacing w:before="480" w:line="240" w:lineRule="auto"/>
        <w:textAlignment w:val="auto"/>
        <w:rPr>
          <w:rFonts w:cs="OrigGarmnd BT"/>
          <w:b/>
          <w:bCs/>
          <w:color w:val="000000"/>
          <w:szCs w:val="24"/>
          <w:lang w:eastAsia="sv-SE"/>
        </w:rPr>
      </w:pPr>
      <w:r w:rsidRPr="00504D0F">
        <w:rPr>
          <w:rFonts w:cs="OrigGarmnd BT"/>
          <w:b/>
          <w:bCs/>
          <w:color w:val="000000"/>
          <w:szCs w:val="24"/>
          <w:lang w:eastAsia="sv-SE"/>
        </w:rPr>
        <w:t>Genomförande av strukturreformer</w:t>
      </w:r>
    </w:p>
    <w:p w14:paraId="37954279" w14:textId="77777777" w:rsidR="00504D0F" w:rsidRDefault="00504D0F" w:rsidP="00504D0F">
      <w:pPr>
        <w:pStyle w:val="Liststycke"/>
        <w:numPr>
          <w:ilvl w:val="0"/>
          <w:numId w:val="12"/>
        </w:numPr>
        <w:overflowPunct/>
        <w:autoSpaceDE/>
        <w:autoSpaceDN/>
        <w:adjustRightInd/>
        <w:spacing w:before="480" w:line="240" w:lineRule="auto"/>
        <w:textAlignment w:val="auto"/>
        <w:rPr>
          <w:rFonts w:cs="OrigGarmnd BT"/>
          <w:bCs/>
          <w:color w:val="000000"/>
          <w:szCs w:val="24"/>
          <w:lang w:eastAsia="sv-SE"/>
        </w:rPr>
      </w:pPr>
      <w:r w:rsidRPr="00504D0F">
        <w:rPr>
          <w:rFonts w:cs="OrigGarmnd BT"/>
          <w:bCs/>
          <w:color w:val="000000"/>
          <w:szCs w:val="24"/>
          <w:lang w:eastAsia="sv-SE"/>
        </w:rPr>
        <w:t>Diskussionspunkt</w:t>
      </w:r>
    </w:p>
    <w:p w14:paraId="7423F92A" w14:textId="77777777" w:rsidR="00FB3B1D" w:rsidRDefault="00FB3B1D" w:rsidP="00FB3B1D">
      <w:pPr>
        <w:pStyle w:val="RKnormal"/>
        <w:spacing w:line="240" w:lineRule="auto"/>
        <w:rPr>
          <w:rFonts w:cs="OrigGarmnd BT"/>
          <w:bCs/>
          <w:color w:val="000000"/>
          <w:szCs w:val="24"/>
          <w:lang w:eastAsia="sv-SE"/>
        </w:rPr>
      </w:pPr>
    </w:p>
    <w:p w14:paraId="231ABEF7" w14:textId="77777777" w:rsidR="00FB3B1D" w:rsidRDefault="00FB3B1D" w:rsidP="00FB3B1D">
      <w:pPr>
        <w:pStyle w:val="RKnormal"/>
        <w:spacing w:line="240" w:lineRule="auto"/>
      </w:pPr>
      <w:r>
        <w:t xml:space="preserve">Ekofinrådet </w:t>
      </w:r>
      <w:r w:rsidR="00333796">
        <w:t>väntas</w:t>
      </w:r>
      <w:r>
        <w:t xml:space="preserve"> diskutera genomförande av strukturella reformer i EU:s medlemsstater.  </w:t>
      </w:r>
    </w:p>
    <w:p w14:paraId="541CC333" w14:textId="77777777" w:rsidR="00FB3B1D" w:rsidRDefault="00FB3B1D" w:rsidP="00FB3B1D">
      <w:pPr>
        <w:spacing w:line="240" w:lineRule="auto"/>
      </w:pPr>
    </w:p>
    <w:p w14:paraId="6E796194" w14:textId="77777777" w:rsidR="00FB3B1D" w:rsidRDefault="00333796" w:rsidP="00FB3B1D">
      <w:pPr>
        <w:spacing w:line="240" w:lineRule="auto"/>
      </w:pPr>
      <w:r>
        <w:t xml:space="preserve">Den europeiska terminen behandlades senast i EU-nämnden den 6 mars 2015 inför Ekofinrådets möte den 10 mars. </w:t>
      </w:r>
    </w:p>
    <w:p w14:paraId="41A153BE" w14:textId="77777777" w:rsidR="00FB3B1D" w:rsidRDefault="00FB3B1D" w:rsidP="00FB3B1D">
      <w:pPr>
        <w:pStyle w:val="RKnormal"/>
        <w:spacing w:line="240" w:lineRule="auto"/>
      </w:pPr>
    </w:p>
    <w:p w14:paraId="651665EE" w14:textId="77777777" w:rsidR="00FB3B1D" w:rsidRDefault="00FB3B1D" w:rsidP="00FB3B1D">
      <w:pPr>
        <w:pStyle w:val="RKnormal"/>
        <w:spacing w:line="240" w:lineRule="auto"/>
      </w:pPr>
      <w:r w:rsidRPr="00733C01">
        <w:t>Inom ramen för terminen publicerar EU-kommissionen varje år landrapporter för EU:s medlems</w:t>
      </w:r>
      <w:r>
        <w:t>stater</w:t>
      </w:r>
      <w:r w:rsidR="00DD4CC6">
        <w:t>. I rapporterna r</w:t>
      </w:r>
      <w:r w:rsidR="00DD4CC6" w:rsidRPr="00733C01">
        <w:t>edogör</w:t>
      </w:r>
      <w:r w:rsidR="00DD4CC6">
        <w:t xml:space="preserve"> kommissionen</w:t>
      </w:r>
      <w:r w:rsidR="00DD4CC6" w:rsidRPr="00733C01">
        <w:t xml:space="preserve"> för</w:t>
      </w:r>
      <w:r w:rsidR="00DD4CC6">
        <w:t xml:space="preserve"> sin syn </w:t>
      </w:r>
      <w:r w:rsidR="00DD4CC6" w:rsidRPr="00733C01">
        <w:t>på respektive medlems</w:t>
      </w:r>
      <w:r w:rsidR="00DD4CC6">
        <w:t>stats</w:t>
      </w:r>
      <w:r w:rsidR="00DD4CC6" w:rsidRPr="00733C01">
        <w:t xml:space="preserve"> ekonomiska politik</w:t>
      </w:r>
      <w:r w:rsidR="00DD4CC6">
        <w:t xml:space="preserve">, inklusive en bedömning av </w:t>
      </w:r>
      <w:r>
        <w:t xml:space="preserve">reformgenomförande </w:t>
      </w:r>
      <w:r w:rsidR="00DD4CC6">
        <w:t xml:space="preserve">baserat på föregående års landspecifika rekommendationer. </w:t>
      </w:r>
      <w:r w:rsidR="00B56FCD">
        <w:t xml:space="preserve">Dessa analyser väntas ligga till grund för Ekofinrådets diskussion. </w:t>
      </w:r>
      <w:r w:rsidRPr="00733C01">
        <w:t>I kommissionens rapport om Sverige berör</w:t>
      </w:r>
      <w:r>
        <w:t>s</w:t>
      </w:r>
      <w:r w:rsidRPr="00733C01">
        <w:t xml:space="preserve"> bland annat hushållens skuldsättning, bostadsmarknaden och sysselsättningen.</w:t>
      </w:r>
    </w:p>
    <w:p w14:paraId="2751475C" w14:textId="77777777" w:rsidR="00FB3B1D" w:rsidRDefault="00FB3B1D" w:rsidP="00FB3B1D">
      <w:pPr>
        <w:pStyle w:val="RKnormal"/>
        <w:spacing w:line="240" w:lineRule="auto"/>
        <w:rPr>
          <w:color w:val="000000"/>
        </w:rPr>
      </w:pPr>
    </w:p>
    <w:p w14:paraId="742B5D79" w14:textId="77777777" w:rsidR="00FB3B1D" w:rsidRPr="00F716ED" w:rsidRDefault="00FB3B1D" w:rsidP="00FB3B1D">
      <w:pPr>
        <w:rPr>
          <w:b/>
          <w:i/>
          <w:sz w:val="22"/>
          <w:szCs w:val="22"/>
        </w:rPr>
      </w:pPr>
      <w:r w:rsidRPr="00F716ED">
        <w:rPr>
          <w:b/>
          <w:i/>
        </w:rPr>
        <w:t xml:space="preserve">Regeringens ståndpunkt </w:t>
      </w:r>
    </w:p>
    <w:p w14:paraId="3EADEEFB" w14:textId="39F71E08" w:rsidR="00FB3B1D" w:rsidRDefault="00FB3B1D" w:rsidP="00FB3B1D">
      <w:pPr>
        <w:pStyle w:val="RKnormal"/>
        <w:spacing w:line="240" w:lineRule="auto"/>
        <w:rPr>
          <w:color w:val="000000"/>
        </w:rPr>
      </w:pPr>
      <w:r>
        <w:rPr>
          <w:color w:val="000000"/>
        </w:rPr>
        <w:t xml:space="preserve">Det finns ett behov av att förbättra förutsättningarna för långsiktig tillväxt i EU. Fortsatta reformer </w:t>
      </w:r>
      <w:r w:rsidR="009B7594">
        <w:rPr>
          <w:color w:val="000000"/>
        </w:rPr>
        <w:t>behövs</w:t>
      </w:r>
      <w:r>
        <w:rPr>
          <w:color w:val="000000"/>
        </w:rPr>
        <w:t xml:space="preserve"> såväl på EU-nivå som i medlemsstaterna för att förbättra konkurrenskraften, stimulera skapandet av fler och bättre jobb och säkra en återhämtning</w:t>
      </w:r>
      <w:r w:rsidR="00913633">
        <w:rPr>
          <w:color w:val="000000"/>
        </w:rPr>
        <w:t xml:space="preserve"> av den europeiska ekonomin</w:t>
      </w:r>
      <w:r>
        <w:rPr>
          <w:color w:val="000000"/>
        </w:rPr>
        <w:t xml:space="preserve">. Europa har </w:t>
      </w:r>
      <w:r w:rsidR="009B7594">
        <w:rPr>
          <w:color w:val="000000"/>
        </w:rPr>
        <w:t xml:space="preserve">fortsatt </w:t>
      </w:r>
      <w:r>
        <w:rPr>
          <w:color w:val="000000"/>
        </w:rPr>
        <w:t xml:space="preserve">problem som i grunden är långsiktiga och strukturella. </w:t>
      </w:r>
    </w:p>
    <w:p w14:paraId="31B5EEF9" w14:textId="77777777" w:rsidR="00FB3B1D" w:rsidRDefault="00FB3B1D" w:rsidP="00FB3B1D">
      <w:pPr>
        <w:pStyle w:val="RKnormal"/>
        <w:spacing w:line="240" w:lineRule="auto"/>
        <w:rPr>
          <w:color w:val="000000"/>
        </w:rPr>
      </w:pPr>
    </w:p>
    <w:p w14:paraId="2B9D8D7E" w14:textId="77777777" w:rsidR="00FB3B1D" w:rsidRDefault="00FB3B1D" w:rsidP="00FB3B1D">
      <w:pPr>
        <w:pStyle w:val="RKnormal"/>
        <w:spacing w:line="240" w:lineRule="auto"/>
        <w:rPr>
          <w:color w:val="000000"/>
        </w:rPr>
      </w:pPr>
      <w:r>
        <w:rPr>
          <w:color w:val="000000"/>
        </w:rPr>
        <w:t xml:space="preserve">En utgångspunkt för regeringen är att medlemsstaternas befogenheter gällande arbetsmarknad, utbildning, sociala frågor samt på skatteområdet inte försvagas. </w:t>
      </w:r>
    </w:p>
    <w:p w14:paraId="5649D5BE" w14:textId="77777777" w:rsidR="001C5BEC" w:rsidRDefault="001C5BEC" w:rsidP="00FB3B1D">
      <w:pPr>
        <w:pStyle w:val="RKnormal"/>
        <w:spacing w:line="240" w:lineRule="auto"/>
        <w:rPr>
          <w:color w:val="000000"/>
        </w:rPr>
      </w:pPr>
    </w:p>
    <w:p w14:paraId="6999B1FD" w14:textId="77777777" w:rsidR="002F783F" w:rsidRPr="008A73AA" w:rsidRDefault="002F783F" w:rsidP="00F41850">
      <w:pPr>
        <w:pStyle w:val="RKnormal"/>
        <w:rPr>
          <w:lang w:eastAsia="sv-SE"/>
        </w:rPr>
      </w:pPr>
    </w:p>
    <w:p w14:paraId="484E1A31" w14:textId="77777777" w:rsidR="00621B4A" w:rsidRDefault="00F716ED" w:rsidP="00504D0F">
      <w:pPr>
        <w:pStyle w:val="Liststycke"/>
        <w:numPr>
          <w:ilvl w:val="0"/>
          <w:numId w:val="1"/>
        </w:numPr>
        <w:spacing w:line="240" w:lineRule="auto"/>
        <w:rPr>
          <w:b/>
        </w:rPr>
      </w:pPr>
      <w:r>
        <w:rPr>
          <w:b/>
        </w:rPr>
        <w:t>Åldranderapport</w:t>
      </w:r>
      <w:r w:rsidR="005A5BCE">
        <w:rPr>
          <w:b/>
        </w:rPr>
        <w:t>en</w:t>
      </w:r>
      <w:r>
        <w:rPr>
          <w:b/>
        </w:rPr>
        <w:t xml:space="preserve"> 2015</w:t>
      </w:r>
    </w:p>
    <w:p w14:paraId="774F9720" w14:textId="77777777" w:rsidR="00504D0F" w:rsidRDefault="00504D0F" w:rsidP="00504D0F">
      <w:pPr>
        <w:pStyle w:val="Liststycke"/>
        <w:numPr>
          <w:ilvl w:val="0"/>
          <w:numId w:val="12"/>
        </w:numPr>
        <w:spacing w:line="240" w:lineRule="auto"/>
      </w:pPr>
      <w:r w:rsidRPr="00504D0F">
        <w:t>Beslutspunkt</w:t>
      </w:r>
    </w:p>
    <w:p w14:paraId="436591D9" w14:textId="77777777" w:rsidR="005A5BCE" w:rsidRDefault="005A5BCE" w:rsidP="005A5BCE">
      <w:pPr>
        <w:spacing w:line="240" w:lineRule="auto"/>
      </w:pPr>
    </w:p>
    <w:p w14:paraId="2A9908FA" w14:textId="77777777" w:rsidR="005A5BCE" w:rsidRPr="00425952" w:rsidRDefault="005A5BCE" w:rsidP="005A5BCE">
      <w:pPr>
        <w:pStyle w:val="RKnormal"/>
        <w:rPr>
          <w:i/>
        </w:rPr>
      </w:pPr>
      <w:r w:rsidRPr="00CE79D9">
        <w:t>Ekofinrådet förväntas anta råd</w:t>
      </w:r>
      <w:r>
        <w:t>s</w:t>
      </w:r>
      <w:r w:rsidRPr="00CE79D9">
        <w:t xml:space="preserve">slutsatser </w:t>
      </w:r>
      <w:r>
        <w:t>angående Å</w:t>
      </w:r>
      <w:r w:rsidRPr="00CE79D9">
        <w:t>ldranderapporten 201</w:t>
      </w:r>
      <w:r>
        <w:t xml:space="preserve">5. </w:t>
      </w:r>
    </w:p>
    <w:p w14:paraId="4BFA1BD0" w14:textId="77777777" w:rsidR="005A5BCE" w:rsidRDefault="005A5BCE" w:rsidP="005A5BCE">
      <w:pPr>
        <w:spacing w:line="240" w:lineRule="auto"/>
      </w:pPr>
    </w:p>
    <w:p w14:paraId="5509CEDB" w14:textId="058E975E" w:rsidR="005A5BCE" w:rsidRDefault="00940A5F" w:rsidP="005A5BCE">
      <w:pPr>
        <w:pStyle w:val="RKnormal"/>
      </w:pPr>
      <w:r>
        <w:t xml:space="preserve">Rapporten publiceras vart tredje år och kommer nu ut för femte gången. </w:t>
      </w:r>
      <w:r w:rsidR="00DD4CC6">
        <w:t>Åldranderapporten 2015</w:t>
      </w:r>
      <w:r w:rsidR="005A5BCE">
        <w:t xml:space="preserve"> har inte tidigare behandlats i EU-nämnden.</w:t>
      </w:r>
      <w:r w:rsidR="00DD4CC6">
        <w:t xml:space="preserve"> Åldranderapporten 2012 behandlades i EU-nämnden den 27 april 2012, inför Ekofinrådets möte den 2 maj 2012.</w:t>
      </w:r>
    </w:p>
    <w:p w14:paraId="74518EA8" w14:textId="77777777" w:rsidR="005A5BCE" w:rsidRDefault="005A5BCE" w:rsidP="005A5BCE">
      <w:pPr>
        <w:spacing w:line="240" w:lineRule="auto"/>
      </w:pPr>
    </w:p>
    <w:p w14:paraId="77DAC0D5" w14:textId="77777777" w:rsidR="005A5BCE" w:rsidRDefault="005A5BCE" w:rsidP="005A5BCE">
      <w:pPr>
        <w:pStyle w:val="RKnormal"/>
        <w:spacing w:line="240" w:lineRule="auto"/>
        <w:rPr>
          <w:color w:val="000000"/>
        </w:rPr>
      </w:pPr>
      <w:r w:rsidRPr="001F29DB">
        <w:rPr>
          <w:color w:val="000000"/>
        </w:rPr>
        <w:t>Ekofin</w:t>
      </w:r>
      <w:r>
        <w:rPr>
          <w:color w:val="000000"/>
        </w:rPr>
        <w:t>rådet</w:t>
      </w:r>
      <w:r w:rsidRPr="001F29DB">
        <w:rPr>
          <w:color w:val="000000"/>
        </w:rPr>
        <w:t xml:space="preserve"> har </w:t>
      </w:r>
      <w:r>
        <w:rPr>
          <w:color w:val="000000"/>
        </w:rPr>
        <w:t xml:space="preserve">initierat ett arbete med </w:t>
      </w:r>
      <w:r w:rsidRPr="001F29DB">
        <w:rPr>
          <w:color w:val="000000"/>
        </w:rPr>
        <w:t xml:space="preserve">att senast 2015 </w:t>
      </w:r>
      <w:r>
        <w:rPr>
          <w:color w:val="000000"/>
        </w:rPr>
        <w:t xml:space="preserve">ta fram en </w:t>
      </w:r>
      <w:r w:rsidRPr="001F29DB">
        <w:rPr>
          <w:color w:val="000000"/>
        </w:rPr>
        <w:t>uppdatera</w:t>
      </w:r>
      <w:r>
        <w:rPr>
          <w:color w:val="000000"/>
        </w:rPr>
        <w:t>d</w:t>
      </w:r>
      <w:r w:rsidRPr="001F29DB">
        <w:rPr>
          <w:color w:val="000000"/>
        </w:rPr>
        <w:t xml:space="preserve"> analys av de ekonomiska och budgetära konsekvenserna av </w:t>
      </w:r>
      <w:r>
        <w:rPr>
          <w:color w:val="000000"/>
        </w:rPr>
        <w:t>de</w:t>
      </w:r>
      <w:r w:rsidR="00913633">
        <w:rPr>
          <w:color w:val="000000"/>
        </w:rPr>
        <w:t>n</w:t>
      </w:r>
      <w:r>
        <w:rPr>
          <w:color w:val="000000"/>
        </w:rPr>
        <w:t xml:space="preserve"> </w:t>
      </w:r>
      <w:r w:rsidRPr="001F29DB">
        <w:rPr>
          <w:color w:val="000000"/>
        </w:rPr>
        <w:t>åldrande befolkning</w:t>
      </w:r>
      <w:r w:rsidR="00913633">
        <w:rPr>
          <w:color w:val="000000"/>
        </w:rPr>
        <w:t>en</w:t>
      </w:r>
      <w:r>
        <w:rPr>
          <w:color w:val="000000"/>
        </w:rPr>
        <w:t xml:space="preserve"> i EU</w:t>
      </w:r>
      <w:r w:rsidRPr="001F29DB">
        <w:rPr>
          <w:color w:val="000000"/>
        </w:rPr>
        <w:t>. Huvudsyftet med de EU-</w:t>
      </w:r>
      <w:r w:rsidRPr="001F29DB">
        <w:rPr>
          <w:color w:val="000000"/>
        </w:rPr>
        <w:lastRenderedPageBreak/>
        <w:t>gemensamma projektionerna är att bidra till bedömningen av hållbarheten i de offentliga finanserna. Åldranderapporten 2015 – vilke</w:t>
      </w:r>
      <w:r>
        <w:rPr>
          <w:color w:val="000000"/>
        </w:rPr>
        <w:t>n</w:t>
      </w:r>
      <w:r w:rsidRPr="001F29DB">
        <w:rPr>
          <w:color w:val="000000"/>
        </w:rPr>
        <w:t xml:space="preserve"> kommer att följas av en hållbarhetsrapport </w:t>
      </w:r>
      <w:r>
        <w:rPr>
          <w:color w:val="000000"/>
        </w:rPr>
        <w:t xml:space="preserve">senare under året </w:t>
      </w:r>
      <w:r w:rsidRPr="001F29DB">
        <w:rPr>
          <w:color w:val="000000"/>
        </w:rPr>
        <w:t xml:space="preserve">- kommer </w:t>
      </w:r>
      <w:r>
        <w:rPr>
          <w:color w:val="000000"/>
        </w:rPr>
        <w:t xml:space="preserve">bl.a. </w:t>
      </w:r>
      <w:r w:rsidRPr="001F29DB">
        <w:rPr>
          <w:color w:val="000000"/>
        </w:rPr>
        <w:t>att utgöra ett av underlagen för landspecifika bedömningar inom ramen för stabilitets- och tillväxtpakten.</w:t>
      </w:r>
    </w:p>
    <w:p w14:paraId="1E24AAAF" w14:textId="77777777" w:rsidR="005A5BCE" w:rsidRDefault="005A5BCE" w:rsidP="005A5BCE">
      <w:pPr>
        <w:spacing w:line="240" w:lineRule="auto"/>
      </w:pPr>
    </w:p>
    <w:p w14:paraId="7FB4C66D" w14:textId="77777777" w:rsidR="005A5BCE" w:rsidRPr="00F716ED" w:rsidRDefault="005A5BCE" w:rsidP="005A5BCE">
      <w:pPr>
        <w:rPr>
          <w:b/>
          <w:i/>
          <w:sz w:val="22"/>
          <w:szCs w:val="22"/>
        </w:rPr>
      </w:pPr>
      <w:r w:rsidRPr="00F716ED">
        <w:rPr>
          <w:b/>
          <w:i/>
        </w:rPr>
        <w:t xml:space="preserve">Regeringens ståndpunkt </w:t>
      </w:r>
    </w:p>
    <w:p w14:paraId="552D2F0B" w14:textId="77777777" w:rsidR="005A5BCE" w:rsidRDefault="005A5BCE" w:rsidP="005A5BCE">
      <w:pPr>
        <w:spacing w:line="240" w:lineRule="auto"/>
        <w:rPr>
          <w:color w:val="000000"/>
        </w:rPr>
      </w:pPr>
      <w:r w:rsidRPr="00CE79D9">
        <w:rPr>
          <w:color w:val="000000"/>
        </w:rPr>
        <w:t xml:space="preserve">Regeringen välkomnar Åldranderapporten och </w:t>
      </w:r>
      <w:r>
        <w:rPr>
          <w:color w:val="000000"/>
        </w:rPr>
        <w:t>stöd</w:t>
      </w:r>
      <w:r w:rsidR="00333796">
        <w:rPr>
          <w:color w:val="000000"/>
        </w:rPr>
        <w:t>j</w:t>
      </w:r>
      <w:r>
        <w:rPr>
          <w:color w:val="000000"/>
        </w:rPr>
        <w:t>er förslaget till rådsslutsatser</w:t>
      </w:r>
      <w:r w:rsidRPr="00CE79D9">
        <w:rPr>
          <w:color w:val="000000"/>
        </w:rPr>
        <w:t>.</w:t>
      </w:r>
      <w:r w:rsidRPr="00910B02">
        <w:rPr>
          <w:color w:val="000000"/>
        </w:rPr>
        <w:t xml:space="preserve"> </w:t>
      </w:r>
      <w:r>
        <w:rPr>
          <w:color w:val="000000"/>
        </w:rPr>
        <w:t xml:space="preserve">Regeringen </w:t>
      </w:r>
      <w:r w:rsidRPr="00092DCD">
        <w:rPr>
          <w:color w:val="000000"/>
        </w:rPr>
        <w:t>stöd</w:t>
      </w:r>
      <w:r w:rsidR="00333796">
        <w:rPr>
          <w:color w:val="000000"/>
        </w:rPr>
        <w:t>j</w:t>
      </w:r>
      <w:r w:rsidRPr="00092DCD">
        <w:rPr>
          <w:color w:val="000000"/>
        </w:rPr>
        <w:t xml:space="preserve">er fortsatt gemensamt arbete </w:t>
      </w:r>
      <w:r>
        <w:rPr>
          <w:color w:val="000000"/>
        </w:rPr>
        <w:t xml:space="preserve">inom detta område </w:t>
      </w:r>
      <w:r w:rsidRPr="00092DCD">
        <w:rPr>
          <w:color w:val="000000"/>
        </w:rPr>
        <w:t>och att en ny rapport tas fram till 2018.</w:t>
      </w:r>
      <w:r>
        <w:rPr>
          <w:color w:val="000000"/>
        </w:rPr>
        <w:t xml:space="preserve"> Regeringen ser även </w:t>
      </w:r>
      <w:r w:rsidRPr="005C1ADC">
        <w:rPr>
          <w:color w:val="000000"/>
        </w:rPr>
        <w:t xml:space="preserve">fram emot kommissionens rapport </w:t>
      </w:r>
      <w:r>
        <w:rPr>
          <w:color w:val="000000"/>
        </w:rPr>
        <w:t xml:space="preserve">angående </w:t>
      </w:r>
      <w:r w:rsidRPr="005C1ADC">
        <w:rPr>
          <w:color w:val="000000"/>
        </w:rPr>
        <w:t xml:space="preserve">hållbarheten i de offentliga finanserna för </w:t>
      </w:r>
      <w:r>
        <w:rPr>
          <w:color w:val="000000"/>
        </w:rPr>
        <w:t xml:space="preserve">EU:s </w:t>
      </w:r>
      <w:r w:rsidRPr="005C1ADC">
        <w:rPr>
          <w:color w:val="000000"/>
        </w:rPr>
        <w:t>medlemsstater</w:t>
      </w:r>
      <w:r>
        <w:rPr>
          <w:color w:val="000000"/>
        </w:rPr>
        <w:t xml:space="preserve"> som beräknas bli klar s</w:t>
      </w:r>
      <w:r w:rsidRPr="005C1ADC">
        <w:rPr>
          <w:color w:val="000000"/>
        </w:rPr>
        <w:t>enare i år.</w:t>
      </w:r>
    </w:p>
    <w:p w14:paraId="496BEE70" w14:textId="77777777" w:rsidR="005A5BCE" w:rsidRPr="00504D0F" w:rsidRDefault="005A5BCE" w:rsidP="005A5BCE">
      <w:pPr>
        <w:spacing w:line="240" w:lineRule="auto"/>
      </w:pPr>
    </w:p>
    <w:p w14:paraId="4CA71AD9" w14:textId="77777777" w:rsidR="00621B4A" w:rsidRPr="00621B4A" w:rsidRDefault="00621B4A" w:rsidP="00621B4A">
      <w:pPr>
        <w:spacing w:line="240" w:lineRule="auto"/>
      </w:pPr>
    </w:p>
    <w:p w14:paraId="41BDE0B5" w14:textId="77777777" w:rsidR="00621B4A" w:rsidRDefault="00504D0F" w:rsidP="00504D0F">
      <w:pPr>
        <w:pStyle w:val="Liststycke"/>
        <w:numPr>
          <w:ilvl w:val="0"/>
          <w:numId w:val="1"/>
        </w:numPr>
        <w:spacing w:line="240" w:lineRule="auto"/>
        <w:rPr>
          <w:b/>
        </w:rPr>
      </w:pPr>
      <w:r w:rsidRPr="00504D0F">
        <w:rPr>
          <w:b/>
        </w:rPr>
        <w:t xml:space="preserve">Uppföljning </w:t>
      </w:r>
      <w:r w:rsidR="00F716ED">
        <w:rPr>
          <w:b/>
        </w:rPr>
        <w:t xml:space="preserve">av </w:t>
      </w:r>
      <w:r w:rsidRPr="00504D0F">
        <w:rPr>
          <w:b/>
        </w:rPr>
        <w:t>G20-mötet</w:t>
      </w:r>
      <w:r w:rsidR="00F716ED">
        <w:rPr>
          <w:b/>
        </w:rPr>
        <w:t xml:space="preserve"> </w:t>
      </w:r>
      <w:r w:rsidR="00F716ED" w:rsidRPr="00F716ED">
        <w:rPr>
          <w:b/>
        </w:rPr>
        <w:t>med finansministrar och centralbankschefer den 16–17 april 2015 i Washington</w:t>
      </w:r>
    </w:p>
    <w:p w14:paraId="2C624C7B" w14:textId="77777777" w:rsidR="00EB7BC8" w:rsidRDefault="00EB7BC8" w:rsidP="00EB7BC8">
      <w:pPr>
        <w:pStyle w:val="Liststycke"/>
        <w:numPr>
          <w:ilvl w:val="0"/>
          <w:numId w:val="12"/>
        </w:numPr>
        <w:spacing w:line="240" w:lineRule="auto"/>
      </w:pPr>
      <w:r>
        <w:t>Informationspunkt</w:t>
      </w:r>
    </w:p>
    <w:p w14:paraId="521CE486" w14:textId="77777777" w:rsidR="00EB7BC8" w:rsidRDefault="00EB7BC8" w:rsidP="00EB7BC8">
      <w:pPr>
        <w:spacing w:line="240" w:lineRule="auto"/>
      </w:pPr>
    </w:p>
    <w:p w14:paraId="3977BA5A" w14:textId="77777777" w:rsidR="00EB7BC8" w:rsidRPr="004D24F5" w:rsidRDefault="00EB7BC8" w:rsidP="00EB7BC8">
      <w:pPr>
        <w:spacing w:line="240" w:lineRule="auto"/>
      </w:pPr>
      <w:r>
        <w:t>O</w:t>
      </w:r>
      <w:r w:rsidRPr="004D24F5">
        <w:t xml:space="preserve">rdförandeskapet och kommissionen </w:t>
      </w:r>
      <w:r>
        <w:t xml:space="preserve">väntas återrapportera </w:t>
      </w:r>
      <w:r w:rsidRPr="004D24F5">
        <w:t>från möte</w:t>
      </w:r>
      <w:r>
        <w:t>t</w:t>
      </w:r>
      <w:r w:rsidRPr="004D24F5">
        <w:t xml:space="preserve"> mellan G20:s finansministrar och centralbankschefer</w:t>
      </w:r>
      <w:r>
        <w:t xml:space="preserve"> i Washington den 16-17 april. </w:t>
      </w:r>
    </w:p>
    <w:p w14:paraId="4134E816" w14:textId="77777777" w:rsidR="00EB7BC8" w:rsidRDefault="00EB7BC8" w:rsidP="00EB7BC8"/>
    <w:p w14:paraId="25B86238" w14:textId="77777777" w:rsidR="00EB7BC8" w:rsidRDefault="00EB7BC8" w:rsidP="00EB7BC8">
      <w:pPr>
        <w:pStyle w:val="RKnormal"/>
      </w:pPr>
      <w:r>
        <w:t>Ärendet har inte tidigare behandlats i EU-nämnden.</w:t>
      </w:r>
    </w:p>
    <w:p w14:paraId="2D9CCA19" w14:textId="77777777" w:rsidR="00EB7BC8" w:rsidRDefault="00EB7BC8" w:rsidP="00EB7BC8">
      <w:pPr>
        <w:pStyle w:val="RKnormal"/>
      </w:pPr>
    </w:p>
    <w:p w14:paraId="7301ED0E" w14:textId="77777777" w:rsidR="00EB7BC8" w:rsidRDefault="00EB7BC8" w:rsidP="00EB7BC8">
      <w:pPr>
        <w:pStyle w:val="RKnormal"/>
        <w:rPr>
          <w:i/>
        </w:rPr>
      </w:pPr>
      <w:r w:rsidRPr="00CD45ED">
        <w:t>Vid G20:s finansminister- och centralbankschefsmöte den 1</w:t>
      </w:r>
      <w:r>
        <w:t>6</w:t>
      </w:r>
      <w:r w:rsidRPr="00CD45ED">
        <w:t>-1</w:t>
      </w:r>
      <w:r>
        <w:t>7</w:t>
      </w:r>
      <w:r w:rsidRPr="00CD45ED">
        <w:t xml:space="preserve"> april </w:t>
      </w:r>
      <w:r>
        <w:t xml:space="preserve">beslutades att framstegen med </w:t>
      </w:r>
      <w:r w:rsidRPr="00CD45ED">
        <w:t xml:space="preserve">medlemsländernas tillväxtstrategier kommer att </w:t>
      </w:r>
      <w:r>
        <w:t>av</w:t>
      </w:r>
      <w:r w:rsidRPr="00CD45ED">
        <w:t>rapportera</w:t>
      </w:r>
      <w:r>
        <w:t>s</w:t>
      </w:r>
      <w:r w:rsidRPr="00CD45ED">
        <w:t xml:space="preserve"> vid toppmötet </w:t>
      </w:r>
      <w:r w:rsidRPr="00705917">
        <w:t xml:space="preserve">för </w:t>
      </w:r>
      <w:r>
        <w:t xml:space="preserve">G20:s </w:t>
      </w:r>
      <w:r w:rsidRPr="00705917">
        <w:t>stats- och regeringschefer</w:t>
      </w:r>
      <w:r>
        <w:t xml:space="preserve"> </w:t>
      </w:r>
      <w:r w:rsidRPr="00CD45ED">
        <w:t xml:space="preserve">i november i Antalya, Turkiet. I det fortsatta arbetet betonas också att G20 vill försäkra att den ekonomiska tillväxten </w:t>
      </w:r>
      <w:r w:rsidR="00DD4CC6">
        <w:t>kommer alla till del</w:t>
      </w:r>
      <w:r w:rsidRPr="00CD45ED">
        <w:t xml:space="preserve"> i medlemsländerna</w:t>
      </w:r>
      <w:r>
        <w:t xml:space="preserve">. </w:t>
      </w:r>
      <w:r w:rsidRPr="00CD45ED">
        <w:t xml:space="preserve">Vidare </w:t>
      </w:r>
      <w:r w:rsidR="00DD4CC6">
        <w:t>uttryckte</w:t>
      </w:r>
      <w:r w:rsidRPr="00CD45ED">
        <w:t xml:space="preserve"> G20-länderna besvik</w:t>
      </w:r>
      <w:r w:rsidR="00DD4CC6">
        <w:t xml:space="preserve">else över att </w:t>
      </w:r>
      <w:r w:rsidRPr="00CD45ED">
        <w:t xml:space="preserve">USA hindrat de </w:t>
      </w:r>
      <w:r w:rsidR="00DD4CC6">
        <w:t>styrande</w:t>
      </w:r>
      <w:r w:rsidRPr="00CD45ED">
        <w:t xml:space="preserve">reformer som medlemsländerna i IMF beslutade om 2010. </w:t>
      </w:r>
      <w:r>
        <w:t xml:space="preserve">Slutligen konstaterar </w:t>
      </w:r>
      <w:r w:rsidRPr="00CD45ED">
        <w:t>G20 att 2015 är ett viktigt år för den globala utvecklingsagendan och understryker vikten av goda resultat från F</w:t>
      </w:r>
      <w:r>
        <w:t xml:space="preserve">inancing </w:t>
      </w:r>
      <w:r w:rsidR="00DD4CC6">
        <w:t>f</w:t>
      </w:r>
      <w:r>
        <w:t xml:space="preserve">or </w:t>
      </w:r>
      <w:r w:rsidRPr="00CD45ED">
        <w:t>D</w:t>
      </w:r>
      <w:r>
        <w:t>evelopment</w:t>
      </w:r>
      <w:r w:rsidRPr="00CD45ED">
        <w:t xml:space="preserve">-konferensen </w:t>
      </w:r>
      <w:r>
        <w:t xml:space="preserve">i </w:t>
      </w:r>
      <w:r w:rsidRPr="00CD45ED">
        <w:t>Addis Ababa, New York</w:t>
      </w:r>
      <w:r>
        <w:t>-</w:t>
      </w:r>
      <w:r w:rsidRPr="00CD45ED">
        <w:t>toppmötet om utvecklingsagendan post-2015</w:t>
      </w:r>
      <w:r>
        <w:t>,</w:t>
      </w:r>
      <w:r w:rsidRPr="00CD45ED">
        <w:t xml:space="preserve"> samt COP21</w:t>
      </w:r>
      <w:r>
        <w:t>-</w:t>
      </w:r>
      <w:r w:rsidRPr="00CD45ED">
        <w:t>konferensen i Paris. G20 kommer att stödja och hjälpa till med arbetet med att förbättra situationen för utvecklingsländer.</w:t>
      </w:r>
      <w:r w:rsidRPr="00CD45ED">
        <w:rPr>
          <w:i/>
          <w:iCs/>
        </w:rPr>
        <w:t xml:space="preserve"> </w:t>
      </w:r>
    </w:p>
    <w:p w14:paraId="2BF03955" w14:textId="77777777" w:rsidR="001C5BEC" w:rsidRPr="00CD45ED" w:rsidRDefault="001C5BEC" w:rsidP="00EB7BC8">
      <w:pPr>
        <w:pStyle w:val="RKnormal"/>
      </w:pPr>
    </w:p>
    <w:p w14:paraId="39D44679" w14:textId="77777777" w:rsidR="00EB7BC8" w:rsidRPr="00EB7BC8" w:rsidRDefault="00EB7BC8" w:rsidP="00EB7BC8">
      <w:pPr>
        <w:rPr>
          <w:b/>
        </w:rPr>
      </w:pPr>
    </w:p>
    <w:p w14:paraId="1FA06C92" w14:textId="77777777" w:rsidR="00504D0F" w:rsidRDefault="00504D0F" w:rsidP="00504D0F">
      <w:pPr>
        <w:pStyle w:val="Liststycke"/>
        <w:numPr>
          <w:ilvl w:val="0"/>
          <w:numId w:val="1"/>
        </w:numPr>
        <w:spacing w:line="240" w:lineRule="auto"/>
        <w:rPr>
          <w:b/>
        </w:rPr>
      </w:pPr>
      <w:r>
        <w:rPr>
          <w:b/>
        </w:rPr>
        <w:t>Övriga frågor</w:t>
      </w:r>
    </w:p>
    <w:p w14:paraId="6871E3FE" w14:textId="77777777" w:rsidR="002E7C17" w:rsidRPr="002E7C17" w:rsidRDefault="002E7C17" w:rsidP="002E7C17">
      <w:pPr>
        <w:spacing w:line="240" w:lineRule="auto"/>
        <w:rPr>
          <w:b/>
        </w:rPr>
      </w:pPr>
      <w:r>
        <w:t xml:space="preserve">Det finns i skrivande stund inte några övriga frågor anmälda. </w:t>
      </w:r>
    </w:p>
    <w:sectPr w:rsidR="002E7C17" w:rsidRPr="002E7C17"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7B9C" w14:textId="77777777" w:rsidR="00E60501" w:rsidRDefault="00E60501">
      <w:r>
        <w:separator/>
      </w:r>
    </w:p>
  </w:endnote>
  <w:endnote w:type="continuationSeparator" w:id="0">
    <w:p w14:paraId="647BF0E3" w14:textId="77777777" w:rsidR="00E60501" w:rsidRDefault="00E60501">
      <w:r>
        <w:continuationSeparator/>
      </w:r>
    </w:p>
  </w:endnote>
  <w:endnote w:type="continuationNotice" w:id="1">
    <w:p w14:paraId="6A8BFEB7" w14:textId="77777777" w:rsidR="00E60501" w:rsidRDefault="00E60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487FF" w14:textId="77777777" w:rsidR="00E60501" w:rsidRDefault="00E60501">
      <w:r>
        <w:separator/>
      </w:r>
    </w:p>
  </w:footnote>
  <w:footnote w:type="continuationSeparator" w:id="0">
    <w:p w14:paraId="319AE2F9" w14:textId="77777777" w:rsidR="00E60501" w:rsidRDefault="00E60501">
      <w:r>
        <w:continuationSeparator/>
      </w:r>
    </w:p>
  </w:footnote>
  <w:footnote w:type="continuationNotice" w:id="1">
    <w:p w14:paraId="57B54CC6" w14:textId="77777777" w:rsidR="00E60501" w:rsidRDefault="00E6050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C53F3" w14:textId="77777777" w:rsidR="002F0D1E" w:rsidRDefault="002F0D1E"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F3A72">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F0D1E" w14:paraId="2A1D58EA" w14:textId="77777777">
      <w:trPr>
        <w:cantSplit/>
      </w:trPr>
      <w:tc>
        <w:tcPr>
          <w:tcW w:w="3119" w:type="dxa"/>
        </w:tcPr>
        <w:p w14:paraId="148D8724" w14:textId="77777777" w:rsidR="002F0D1E" w:rsidRDefault="002F0D1E" w:rsidP="00005077">
          <w:pPr>
            <w:pStyle w:val="Sidhuvud"/>
            <w:spacing w:line="200" w:lineRule="atLeast"/>
            <w:ind w:right="360" w:firstLine="360"/>
            <w:rPr>
              <w:rFonts w:ascii="TradeGothic" w:hAnsi="TradeGothic"/>
              <w:b/>
              <w:bCs/>
              <w:sz w:val="16"/>
            </w:rPr>
          </w:pPr>
        </w:p>
      </w:tc>
      <w:tc>
        <w:tcPr>
          <w:tcW w:w="4111" w:type="dxa"/>
          <w:tcMar>
            <w:left w:w="567" w:type="dxa"/>
          </w:tcMar>
        </w:tcPr>
        <w:p w14:paraId="14863F48" w14:textId="77777777" w:rsidR="002F0D1E" w:rsidRDefault="002F0D1E">
          <w:pPr>
            <w:pStyle w:val="Sidhuvud"/>
            <w:ind w:right="360"/>
          </w:pPr>
        </w:p>
      </w:tc>
      <w:tc>
        <w:tcPr>
          <w:tcW w:w="1525" w:type="dxa"/>
        </w:tcPr>
        <w:p w14:paraId="7D366067" w14:textId="77777777" w:rsidR="002F0D1E" w:rsidRDefault="002F0D1E">
          <w:pPr>
            <w:pStyle w:val="Sidhuvud"/>
            <w:ind w:right="360"/>
          </w:pPr>
        </w:p>
      </w:tc>
    </w:tr>
  </w:tbl>
  <w:p w14:paraId="42E8C879" w14:textId="77777777" w:rsidR="002F0D1E" w:rsidRDefault="002F0D1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44BE" w14:textId="77777777" w:rsidR="002F0D1E" w:rsidRDefault="002F0D1E"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F3A72">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F0D1E" w14:paraId="7A629958" w14:textId="77777777">
      <w:trPr>
        <w:cantSplit/>
      </w:trPr>
      <w:tc>
        <w:tcPr>
          <w:tcW w:w="3119" w:type="dxa"/>
        </w:tcPr>
        <w:p w14:paraId="31DFEA8A" w14:textId="77777777" w:rsidR="002F0D1E" w:rsidRDefault="002F0D1E" w:rsidP="00005077">
          <w:pPr>
            <w:pStyle w:val="Sidhuvud"/>
            <w:spacing w:line="200" w:lineRule="atLeast"/>
            <w:ind w:right="360" w:firstLine="360"/>
            <w:rPr>
              <w:rFonts w:ascii="TradeGothic" w:hAnsi="TradeGothic"/>
              <w:b/>
              <w:bCs/>
              <w:sz w:val="16"/>
            </w:rPr>
          </w:pPr>
        </w:p>
      </w:tc>
      <w:tc>
        <w:tcPr>
          <w:tcW w:w="4111" w:type="dxa"/>
          <w:tcMar>
            <w:left w:w="567" w:type="dxa"/>
          </w:tcMar>
        </w:tcPr>
        <w:p w14:paraId="76358ED7" w14:textId="77777777" w:rsidR="002F0D1E" w:rsidRDefault="002F0D1E">
          <w:pPr>
            <w:pStyle w:val="Sidhuvud"/>
            <w:ind w:right="360"/>
          </w:pPr>
        </w:p>
      </w:tc>
      <w:tc>
        <w:tcPr>
          <w:tcW w:w="1525" w:type="dxa"/>
        </w:tcPr>
        <w:p w14:paraId="7FB5BEB8" w14:textId="77777777" w:rsidR="002F0D1E" w:rsidRDefault="002F0D1E">
          <w:pPr>
            <w:pStyle w:val="Sidhuvud"/>
            <w:ind w:right="360"/>
          </w:pPr>
        </w:p>
      </w:tc>
    </w:tr>
  </w:tbl>
  <w:p w14:paraId="33A1B297" w14:textId="77777777" w:rsidR="002F0D1E" w:rsidRDefault="002F0D1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A2367" w14:textId="77777777" w:rsidR="002F0D1E" w:rsidRDefault="002F0D1E">
    <w:pPr>
      <w:framePr w:w="2948" w:h="1321" w:hRule="exact" w:wrap="notBeside" w:vAnchor="page" w:hAnchor="page" w:x="1362" w:y="653"/>
    </w:pPr>
    <w:r>
      <w:rPr>
        <w:noProof/>
        <w:lang w:eastAsia="sv-SE"/>
      </w:rPr>
      <w:drawing>
        <wp:inline distT="0" distB="0" distL="0" distR="0" wp14:anchorId="3AE6CE0A" wp14:editId="437B20F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FD2D11" w14:textId="77777777" w:rsidR="002F0D1E" w:rsidRPr="00005077" w:rsidRDefault="002F0D1E">
    <w:pPr>
      <w:pStyle w:val="RKrubrik"/>
      <w:keepNext w:val="0"/>
      <w:tabs>
        <w:tab w:val="clear" w:pos="1134"/>
        <w:tab w:val="clear" w:pos="2835"/>
      </w:tabs>
      <w:spacing w:before="0" w:after="0" w:line="320" w:lineRule="atLeast"/>
      <w:rPr>
        <w:bCs/>
      </w:rPr>
    </w:pPr>
  </w:p>
  <w:p w14:paraId="50B6A863" w14:textId="77777777" w:rsidR="002F0D1E" w:rsidRPr="00005077" w:rsidRDefault="002F0D1E">
    <w:pPr>
      <w:rPr>
        <w:rFonts w:ascii="TradeGothic" w:hAnsi="TradeGothic"/>
        <w:b/>
        <w:bCs/>
        <w:spacing w:val="12"/>
        <w:sz w:val="22"/>
      </w:rPr>
    </w:pPr>
  </w:p>
  <w:p w14:paraId="0A66B52F" w14:textId="77777777" w:rsidR="002F0D1E" w:rsidRPr="00005077" w:rsidRDefault="002F0D1E">
    <w:pPr>
      <w:pStyle w:val="RKrubrik"/>
      <w:keepNext w:val="0"/>
      <w:tabs>
        <w:tab w:val="clear" w:pos="1134"/>
        <w:tab w:val="clear" w:pos="2835"/>
      </w:tabs>
      <w:spacing w:before="0" w:after="0" w:line="320" w:lineRule="atLeast"/>
      <w:rPr>
        <w:bCs/>
      </w:rPr>
    </w:pPr>
  </w:p>
  <w:p w14:paraId="21419009" w14:textId="77777777" w:rsidR="002F0D1E" w:rsidRPr="00005077" w:rsidRDefault="002F0D1E">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37A6F90"/>
    <w:multiLevelType w:val="hybridMultilevel"/>
    <w:tmpl w:val="03066D50"/>
    <w:lvl w:ilvl="0" w:tplc="AB7E9DB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8">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1">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nsid w:val="323A099A"/>
    <w:multiLevelType w:val="hybridMultilevel"/>
    <w:tmpl w:val="817E4C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80C5988"/>
    <w:multiLevelType w:val="hybridMultilevel"/>
    <w:tmpl w:val="A1F6DB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6">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6FDA47FA"/>
    <w:multiLevelType w:val="hybridMultilevel"/>
    <w:tmpl w:val="6D107A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10"/>
  </w:num>
  <w:num w:numId="5">
    <w:abstractNumId w:val="1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0"/>
  </w:num>
  <w:num w:numId="11">
    <w:abstractNumId w:val="14"/>
  </w:num>
  <w:num w:numId="12">
    <w:abstractNumId w:val="6"/>
  </w:num>
  <w:num w:numId="13">
    <w:abstractNumId w:val="1"/>
  </w:num>
  <w:num w:numId="14">
    <w:abstractNumId w:val="3"/>
  </w:num>
  <w:num w:numId="15">
    <w:abstractNumId w:val="8"/>
  </w:num>
  <w:num w:numId="16">
    <w:abstractNumId w:val="9"/>
  </w:num>
  <w:num w:numId="17">
    <w:abstractNumId w:val="2"/>
  </w:num>
  <w:num w:numId="18">
    <w:abstractNumId w:val="5"/>
  </w:num>
  <w:num w:numId="19">
    <w:abstractNumId w:val="12"/>
  </w:num>
  <w:num w:numId="20">
    <w:abstractNumId w:val="18"/>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0755C"/>
    <w:rsid w:val="000117AF"/>
    <w:rsid w:val="00020BA0"/>
    <w:rsid w:val="00020D1B"/>
    <w:rsid w:val="00035CAE"/>
    <w:rsid w:val="00042EC5"/>
    <w:rsid w:val="00051B96"/>
    <w:rsid w:val="00052620"/>
    <w:rsid w:val="00056F50"/>
    <w:rsid w:val="00071987"/>
    <w:rsid w:val="00076962"/>
    <w:rsid w:val="000830EC"/>
    <w:rsid w:val="000902C8"/>
    <w:rsid w:val="00096291"/>
    <w:rsid w:val="000B44B0"/>
    <w:rsid w:val="000B537F"/>
    <w:rsid w:val="000C01D2"/>
    <w:rsid w:val="000C3C76"/>
    <w:rsid w:val="000E1043"/>
    <w:rsid w:val="000E33B9"/>
    <w:rsid w:val="000F6CB3"/>
    <w:rsid w:val="00107E8B"/>
    <w:rsid w:val="00112E6A"/>
    <w:rsid w:val="001218EB"/>
    <w:rsid w:val="00130EA3"/>
    <w:rsid w:val="00136959"/>
    <w:rsid w:val="00150384"/>
    <w:rsid w:val="00153009"/>
    <w:rsid w:val="00155800"/>
    <w:rsid w:val="00157632"/>
    <w:rsid w:val="001623DF"/>
    <w:rsid w:val="0016543F"/>
    <w:rsid w:val="00174DBD"/>
    <w:rsid w:val="00175FCE"/>
    <w:rsid w:val="001802E1"/>
    <w:rsid w:val="001805B7"/>
    <w:rsid w:val="00191442"/>
    <w:rsid w:val="001915D5"/>
    <w:rsid w:val="00195567"/>
    <w:rsid w:val="001960AD"/>
    <w:rsid w:val="001A5FEB"/>
    <w:rsid w:val="001B2161"/>
    <w:rsid w:val="001B4E9A"/>
    <w:rsid w:val="001B6984"/>
    <w:rsid w:val="001C0E54"/>
    <w:rsid w:val="001C5BEC"/>
    <w:rsid w:val="001C6F87"/>
    <w:rsid w:val="001D15A6"/>
    <w:rsid w:val="001D67C4"/>
    <w:rsid w:val="001E6BA1"/>
    <w:rsid w:val="001E746F"/>
    <w:rsid w:val="001F1134"/>
    <w:rsid w:val="001F493A"/>
    <w:rsid w:val="001F50F2"/>
    <w:rsid w:val="001F549A"/>
    <w:rsid w:val="001F78B2"/>
    <w:rsid w:val="00202267"/>
    <w:rsid w:val="00207772"/>
    <w:rsid w:val="0021228C"/>
    <w:rsid w:val="00216335"/>
    <w:rsid w:val="00222476"/>
    <w:rsid w:val="002274B8"/>
    <w:rsid w:val="002370BD"/>
    <w:rsid w:val="00241700"/>
    <w:rsid w:val="00245E3C"/>
    <w:rsid w:val="00271A2E"/>
    <w:rsid w:val="002730D6"/>
    <w:rsid w:val="00273712"/>
    <w:rsid w:val="00282BC6"/>
    <w:rsid w:val="002A0F1D"/>
    <w:rsid w:val="002A29B2"/>
    <w:rsid w:val="002A4F45"/>
    <w:rsid w:val="002A6D28"/>
    <w:rsid w:val="002A7575"/>
    <w:rsid w:val="002B4BD1"/>
    <w:rsid w:val="002B5430"/>
    <w:rsid w:val="002B71AC"/>
    <w:rsid w:val="002C1830"/>
    <w:rsid w:val="002C4F3F"/>
    <w:rsid w:val="002D4323"/>
    <w:rsid w:val="002E0E74"/>
    <w:rsid w:val="002E4F14"/>
    <w:rsid w:val="002E6993"/>
    <w:rsid w:val="002E6C71"/>
    <w:rsid w:val="002E7C17"/>
    <w:rsid w:val="002F0D1E"/>
    <w:rsid w:val="002F102D"/>
    <w:rsid w:val="002F584D"/>
    <w:rsid w:val="002F69AE"/>
    <w:rsid w:val="002F783F"/>
    <w:rsid w:val="00312293"/>
    <w:rsid w:val="00326BA0"/>
    <w:rsid w:val="0033204E"/>
    <w:rsid w:val="00333796"/>
    <w:rsid w:val="00334650"/>
    <w:rsid w:val="00335FE4"/>
    <w:rsid w:val="00340549"/>
    <w:rsid w:val="00344475"/>
    <w:rsid w:val="003455D1"/>
    <w:rsid w:val="00347F48"/>
    <w:rsid w:val="00355B9F"/>
    <w:rsid w:val="0035784E"/>
    <w:rsid w:val="00365C04"/>
    <w:rsid w:val="00371A7D"/>
    <w:rsid w:val="0037413C"/>
    <w:rsid w:val="003768B0"/>
    <w:rsid w:val="003806E4"/>
    <w:rsid w:val="00386A23"/>
    <w:rsid w:val="00391CF8"/>
    <w:rsid w:val="003957FE"/>
    <w:rsid w:val="003A0DD2"/>
    <w:rsid w:val="003A1FE4"/>
    <w:rsid w:val="003A3838"/>
    <w:rsid w:val="003A3C6D"/>
    <w:rsid w:val="003B7989"/>
    <w:rsid w:val="003C1BD3"/>
    <w:rsid w:val="003C742D"/>
    <w:rsid w:val="003D73CF"/>
    <w:rsid w:val="003F61B5"/>
    <w:rsid w:val="00404181"/>
    <w:rsid w:val="00410432"/>
    <w:rsid w:val="0041665C"/>
    <w:rsid w:val="00430444"/>
    <w:rsid w:val="00430B9C"/>
    <w:rsid w:val="004370D3"/>
    <w:rsid w:val="00440BBF"/>
    <w:rsid w:val="00443156"/>
    <w:rsid w:val="004451FB"/>
    <w:rsid w:val="0046320E"/>
    <w:rsid w:val="004650B9"/>
    <w:rsid w:val="0047177C"/>
    <w:rsid w:val="004762EC"/>
    <w:rsid w:val="00482E76"/>
    <w:rsid w:val="004875E9"/>
    <w:rsid w:val="00491993"/>
    <w:rsid w:val="00497162"/>
    <w:rsid w:val="004A10D7"/>
    <w:rsid w:val="004A18B7"/>
    <w:rsid w:val="004A328D"/>
    <w:rsid w:val="004A4F40"/>
    <w:rsid w:val="004B5356"/>
    <w:rsid w:val="004C7466"/>
    <w:rsid w:val="004D06D5"/>
    <w:rsid w:val="004D4D6C"/>
    <w:rsid w:val="004E0699"/>
    <w:rsid w:val="004E3A5F"/>
    <w:rsid w:val="004E3CA9"/>
    <w:rsid w:val="004E5165"/>
    <w:rsid w:val="004F231F"/>
    <w:rsid w:val="004F3445"/>
    <w:rsid w:val="00501088"/>
    <w:rsid w:val="00502013"/>
    <w:rsid w:val="00504D0F"/>
    <w:rsid w:val="0050619E"/>
    <w:rsid w:val="00513698"/>
    <w:rsid w:val="00523BAB"/>
    <w:rsid w:val="00525C0D"/>
    <w:rsid w:val="00541960"/>
    <w:rsid w:val="00542B09"/>
    <w:rsid w:val="00542EB7"/>
    <w:rsid w:val="00545277"/>
    <w:rsid w:val="00550423"/>
    <w:rsid w:val="00565254"/>
    <w:rsid w:val="00582E44"/>
    <w:rsid w:val="0058762B"/>
    <w:rsid w:val="00591639"/>
    <w:rsid w:val="005A5BCE"/>
    <w:rsid w:val="005B0E7D"/>
    <w:rsid w:val="005B0F8B"/>
    <w:rsid w:val="005D0A0A"/>
    <w:rsid w:val="005D5B0B"/>
    <w:rsid w:val="005D62A9"/>
    <w:rsid w:val="005E5C5C"/>
    <w:rsid w:val="005F01DA"/>
    <w:rsid w:val="005F2087"/>
    <w:rsid w:val="005F2311"/>
    <w:rsid w:val="005F3281"/>
    <w:rsid w:val="005F5235"/>
    <w:rsid w:val="005F561C"/>
    <w:rsid w:val="006077F9"/>
    <w:rsid w:val="00610D06"/>
    <w:rsid w:val="00621B4A"/>
    <w:rsid w:val="00646C86"/>
    <w:rsid w:val="00647931"/>
    <w:rsid w:val="00650B63"/>
    <w:rsid w:val="00653F9C"/>
    <w:rsid w:val="00655D9C"/>
    <w:rsid w:val="00661710"/>
    <w:rsid w:val="00663781"/>
    <w:rsid w:val="006826E3"/>
    <w:rsid w:val="006856BF"/>
    <w:rsid w:val="00693D83"/>
    <w:rsid w:val="006A09B7"/>
    <w:rsid w:val="006B0694"/>
    <w:rsid w:val="006D28B9"/>
    <w:rsid w:val="006D59DC"/>
    <w:rsid w:val="006E4E11"/>
    <w:rsid w:val="007038BB"/>
    <w:rsid w:val="00705197"/>
    <w:rsid w:val="0070771B"/>
    <w:rsid w:val="007242A3"/>
    <w:rsid w:val="0073251A"/>
    <w:rsid w:val="00733972"/>
    <w:rsid w:val="00743087"/>
    <w:rsid w:val="007461EE"/>
    <w:rsid w:val="00750C0C"/>
    <w:rsid w:val="0075149A"/>
    <w:rsid w:val="00756FB7"/>
    <w:rsid w:val="00763BAF"/>
    <w:rsid w:val="00775D59"/>
    <w:rsid w:val="00780EF1"/>
    <w:rsid w:val="00791C1D"/>
    <w:rsid w:val="007A6855"/>
    <w:rsid w:val="007A7D86"/>
    <w:rsid w:val="007D3C20"/>
    <w:rsid w:val="007E638F"/>
    <w:rsid w:val="008010CB"/>
    <w:rsid w:val="0080134E"/>
    <w:rsid w:val="00807575"/>
    <w:rsid w:val="00813F79"/>
    <w:rsid w:val="008215F2"/>
    <w:rsid w:val="008221CB"/>
    <w:rsid w:val="008229EA"/>
    <w:rsid w:val="008270B2"/>
    <w:rsid w:val="0083327C"/>
    <w:rsid w:val="008365BE"/>
    <w:rsid w:val="00837DEB"/>
    <w:rsid w:val="008426A2"/>
    <w:rsid w:val="00844FF5"/>
    <w:rsid w:val="00856A0E"/>
    <w:rsid w:val="00862DD4"/>
    <w:rsid w:val="00864614"/>
    <w:rsid w:val="008661E9"/>
    <w:rsid w:val="00870790"/>
    <w:rsid w:val="00880A8A"/>
    <w:rsid w:val="008843B1"/>
    <w:rsid w:val="00893AE6"/>
    <w:rsid w:val="00895916"/>
    <w:rsid w:val="00895DE6"/>
    <w:rsid w:val="0089646F"/>
    <w:rsid w:val="008A003C"/>
    <w:rsid w:val="008A73AA"/>
    <w:rsid w:val="008B1A1B"/>
    <w:rsid w:val="008C4622"/>
    <w:rsid w:val="008C54FD"/>
    <w:rsid w:val="008C5674"/>
    <w:rsid w:val="008F5BA0"/>
    <w:rsid w:val="00906AF5"/>
    <w:rsid w:val="00912795"/>
    <w:rsid w:val="00913633"/>
    <w:rsid w:val="00915362"/>
    <w:rsid w:val="00922AD7"/>
    <w:rsid w:val="00924418"/>
    <w:rsid w:val="00926142"/>
    <w:rsid w:val="00930FC0"/>
    <w:rsid w:val="009325BB"/>
    <w:rsid w:val="00932A34"/>
    <w:rsid w:val="009352C7"/>
    <w:rsid w:val="009379CA"/>
    <w:rsid w:val="00940A5F"/>
    <w:rsid w:val="00942465"/>
    <w:rsid w:val="0095196E"/>
    <w:rsid w:val="0095281B"/>
    <w:rsid w:val="00960B28"/>
    <w:rsid w:val="00962B68"/>
    <w:rsid w:val="009710C1"/>
    <w:rsid w:val="00972322"/>
    <w:rsid w:val="00972671"/>
    <w:rsid w:val="00993DD9"/>
    <w:rsid w:val="0099677A"/>
    <w:rsid w:val="00996E92"/>
    <w:rsid w:val="009B22B4"/>
    <w:rsid w:val="009B7594"/>
    <w:rsid w:val="009D0805"/>
    <w:rsid w:val="009D2446"/>
    <w:rsid w:val="009D491A"/>
    <w:rsid w:val="009D78F3"/>
    <w:rsid w:val="009E180A"/>
    <w:rsid w:val="009E2A4F"/>
    <w:rsid w:val="009E611A"/>
    <w:rsid w:val="009F3A72"/>
    <w:rsid w:val="009F7BFC"/>
    <w:rsid w:val="00A036C7"/>
    <w:rsid w:val="00A03894"/>
    <w:rsid w:val="00A2116E"/>
    <w:rsid w:val="00A23E4D"/>
    <w:rsid w:val="00A27CB0"/>
    <w:rsid w:val="00A33BCE"/>
    <w:rsid w:val="00A358D3"/>
    <w:rsid w:val="00A3704D"/>
    <w:rsid w:val="00A40D86"/>
    <w:rsid w:val="00A43974"/>
    <w:rsid w:val="00A47887"/>
    <w:rsid w:val="00A5054E"/>
    <w:rsid w:val="00A570BF"/>
    <w:rsid w:val="00A57BF9"/>
    <w:rsid w:val="00A63C75"/>
    <w:rsid w:val="00A73DEF"/>
    <w:rsid w:val="00A74AB1"/>
    <w:rsid w:val="00A770E3"/>
    <w:rsid w:val="00A92C4E"/>
    <w:rsid w:val="00A9526C"/>
    <w:rsid w:val="00A95E63"/>
    <w:rsid w:val="00AA1AD5"/>
    <w:rsid w:val="00AA445E"/>
    <w:rsid w:val="00AB20B1"/>
    <w:rsid w:val="00AB65CC"/>
    <w:rsid w:val="00AD3451"/>
    <w:rsid w:val="00AD44B7"/>
    <w:rsid w:val="00AE14AF"/>
    <w:rsid w:val="00AE60E6"/>
    <w:rsid w:val="00AE763E"/>
    <w:rsid w:val="00AE7B62"/>
    <w:rsid w:val="00AF32AB"/>
    <w:rsid w:val="00AF422A"/>
    <w:rsid w:val="00B0350E"/>
    <w:rsid w:val="00B076B7"/>
    <w:rsid w:val="00B07786"/>
    <w:rsid w:val="00B11DB7"/>
    <w:rsid w:val="00B20749"/>
    <w:rsid w:val="00B214EF"/>
    <w:rsid w:val="00B27815"/>
    <w:rsid w:val="00B32324"/>
    <w:rsid w:val="00B37C8A"/>
    <w:rsid w:val="00B402E0"/>
    <w:rsid w:val="00B47B3C"/>
    <w:rsid w:val="00B503B0"/>
    <w:rsid w:val="00B56FCD"/>
    <w:rsid w:val="00B6290B"/>
    <w:rsid w:val="00B6336E"/>
    <w:rsid w:val="00B660AD"/>
    <w:rsid w:val="00B82F6A"/>
    <w:rsid w:val="00B8507B"/>
    <w:rsid w:val="00B86AEE"/>
    <w:rsid w:val="00B8711D"/>
    <w:rsid w:val="00B87B3B"/>
    <w:rsid w:val="00B87B65"/>
    <w:rsid w:val="00B92F0E"/>
    <w:rsid w:val="00B9337C"/>
    <w:rsid w:val="00B94943"/>
    <w:rsid w:val="00B94B74"/>
    <w:rsid w:val="00B951FE"/>
    <w:rsid w:val="00BA28B1"/>
    <w:rsid w:val="00BA426A"/>
    <w:rsid w:val="00BB0BC7"/>
    <w:rsid w:val="00BB15F3"/>
    <w:rsid w:val="00BB3E66"/>
    <w:rsid w:val="00BB7130"/>
    <w:rsid w:val="00BC56C1"/>
    <w:rsid w:val="00BE2CA9"/>
    <w:rsid w:val="00BF196A"/>
    <w:rsid w:val="00C00D19"/>
    <w:rsid w:val="00C0184F"/>
    <w:rsid w:val="00C052B1"/>
    <w:rsid w:val="00C11F71"/>
    <w:rsid w:val="00C16F9A"/>
    <w:rsid w:val="00C33542"/>
    <w:rsid w:val="00C47ECF"/>
    <w:rsid w:val="00C54D3D"/>
    <w:rsid w:val="00C55805"/>
    <w:rsid w:val="00C55F23"/>
    <w:rsid w:val="00C6060F"/>
    <w:rsid w:val="00C609F4"/>
    <w:rsid w:val="00C85695"/>
    <w:rsid w:val="00C903FE"/>
    <w:rsid w:val="00C932E6"/>
    <w:rsid w:val="00C9529D"/>
    <w:rsid w:val="00CA1FFD"/>
    <w:rsid w:val="00CA622B"/>
    <w:rsid w:val="00CB3083"/>
    <w:rsid w:val="00CB3C76"/>
    <w:rsid w:val="00CC05F6"/>
    <w:rsid w:val="00CC1A72"/>
    <w:rsid w:val="00CE2F8A"/>
    <w:rsid w:val="00CF3465"/>
    <w:rsid w:val="00CF4232"/>
    <w:rsid w:val="00D00A16"/>
    <w:rsid w:val="00D01012"/>
    <w:rsid w:val="00D01325"/>
    <w:rsid w:val="00D0400B"/>
    <w:rsid w:val="00D04140"/>
    <w:rsid w:val="00D133D7"/>
    <w:rsid w:val="00D169CF"/>
    <w:rsid w:val="00D25B17"/>
    <w:rsid w:val="00D33A42"/>
    <w:rsid w:val="00D34504"/>
    <w:rsid w:val="00D44CD5"/>
    <w:rsid w:val="00D45337"/>
    <w:rsid w:val="00D50BBC"/>
    <w:rsid w:val="00D9141D"/>
    <w:rsid w:val="00D92C75"/>
    <w:rsid w:val="00D95E7B"/>
    <w:rsid w:val="00DA05B6"/>
    <w:rsid w:val="00DA06EE"/>
    <w:rsid w:val="00DA460F"/>
    <w:rsid w:val="00DC206D"/>
    <w:rsid w:val="00DC58E2"/>
    <w:rsid w:val="00DC6791"/>
    <w:rsid w:val="00DD4CC6"/>
    <w:rsid w:val="00DE4C0E"/>
    <w:rsid w:val="00DF0E1B"/>
    <w:rsid w:val="00DF139A"/>
    <w:rsid w:val="00DF15F9"/>
    <w:rsid w:val="00DF6884"/>
    <w:rsid w:val="00E1620A"/>
    <w:rsid w:val="00E17EA6"/>
    <w:rsid w:val="00E21B51"/>
    <w:rsid w:val="00E24CE2"/>
    <w:rsid w:val="00E2514E"/>
    <w:rsid w:val="00E25600"/>
    <w:rsid w:val="00E269FE"/>
    <w:rsid w:val="00E36CAC"/>
    <w:rsid w:val="00E40553"/>
    <w:rsid w:val="00E43B95"/>
    <w:rsid w:val="00E4536A"/>
    <w:rsid w:val="00E45B5C"/>
    <w:rsid w:val="00E52334"/>
    <w:rsid w:val="00E60501"/>
    <w:rsid w:val="00E701B0"/>
    <w:rsid w:val="00E740DD"/>
    <w:rsid w:val="00E74DB5"/>
    <w:rsid w:val="00EB09DE"/>
    <w:rsid w:val="00EB7BC8"/>
    <w:rsid w:val="00EC17EC"/>
    <w:rsid w:val="00EC25F9"/>
    <w:rsid w:val="00EC281A"/>
    <w:rsid w:val="00ED3466"/>
    <w:rsid w:val="00ED583F"/>
    <w:rsid w:val="00ED6F65"/>
    <w:rsid w:val="00EE1361"/>
    <w:rsid w:val="00EE2BED"/>
    <w:rsid w:val="00EE3655"/>
    <w:rsid w:val="00EE421A"/>
    <w:rsid w:val="00F126E4"/>
    <w:rsid w:val="00F202CC"/>
    <w:rsid w:val="00F35201"/>
    <w:rsid w:val="00F35DBD"/>
    <w:rsid w:val="00F3734E"/>
    <w:rsid w:val="00F41850"/>
    <w:rsid w:val="00F46A2F"/>
    <w:rsid w:val="00F46FA6"/>
    <w:rsid w:val="00F47337"/>
    <w:rsid w:val="00F568DE"/>
    <w:rsid w:val="00F67068"/>
    <w:rsid w:val="00F70783"/>
    <w:rsid w:val="00F716ED"/>
    <w:rsid w:val="00F84337"/>
    <w:rsid w:val="00F909A2"/>
    <w:rsid w:val="00F90B42"/>
    <w:rsid w:val="00F977CE"/>
    <w:rsid w:val="00FB01BF"/>
    <w:rsid w:val="00FB2B93"/>
    <w:rsid w:val="00FB3B1D"/>
    <w:rsid w:val="00FB4281"/>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3E916"/>
  <w15:docId w15:val="{E271D870-65A5-42E6-9F9E-A87089DB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link w:val="ListstyckeChar"/>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styleId="Oformateradtext">
    <w:name w:val="Plain Text"/>
    <w:basedOn w:val="Normal"/>
    <w:link w:val="OformateradtextChar"/>
    <w:uiPriority w:val="99"/>
    <w:unhideWhenUsed/>
    <w:rsid w:val="00E45B5C"/>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basedOn w:val="Standardstycketeckensnitt"/>
    <w:link w:val="Oformateradtext"/>
    <w:uiPriority w:val="99"/>
    <w:rsid w:val="00E45B5C"/>
    <w:rPr>
      <w:rFonts w:ascii="Calibri" w:eastAsia="Calibri" w:hAnsi="Calibri" w:cs="Calibri"/>
      <w:sz w:val="22"/>
      <w:szCs w:val="22"/>
      <w:lang w:eastAsia="en-US"/>
    </w:rPr>
  </w:style>
  <w:style w:type="character" w:customStyle="1" w:styleId="ListstyckeChar">
    <w:name w:val="Liststycke Char"/>
    <w:link w:val="Liststycke"/>
    <w:uiPriority w:val="34"/>
    <w:locked/>
    <w:rsid w:val="00504D0F"/>
    <w:rPr>
      <w:rFonts w:ascii="OrigGarmnd BT" w:hAnsi="OrigGarmnd BT"/>
      <w:sz w:val="24"/>
      <w:lang w:eastAsia="en-US"/>
    </w:rPr>
  </w:style>
  <w:style w:type="paragraph" w:customStyle="1" w:styleId="Default">
    <w:name w:val="Default"/>
    <w:basedOn w:val="Normal"/>
    <w:rsid w:val="00C6060F"/>
    <w:pPr>
      <w:overflowPunct/>
      <w:adjustRightInd/>
      <w:spacing w:line="240" w:lineRule="auto"/>
      <w:textAlignment w:val="auto"/>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1280">
      <w:bodyDiv w:val="1"/>
      <w:marLeft w:val="0"/>
      <w:marRight w:val="0"/>
      <w:marTop w:val="0"/>
      <w:marBottom w:val="0"/>
      <w:divBdr>
        <w:top w:val="none" w:sz="0" w:space="0" w:color="auto"/>
        <w:left w:val="none" w:sz="0" w:space="0" w:color="auto"/>
        <w:bottom w:val="none" w:sz="0" w:space="0" w:color="auto"/>
        <w:right w:val="none" w:sz="0" w:space="0" w:color="auto"/>
      </w:divBdr>
    </w:div>
    <w:div w:id="284771094">
      <w:bodyDiv w:val="1"/>
      <w:marLeft w:val="0"/>
      <w:marRight w:val="0"/>
      <w:marTop w:val="0"/>
      <w:marBottom w:val="0"/>
      <w:divBdr>
        <w:top w:val="none" w:sz="0" w:space="0" w:color="auto"/>
        <w:left w:val="none" w:sz="0" w:space="0" w:color="auto"/>
        <w:bottom w:val="none" w:sz="0" w:space="0" w:color="auto"/>
        <w:right w:val="none" w:sz="0" w:space="0" w:color="auto"/>
      </w:divBdr>
    </w:div>
    <w:div w:id="682627647">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395162001">
      <w:bodyDiv w:val="1"/>
      <w:marLeft w:val="0"/>
      <w:marRight w:val="0"/>
      <w:marTop w:val="0"/>
      <w:marBottom w:val="0"/>
      <w:divBdr>
        <w:top w:val="none" w:sz="0" w:space="0" w:color="auto"/>
        <w:left w:val="none" w:sz="0" w:space="0" w:color="auto"/>
        <w:bottom w:val="none" w:sz="0" w:space="0" w:color="auto"/>
        <w:right w:val="none" w:sz="0" w:space="0" w:color="auto"/>
      </w:divBdr>
    </w:div>
    <w:div w:id="1880974852">
      <w:bodyDiv w:val="1"/>
      <w:marLeft w:val="0"/>
      <w:marRight w:val="0"/>
      <w:marTop w:val="0"/>
      <w:marBottom w:val="0"/>
      <w:divBdr>
        <w:top w:val="none" w:sz="0" w:space="0" w:color="auto"/>
        <w:left w:val="none" w:sz="0" w:space="0" w:color="auto"/>
        <w:bottom w:val="none" w:sz="0" w:space="0" w:color="auto"/>
        <w:right w:val="none" w:sz="0" w:space="0" w:color="auto"/>
      </w:divBdr>
    </w:div>
    <w:div w:id="19228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30" ma:contentTypeDescription="Skapa ett nytt dokument." ma:contentTypeScope="" ma:versionID="bbcd2d1da4532b5766b48ccf6f436328">
  <xsd:schema xmlns:xsd="http://www.w3.org/2001/XMLSchema" xmlns:xs="http://www.w3.org/2001/XMLSchema" xmlns:p="http://schemas.microsoft.com/office/2006/metadata/properties" xmlns:ns2="4e299e88-e5ca-4819-b20c-73fa08639097" targetNamespace="http://schemas.microsoft.com/office/2006/metadata/properties" ma:root="true" ma:fieldsID="bdcf45cc5c1aef0814654a4f9f8133e9"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1</Value>
    </TaxCatchAll>
    <Nyckelord xmlns="4e299e88-e5ca-4819-b20c-73fa08639097" xsi:nil="true"/>
    <Diarienummer xmlns="4e299e88-e5ca-4819-b20c-73fa08639097" xsi:nil="true"/>
    <_dlc_DocId xmlns="4e299e88-e5ca-4819-b20c-73fa08639097">M623RS5WZCRU-326-804</_dlc_DocId>
    <_dlc_DocIdUrl xmlns="4e299e88-e5ca-4819-b20c-73fa08639097">
      <Url>http://rkdhs-fi/ECOFIN/_layouts/DocIdRedir.aspx?ID=M623RS5WZCRU-326-804</Url>
      <Description>M623RS5WZCRU-326-804</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c9cd366cc722410295b9eacffbd73909>
    <Sekretess xmlns="4e299e88-e5ca-4819-b20c-73fa0863909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3.xml><?xml version="1.0" encoding="utf-8"?>
<ds:datastoreItem xmlns:ds="http://schemas.openxmlformats.org/officeDocument/2006/customXml" ds:itemID="{852EC899-D8D2-4E0B-A160-C922E9AD9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5.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6.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7.xml><?xml version="1.0" encoding="utf-8"?>
<ds:datastoreItem xmlns:ds="http://schemas.openxmlformats.org/officeDocument/2006/customXml" ds:itemID="{3C9356B5-01F2-4194-AB81-FAC08922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9789</Characters>
  <Application>Microsoft Office Word</Application>
  <DocSecurity>4</DocSecurity>
  <Lines>81</Lines>
  <Paragraphs>23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2015-05-04T11:06:00Z</cp:lastPrinted>
  <dcterms:created xsi:type="dcterms:W3CDTF">2015-05-04T11:06:00Z</dcterms:created>
  <dcterms:modified xsi:type="dcterms:W3CDTF">2015-05-04T11:06:00Z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e6974951-8c72-4070-94d0-b68b6c1305cf</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