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9A0" w:rsidRPr="004B0138" w:rsidRDefault="005A59A0">
      <w:pPr>
        <w:pStyle w:val="Frslagsrubrik"/>
        <w:shd w:val="clear" w:color="000000" w:fill="auto"/>
      </w:pPr>
      <w:r w:rsidRPr="004B0138">
        <w:t>Förslag till riksdagsbeslut</w:t>
      </w:r>
    </w:p>
    <w:p w:rsidR="005A59A0" w:rsidRPr="004B0138" w:rsidRDefault="005A59A0">
      <w:pPr>
        <w:pStyle w:val="Hemstlatt"/>
        <w:numPr>
          <w:ilvl w:val="0"/>
          <w:numId w:val="0"/>
        </w:numPr>
        <w:shd w:val="clear" w:color="000000" w:fill="auto"/>
      </w:pPr>
      <w:r w:rsidRPr="004B0138">
        <w:t>Riksdagen anvisar till utgiftsområde 16 Utbildning och universitetsforskning 3 876 000 000 kr utöver vad regeringen föreslagit för budgetåret 2012 eller således 58 352 000 000 kr.</w:t>
      </w:r>
    </w:p>
    <w:tbl>
      <w:tblPr>
        <w:tblW w:w="5954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710"/>
        <w:gridCol w:w="1733"/>
      </w:tblGrid>
      <w:tr w:rsidR="00000000" w:rsidRPr="004B013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4B0138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4B0138">
              <w:rPr>
                <w:b/>
                <w:sz w:val="16"/>
                <w:szCs w:val="16"/>
              </w:rPr>
              <w:t>Anslagsförändring </w:t>
            </w:r>
          </w:p>
        </w:tc>
      </w:tr>
      <w:tr w:rsidR="00000000" w:rsidRPr="004B0138">
        <w:tc>
          <w:tcPr>
            <w:tcW w:w="567" w:type="dxa"/>
            <w:tcBorders>
              <w:top w:val="single" w:sz="4" w:space="0" w:color="auto"/>
            </w:tcBorders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1:13</w:t>
            </w:r>
          </w:p>
        </w:tc>
        <w:tc>
          <w:tcPr>
            <w:tcW w:w="4283" w:type="dxa"/>
            <w:tcBorders>
              <w:top w:val="single" w:sz="4" w:space="0" w:color="auto"/>
            </w:tcBorders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Myndigheten för yrkeshögskolan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+500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1:15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Statligt stöd till vuxenutbildning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+396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3:4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Rymdforskning och rymdverksamhet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+80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i/>
                <w:iCs/>
                <w:sz w:val="16"/>
                <w:szCs w:val="16"/>
              </w:rPr>
            </w:pPr>
            <w:r w:rsidRPr="004B0138">
              <w:rPr>
                <w:i/>
                <w:iCs/>
                <w:sz w:val="16"/>
                <w:szCs w:val="16"/>
              </w:rPr>
              <w:t>Nya anslag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Grundbultsambitionen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+2 200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Fler läkarplatser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+100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Ökade forskningsanslag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+100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 xml:space="preserve">Kunskapslyft i svenska 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+100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Matreform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+100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Trygghet i skolan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+200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Antimobbningssatsning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+50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Satsning på studievägledning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+50</w:t>
            </w:r>
          </w:p>
        </w:tc>
      </w:tr>
      <w:tr w:rsidR="00000000" w:rsidRPr="004B0138">
        <w:tc>
          <w:tcPr>
            <w:tcW w:w="56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center"/>
              <w:rPr>
                <w:sz w:val="16"/>
                <w:szCs w:val="16"/>
              </w:rPr>
            </w:pPr>
            <w:r w:rsidRPr="004B0138">
              <w:rPr>
                <w:sz w:val="16"/>
                <w:szCs w:val="16"/>
              </w:rPr>
              <w:t> </w:t>
            </w:r>
          </w:p>
        </w:tc>
        <w:tc>
          <w:tcPr>
            <w:tcW w:w="4283" w:type="dxa"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4B0138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987" w:type="dxa"/>
            <w:noWrap/>
          </w:tcPr>
          <w:p w:rsidR="005A59A0" w:rsidRPr="004B0138" w:rsidRDefault="005A59A0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4B0138">
              <w:rPr>
                <w:b/>
                <w:bCs/>
                <w:i/>
                <w:iCs/>
                <w:sz w:val="16"/>
                <w:szCs w:val="16"/>
              </w:rPr>
              <w:t>+3 876</w:t>
            </w:r>
          </w:p>
        </w:tc>
      </w:tr>
    </w:tbl>
    <w:p w:rsidR="005A59A0" w:rsidRPr="004B0138" w:rsidRDefault="005A59A0">
      <w:pPr>
        <w:pStyle w:val="Rubrik1"/>
        <w:shd w:val="clear" w:color="000000" w:fill="auto"/>
      </w:pPr>
      <w:r w:rsidRPr="004B0138">
        <w:t>Motivering</w:t>
      </w:r>
    </w:p>
    <w:p w:rsidR="005A59A0" w:rsidRPr="004B0138" w:rsidRDefault="005A59A0">
      <w:pPr>
        <w:shd w:val="clear" w:color="000000" w:fill="auto"/>
        <w:rPr>
          <w:szCs w:val="22"/>
        </w:rPr>
      </w:pPr>
      <w:r w:rsidRPr="004B0138">
        <w:t>Vi tillför 9 000 nya komvuxplatser samt 8 000 nya platser till Myndigheten för yrkeshögskolan. Vi satsar även stora resurser på att öka lärartätheten i den högre utbildningen med ett långsiktigt syfte att komma till rätta med resur</w:t>
      </w:r>
      <w:r w:rsidRPr="004B0138">
        <w:t>s</w:t>
      </w:r>
      <w:r w:rsidRPr="004B0138">
        <w:t>bristen vid våra högskolor och universitet enligt den s. k. grundbultens utre</w:t>
      </w:r>
      <w:r w:rsidRPr="004B0138">
        <w:t>d</w:t>
      </w:r>
      <w:r w:rsidRPr="004B0138">
        <w:t xml:space="preserve">ning. Inom områdena naturvetenskap och teknik tillför vi medel för att redan första budgetåret komma till rätta med bristerna enligt utredningen medan vi </w:t>
      </w:r>
      <w:r w:rsidRPr="004B0138">
        <w:lastRenderedPageBreak/>
        <w:t>successivt trappar upp stödet till HSJT-ämnena och uppnår målsättningen under slutet av perioden. Vi tillför även resurser så att fler läkare kan utbildas samt satsar på forskning och innovation.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0138">
        <w:trPr>
          <w:cantSplit/>
        </w:trPr>
        <w:tc>
          <w:tcPr>
            <w:tcW w:w="3046" w:type="dxa"/>
          </w:tcPr>
          <w:p w:rsidR="005A59A0" w:rsidRPr="004B0138" w:rsidRDefault="005A59A0">
            <w:pPr>
              <w:pStyle w:val="UnderskriftDatum"/>
              <w:shd w:val="clear" w:color="000000" w:fill="auto"/>
              <w:spacing w:before="240"/>
            </w:pPr>
            <w:r w:rsidRPr="004B0138">
              <w:t>Stockholm den 3 oktober 2011</w:t>
            </w:r>
          </w:p>
        </w:tc>
        <w:tc>
          <w:tcPr>
            <w:tcW w:w="3047" w:type="dxa"/>
          </w:tcPr>
          <w:p w:rsidR="005A59A0" w:rsidRPr="004B0138" w:rsidRDefault="005A59A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B0138">
        <w:trPr>
          <w:cantSplit/>
        </w:trPr>
        <w:tc>
          <w:tcPr>
            <w:tcW w:w="3046" w:type="dxa"/>
          </w:tcPr>
          <w:p w:rsidR="005A59A0" w:rsidRPr="004B0138" w:rsidRDefault="005A59A0">
            <w:pPr>
              <w:pStyle w:val="Underskrifter"/>
              <w:shd w:val="clear" w:color="000000" w:fill="auto"/>
            </w:pPr>
            <w:r w:rsidRPr="004B0138">
              <w:t>Richard Jomshof (SD)</w:t>
            </w:r>
          </w:p>
        </w:tc>
        <w:tc>
          <w:tcPr>
            <w:tcW w:w="3046" w:type="dxa"/>
          </w:tcPr>
          <w:p w:rsidR="005A59A0" w:rsidRPr="004B0138" w:rsidRDefault="005A59A0">
            <w:pPr>
              <w:pStyle w:val="Underskrifter"/>
              <w:shd w:val="clear" w:color="000000" w:fill="auto"/>
            </w:pPr>
          </w:p>
        </w:tc>
      </w:tr>
      <w:tr w:rsidR="00000000" w:rsidRPr="004B0138">
        <w:trPr>
          <w:cantSplit/>
        </w:trPr>
        <w:tc>
          <w:tcPr>
            <w:tcW w:w="3046" w:type="dxa"/>
          </w:tcPr>
          <w:p w:rsidR="005A59A0" w:rsidRPr="004B0138" w:rsidRDefault="005A59A0">
            <w:pPr>
              <w:pStyle w:val="Underskrifter"/>
              <w:shd w:val="clear" w:color="000000" w:fill="auto"/>
            </w:pPr>
            <w:r w:rsidRPr="004B0138">
              <w:t>Margareta Sandstedt (SD)</w:t>
            </w:r>
          </w:p>
        </w:tc>
        <w:tc>
          <w:tcPr>
            <w:tcW w:w="3046" w:type="dxa"/>
          </w:tcPr>
          <w:p w:rsidR="005A59A0" w:rsidRPr="004B0138" w:rsidRDefault="005A59A0">
            <w:pPr>
              <w:pStyle w:val="Underskrifter"/>
              <w:shd w:val="clear" w:color="000000" w:fill="auto"/>
            </w:pPr>
            <w:r w:rsidRPr="004B0138">
              <w:t>Thoralf Alfsson (SD)</w:t>
            </w:r>
          </w:p>
        </w:tc>
      </w:tr>
    </w:tbl>
    <w:p w:rsidR="005A59A0" w:rsidRPr="004B0138" w:rsidRDefault="005A59A0">
      <w:pPr>
        <w:pStyle w:val="Normaltindrag"/>
        <w:shd w:val="clear" w:color="000000" w:fill="auto"/>
      </w:pPr>
    </w:p>
    <w:sectPr w:rsidR="005A59A0" w:rsidRPr="004B01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9A0" w:rsidRPr="004B0138" w:rsidRDefault="005A59A0">
      <w:r w:rsidRPr="004B0138">
        <w:separator/>
      </w:r>
    </w:p>
  </w:endnote>
  <w:endnote w:type="continuationSeparator" w:id="0">
    <w:p w:rsidR="005A59A0" w:rsidRPr="004B0138" w:rsidRDefault="005A59A0">
      <w:r w:rsidRPr="004B01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9A0" w:rsidRPr="004B0138" w:rsidRDefault="004B0138">
    <w:pPr>
      <w:pStyle w:val="Sidfot"/>
    </w:pPr>
    <w:r w:rsidRPr="004B01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93846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9A0" w:rsidRDefault="005A59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59A0" w:rsidRDefault="005A59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9A0" w:rsidRPr="004B0138" w:rsidRDefault="004B0138">
    <w:pPr>
      <w:pStyle w:val="Sidfot"/>
    </w:pPr>
    <w:r w:rsidRPr="004B01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72232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9A0" w:rsidRDefault="005A59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59A0" w:rsidRDefault="005A59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9A0" w:rsidRPr="004B0138" w:rsidRDefault="004B0138">
    <w:pPr>
      <w:pStyle w:val="Sidfot"/>
    </w:pPr>
    <w:r w:rsidRPr="004B01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6418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9A0" w:rsidRDefault="005A59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59A0" w:rsidRDefault="005A59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9A0" w:rsidRPr="004B0138" w:rsidRDefault="005A59A0">
      <w:r w:rsidRPr="004B0138">
        <w:separator/>
      </w:r>
    </w:p>
  </w:footnote>
  <w:footnote w:type="continuationSeparator" w:id="0">
    <w:p w:rsidR="005A59A0" w:rsidRPr="004B0138" w:rsidRDefault="005A59A0">
      <w:r w:rsidRPr="004B01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9A0" w:rsidRPr="004B0138" w:rsidRDefault="004B0138">
    <w:pPr>
      <w:pStyle w:val="Sidhuvud"/>
    </w:pPr>
    <w:r w:rsidRPr="004B01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47175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9A0" w:rsidRDefault="005A59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59A0" w:rsidRDefault="005A59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9A0" w:rsidRPr="004B0138" w:rsidRDefault="004B0138">
    <w:pPr>
      <w:pStyle w:val="Sidhuvud"/>
    </w:pPr>
    <w:r w:rsidRPr="004B01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46407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9A0" w:rsidRDefault="005A59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59A0" w:rsidRDefault="005A59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59A0" w:rsidRPr="004B0138" w:rsidRDefault="005A59A0">
    <w:pPr>
      <w:pStyle w:val="FSHNormal"/>
      <w:tabs>
        <w:tab w:val="right" w:pos="5840"/>
      </w:tabs>
    </w:pPr>
    <w:r w:rsidRPr="004B0138">
      <w:br/>
    </w:r>
    <w:r w:rsidRPr="004B0138">
      <w:fldChar w:fldCharType="begin" w:fldLock="1"/>
    </w:r>
    <w:r w:rsidRPr="004B0138">
      <w:instrText xml:space="preserve"> DOCPROPERTY</w:instrText>
    </w:r>
    <w:r w:rsidRPr="004B0138">
      <w:rPr>
        <w:sz w:val="18"/>
      </w:rPr>
      <w:instrText xml:space="preserve"> "YearUser" *\charformat </w:instrText>
    </w:r>
    <w:r w:rsidRPr="004B0138">
      <w:fldChar w:fldCharType="separate"/>
    </w:r>
    <w:r w:rsidRPr="004B0138">
      <w:t>2011/12</w:t>
    </w:r>
    <w:r w:rsidRPr="004B0138">
      <w:fldChar w:fldCharType="end"/>
    </w:r>
    <w:r w:rsidRPr="004B0138">
      <w:t xml:space="preserve"> </w:t>
    </w:r>
    <w:r w:rsidRPr="004B0138">
      <w:tab/>
      <w:t xml:space="preserve">mnr: </w:t>
    </w:r>
    <w:r w:rsidRPr="004B0138">
      <w:fldChar w:fldCharType="begin" w:fldLock="1"/>
    </w:r>
    <w:r w:rsidRPr="004B0138">
      <w:instrText xml:space="preserve"> DOCPROPERTY</w:instrText>
    </w:r>
    <w:r w:rsidRPr="004B0138">
      <w:rPr>
        <w:sz w:val="18"/>
      </w:rPr>
      <w:instrText xml:space="preserve"> "Motionsnummer" *\charformat </w:instrText>
    </w:r>
    <w:r w:rsidRPr="004B0138">
      <w:fldChar w:fldCharType="separate"/>
    </w:r>
    <w:r w:rsidRPr="004B0138">
      <w:t>Ub521</w:t>
    </w:r>
    <w:r w:rsidRPr="004B0138">
      <w:fldChar w:fldCharType="end"/>
    </w:r>
    <w:r w:rsidRPr="004B0138">
      <w:br/>
    </w:r>
    <w:r w:rsidRPr="004B0138">
      <w:fldChar w:fldCharType="begin" w:fldLock="1"/>
    </w:r>
    <w:r w:rsidRPr="004B0138">
      <w:instrText xml:space="preserve"> DOCPROPERTY</w:instrText>
    </w:r>
    <w:r w:rsidRPr="004B0138">
      <w:rPr>
        <w:sz w:val="18"/>
      </w:rPr>
      <w:instrText xml:space="preserve"> "Samling" *\charformat </w:instrText>
    </w:r>
    <w:r w:rsidRPr="004B0138">
      <w:fldChar w:fldCharType="end"/>
    </w:r>
    <w:r w:rsidRPr="004B0138">
      <w:tab/>
      <w:t xml:space="preserve">pnr: </w:t>
    </w:r>
    <w:r w:rsidRPr="004B0138">
      <w:fldChar w:fldCharType="begin" w:fldLock="1"/>
    </w:r>
    <w:r w:rsidRPr="004B0138">
      <w:instrText xml:space="preserve"> DOCPROPERTY</w:instrText>
    </w:r>
    <w:r w:rsidRPr="004B0138">
      <w:rPr>
        <w:sz w:val="18"/>
      </w:rPr>
      <w:instrText xml:space="preserve"> "Partinummer" *\charformat </w:instrText>
    </w:r>
    <w:r w:rsidRPr="004B0138">
      <w:fldChar w:fldCharType="separate"/>
    </w:r>
    <w:r w:rsidRPr="004B0138">
      <w:t>SD266</w:t>
    </w:r>
    <w:r w:rsidRPr="004B0138">
      <w:fldChar w:fldCharType="end"/>
    </w:r>
  </w:p>
  <w:p w:rsidR="005A59A0" w:rsidRPr="004B0138" w:rsidRDefault="005A59A0">
    <w:pPr>
      <w:pStyle w:val="FSHRub1"/>
    </w:pPr>
    <w:r w:rsidRPr="004B0138">
      <w:t>Motion till riksdagen</w:t>
    </w:r>
    <w:r w:rsidRPr="004B0138">
      <w:br/>
    </w:r>
    <w:r w:rsidRPr="004B0138">
      <w:fldChar w:fldCharType="begin" w:fldLock="1"/>
    </w:r>
    <w:r w:rsidRPr="004B0138">
      <w:instrText xml:space="preserve"> DOCPROPERTY "YearUser" *\charformat </w:instrText>
    </w:r>
    <w:r w:rsidRPr="004B0138">
      <w:fldChar w:fldCharType="separate"/>
    </w:r>
    <w:r w:rsidRPr="004B0138">
      <w:t>2011/12</w:t>
    </w:r>
    <w:r w:rsidRPr="004B0138">
      <w:fldChar w:fldCharType="end"/>
    </w:r>
    <w:r w:rsidRPr="004B0138">
      <w:t>:</w:t>
    </w:r>
    <w:r w:rsidRPr="004B0138">
      <w:fldChar w:fldCharType="begin" w:fldLock="1"/>
    </w:r>
    <w:r w:rsidRPr="004B0138">
      <w:instrText xml:space="preserve"> DOCPROPERTY "Motionsnummer" *\charformat </w:instrText>
    </w:r>
    <w:r w:rsidRPr="004B0138">
      <w:fldChar w:fldCharType="separate"/>
    </w:r>
    <w:r w:rsidRPr="004B0138">
      <w:t>Ub521</w:t>
    </w:r>
    <w:r w:rsidRPr="004B0138">
      <w:fldChar w:fldCharType="end"/>
    </w:r>
  </w:p>
  <w:p w:rsidR="005A59A0" w:rsidRPr="004B0138" w:rsidRDefault="005A59A0">
    <w:pPr>
      <w:pStyle w:val="FSHNormalS5"/>
    </w:pPr>
    <w:r w:rsidRPr="004B0138">
      <w:fldChar w:fldCharType="begin" w:fldLock="1"/>
    </w:r>
    <w:r w:rsidRPr="004B0138">
      <w:instrText xml:space="preserve"> DOCPROPERTY "MotionarText" *\charformat </w:instrText>
    </w:r>
    <w:r w:rsidRPr="004B0138">
      <w:fldChar w:fldCharType="separate"/>
    </w:r>
    <w:r w:rsidRPr="004B0138">
      <w:t>av Richard Jomshof m.fl. (SD)</w:t>
    </w:r>
    <w:r w:rsidRPr="004B0138">
      <w:fldChar w:fldCharType="end"/>
    </w:r>
    <w:r w:rsidRPr="004B0138">
      <w:br/>
    </w:r>
    <w:r w:rsidRPr="004B0138">
      <w:fldChar w:fldCharType="begin" w:fldLock="1"/>
    </w:r>
    <w:r w:rsidRPr="004B0138">
      <w:instrText xml:space="preserve"> DOCPROPERTY "SvarFrasKort" *\charformat </w:instrText>
    </w:r>
    <w:r w:rsidRPr="004B0138">
      <w:fldChar w:fldCharType="end"/>
    </w:r>
  </w:p>
  <w:p w:rsidR="005A59A0" w:rsidRPr="004B0138" w:rsidRDefault="005A59A0">
    <w:pPr>
      <w:pStyle w:val="FSHTitel"/>
    </w:pPr>
    <w:r w:rsidRPr="004B0138">
      <w:fldChar w:fldCharType="begin" w:fldLock="1"/>
    </w:r>
    <w:r w:rsidRPr="004B0138">
      <w:instrText xml:space="preserve"> DOCPROPERTY</w:instrText>
    </w:r>
    <w:r w:rsidRPr="004B0138">
      <w:rPr>
        <w:sz w:val="18"/>
      </w:rPr>
      <w:instrText xml:space="preserve"> "RubrikSvar" *\charformat </w:instrText>
    </w:r>
    <w:r w:rsidRPr="004B0138">
      <w:fldChar w:fldCharType="separate"/>
    </w:r>
    <w:r w:rsidRPr="004B0138">
      <w:t>Utgiftsområde 16 Utbildning och universitetsforskning</w:t>
    </w:r>
    <w:r w:rsidRPr="004B0138">
      <w:fldChar w:fldCharType="end"/>
    </w:r>
  </w:p>
  <w:p w:rsidR="005A59A0" w:rsidRPr="004B0138" w:rsidRDefault="005A59A0">
    <w:pPr>
      <w:pStyle w:val="Normal00"/>
    </w:pPr>
  </w:p>
  <w:p w:rsidR="005A59A0" w:rsidRPr="004B0138" w:rsidRDefault="005A59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45D0ABC6"/>
    <w:lvl w:ilvl="0" w:tplc="ED9C30C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70068410">
    <w:abstractNumId w:val="3"/>
  </w:num>
  <w:num w:numId="2" w16cid:durableId="414938423">
    <w:abstractNumId w:val="2"/>
  </w:num>
  <w:num w:numId="3" w16cid:durableId="495850539">
    <w:abstractNumId w:val="1"/>
  </w:num>
  <w:num w:numId="4" w16cid:durableId="2067221497">
    <w:abstractNumId w:val="0"/>
  </w:num>
  <w:num w:numId="5" w16cid:durableId="1592271573">
    <w:abstractNumId w:val="7"/>
  </w:num>
  <w:num w:numId="6" w16cid:durableId="136000687">
    <w:abstractNumId w:val="6"/>
  </w:num>
  <w:num w:numId="7" w16cid:durableId="1578510699">
    <w:abstractNumId w:val="5"/>
  </w:num>
  <w:num w:numId="8" w16cid:durableId="658775252">
    <w:abstractNumId w:val="4"/>
  </w:num>
  <w:num w:numId="9" w16cid:durableId="761147173">
    <w:abstractNumId w:val="8"/>
  </w:num>
  <w:num w:numId="10" w16cid:durableId="1666320295">
    <w:abstractNumId w:val="9"/>
  </w:num>
  <w:num w:numId="11" w16cid:durableId="1190297244">
    <w:abstractNumId w:val="10"/>
  </w:num>
  <w:num w:numId="12" w16cid:durableId="111437001">
    <w:abstractNumId w:val="13"/>
  </w:num>
  <w:num w:numId="13" w16cid:durableId="886529316">
    <w:abstractNumId w:val="15"/>
  </w:num>
  <w:num w:numId="14" w16cid:durableId="1886747259">
    <w:abstractNumId w:val="16"/>
  </w:num>
  <w:num w:numId="15" w16cid:durableId="624317478">
    <w:abstractNumId w:val="11"/>
  </w:num>
  <w:num w:numId="16" w16cid:durableId="148636966">
    <w:abstractNumId w:val="19"/>
  </w:num>
  <w:num w:numId="17" w16cid:durableId="941835138">
    <w:abstractNumId w:val="17"/>
  </w:num>
  <w:num w:numId="18" w16cid:durableId="453645116">
    <w:abstractNumId w:val="14"/>
  </w:num>
  <w:num w:numId="19" w16cid:durableId="211962957">
    <w:abstractNumId w:val="12"/>
  </w:num>
  <w:num w:numId="20" w16cid:durableId="18356799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F18D46FE-CB1E-4F47-A773-E1B0F6C993DB},{710FA618-5B25-4BFF-97BA-81B32B30C3BD},{E777D43E-410F-4BC9-BB70-4814C6DA875C}"/>
  </w:docVars>
  <w:rsids>
    <w:rsidRoot w:val="003960ED"/>
    <w:rsid w:val="003960ED"/>
    <w:rsid w:val="004B0138"/>
    <w:rsid w:val="005A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70EBA7-1801-4421-8D86-90D01C0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1202</Characters>
  <Application>Microsoft Office Word</Application>
  <DocSecurity>4</DocSecurity>
  <Lines>66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SD266</vt:lpstr>
    </vt:vector>
  </TitlesOfParts>
  <Company>Riksdagen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SD266</dc:title>
  <dc:subject>SD266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2011-11-03T15:06:00Z</cp:lastPrinted>
  <dcterms:created xsi:type="dcterms:W3CDTF">2025-12-17T20:52:00Z</dcterms:created>
  <dcterms:modified xsi:type="dcterms:W3CDTF">2025-12-17T20:52:00Z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16 Utbildning och universitetsforskning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16 Utbildning och universitetsforskning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SD266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Richard Jomshof m.fl. (SD)</vt:lpwstr>
  </property>
  <property fmtid="{D5CDD505-2E9C-101B-9397-08002B2CF9AE}" pid="26" name="MotionarLista">
    <vt:lpwstr>Jomshof, Richard (SD)\Sandstedt, Margareta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(SD), Margareta Sandstedt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20112012000000830068000002660075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20112012000000830068000002660075</vt:lpwstr>
  </property>
  <property fmtid="{D5CDD505-2E9C-101B-9397-08002B2CF9AE}" pid="50" name="nummer">
    <vt:lpwstr>521</vt:lpwstr>
  </property>
  <property fmtid="{D5CDD505-2E9C-101B-9397-08002B2CF9AE}" pid="51" name="utskottsbeteckning">
    <vt:lpwstr>Ub</vt:lpwstr>
  </property>
  <property fmtid="{D5CDD505-2E9C-101B-9397-08002B2CF9AE}" pid="52" name="GlobalUID">
    <vt:lpwstr>{735B760B-BF3C-4A7B-AF46-CF16ECC26AC7}</vt:lpwstr>
  </property>
  <property fmtid="{D5CDD505-2E9C-101B-9397-08002B2CF9AE}" pid="53" name="Överföringar">
    <vt:i4>0</vt:i4>
  </property>
  <property fmtid="{D5CDD505-2E9C-101B-9397-08002B2CF9AE}" pid="54" name="Checksum">
    <vt:lpwstr>*0005662644890*</vt:lpwstr>
  </property>
  <property fmtid="{D5CDD505-2E9C-101B-9397-08002B2CF9AE}" pid="55" name="skuggnummer">
    <vt:lpwstr>3176</vt:lpwstr>
  </property>
  <property fmtid="{D5CDD505-2E9C-101B-9397-08002B2CF9AE}" pid="56" name="urixVersion">
    <vt:lpwstr>4.5.0.25</vt:lpwstr>
  </property>
  <property fmtid="{D5CDD505-2E9C-101B-9397-08002B2CF9AE}" pid="57" name="urixOrigin">
    <vt:lpwstr>111108 16:06:57.817</vt:lpwstr>
  </property>
  <property fmtid="{D5CDD505-2E9C-101B-9397-08002B2CF9AE}" pid="58" name="urixGuid">
    <vt:lpwstr>{F80AFE5A-7DF8-4EF4-93DC-8AFCCB13808D}</vt:lpwstr>
  </property>
</Properties>
</file>