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7B128" w14:textId="77777777" w:rsidR="00FB32B9" w:rsidRDefault="00B9195E" w:rsidP="00FB32B9">
      <w:pPr>
        <w:pStyle w:val="UDrubrik"/>
        <w:tabs>
          <w:tab w:val="left" w:pos="1701"/>
          <w:tab w:val="left" w:pos="1985"/>
        </w:tabs>
        <w:rPr>
          <w:rFonts w:cs="Arial"/>
          <w:sz w:val="28"/>
        </w:rPr>
      </w:pPr>
      <w:bookmarkStart w:id="0" w:name="_GoBack"/>
      <w:bookmarkEnd w:id="0"/>
    </w:p>
    <w:p w14:paraId="5477B129" w14:textId="77777777" w:rsidR="00FB32B9" w:rsidRDefault="00B9195E" w:rsidP="00FB32B9">
      <w:pPr>
        <w:pStyle w:val="UDrubrik"/>
        <w:tabs>
          <w:tab w:val="left" w:pos="1701"/>
          <w:tab w:val="left" w:pos="1985"/>
        </w:tabs>
        <w:rPr>
          <w:rFonts w:cs="Arial"/>
          <w:sz w:val="28"/>
        </w:rPr>
      </w:pPr>
    </w:p>
    <w:p w14:paraId="5477B12A" w14:textId="77777777" w:rsidR="00FB32B9" w:rsidRDefault="00B9195E" w:rsidP="00FB32B9">
      <w:pPr>
        <w:pStyle w:val="UDrubrik"/>
        <w:tabs>
          <w:tab w:val="left" w:pos="1701"/>
          <w:tab w:val="left" w:pos="1985"/>
        </w:tabs>
        <w:rPr>
          <w:rFonts w:cs="Arial"/>
          <w:sz w:val="28"/>
        </w:rPr>
      </w:pPr>
    </w:p>
    <w:p w14:paraId="5477B12B" w14:textId="77777777" w:rsidR="00FB32B9" w:rsidRDefault="00B9195E" w:rsidP="00FB32B9">
      <w:pPr>
        <w:pStyle w:val="UDrubrik"/>
        <w:tabs>
          <w:tab w:val="left" w:pos="1701"/>
          <w:tab w:val="left" w:pos="1985"/>
        </w:tabs>
        <w:rPr>
          <w:rFonts w:cs="Arial"/>
          <w:sz w:val="28"/>
        </w:rPr>
      </w:pPr>
    </w:p>
    <w:p w14:paraId="5477B12C" w14:textId="45152DD8" w:rsidR="00FB32B9" w:rsidRDefault="00652A0C"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434494">
        <w:rPr>
          <w:rFonts w:cs="Arial"/>
          <w:sz w:val="28"/>
        </w:rPr>
        <w:t>den 13 maj 2015</w:t>
      </w:r>
      <w:r>
        <w:rPr>
          <w:rFonts w:cs="Arial"/>
          <w:sz w:val="28"/>
        </w:rPr>
        <w:t xml:space="preserve">, vecka </w:t>
      </w:r>
      <w:r w:rsidR="00434494">
        <w:rPr>
          <w:rFonts w:cs="Arial"/>
          <w:sz w:val="28"/>
        </w:rPr>
        <w:t>20</w:t>
      </w:r>
      <w:r>
        <w:rPr>
          <w:rFonts w:cs="Arial"/>
          <w:sz w:val="28"/>
        </w:rPr>
        <w:t>.</w:t>
      </w:r>
    </w:p>
    <w:p w14:paraId="5477B12D" w14:textId="77777777" w:rsidR="00FB32B9" w:rsidRDefault="00B9195E" w:rsidP="00FB32B9">
      <w:pPr>
        <w:pStyle w:val="Brdtext"/>
      </w:pPr>
    </w:p>
    <w:p w14:paraId="5477B12E" w14:textId="46C6F42A" w:rsidR="00FB32B9" w:rsidRDefault="00652A0C" w:rsidP="00FB32B9">
      <w:pPr>
        <w:pStyle w:val="Brdtext"/>
      </w:pPr>
      <w:r>
        <w:t>Överlämnas för skriftligt samråd till</w:t>
      </w:r>
      <w:r w:rsidR="00434494">
        <w:t xml:space="preserve"> onsdag </w:t>
      </w:r>
      <w:r>
        <w:t xml:space="preserve">den </w:t>
      </w:r>
      <w:r w:rsidR="00434494">
        <w:t>13 maj</w:t>
      </w:r>
      <w:r>
        <w:t xml:space="preserve"> </w:t>
      </w:r>
      <w:r w:rsidR="00434494">
        <w:t>2015</w:t>
      </w:r>
      <w:r>
        <w:t>, kl</w:t>
      </w:r>
      <w:r w:rsidR="00434494">
        <w:t>.</w:t>
      </w:r>
      <w:r>
        <w:t xml:space="preserve"> </w:t>
      </w:r>
      <w:r w:rsidR="00A31313">
        <w:t>16</w:t>
      </w:r>
      <w:r w:rsidR="00434494">
        <w:t>.00</w:t>
      </w:r>
      <w:r>
        <w:t>.</w:t>
      </w:r>
    </w:p>
    <w:p w14:paraId="5477B12F" w14:textId="77777777" w:rsidR="00FB32B9" w:rsidRDefault="00652A0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477B130" w14:textId="77777777" w:rsidR="00D957FB" w:rsidRPr="00FB32B9" w:rsidRDefault="00652A0C">
          <w:pPr>
            <w:pStyle w:val="Innehllsfrteckningsrubrik"/>
            <w:rPr>
              <w:color w:val="auto"/>
            </w:rPr>
          </w:pPr>
          <w:proofErr w:type="spellStart"/>
          <w:r w:rsidRPr="00FB32B9">
            <w:rPr>
              <w:color w:val="auto"/>
            </w:rPr>
            <w:t>Innehållsförteckning</w:t>
          </w:r>
          <w:proofErr w:type="spellEnd"/>
        </w:p>
        <w:p w14:paraId="5477B131" w14:textId="77777777" w:rsidR="00DA7250" w:rsidRPr="00DA7250" w:rsidRDefault="00B9195E" w:rsidP="00DA7250">
          <w:pPr>
            <w:rPr>
              <w:lang w:val="en-US" w:eastAsia="ja-JP"/>
            </w:rPr>
          </w:pPr>
        </w:p>
        <w:p w14:paraId="2AF99570" w14:textId="77777777" w:rsidR="00981B00" w:rsidRDefault="00652A0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9214056" w:history="1">
            <w:r w:rsidR="00981B00" w:rsidRPr="00173A45">
              <w:rPr>
                <w:rStyle w:val="Hyperlnk"/>
                <w:noProof/>
              </w:rPr>
              <w:t>1.</w:t>
            </w:r>
            <w:r w:rsidR="00981B00">
              <w:rPr>
                <w:rFonts w:asciiTheme="minorHAnsi" w:eastAsiaTheme="minorEastAsia" w:hAnsiTheme="minorHAnsi" w:cstheme="minorBidi"/>
                <w:noProof/>
                <w:lang w:eastAsia="sv-SE"/>
              </w:rPr>
              <w:tab/>
            </w:r>
            <w:r w:rsidR="00981B00" w:rsidRPr="00173A45">
              <w:rPr>
                <w:rStyle w:val="Hyperlnk"/>
                <w:noProof/>
              </w:rPr>
              <w:t>Replies to written questions put to the Council by Members of the European Parliament</w:t>
            </w:r>
            <w:r w:rsidR="00981B00">
              <w:rPr>
                <w:noProof/>
                <w:webHidden/>
              </w:rPr>
              <w:tab/>
            </w:r>
            <w:r w:rsidR="00981B00">
              <w:rPr>
                <w:noProof/>
                <w:webHidden/>
              </w:rPr>
              <w:fldChar w:fldCharType="begin"/>
            </w:r>
            <w:r w:rsidR="00981B00">
              <w:rPr>
                <w:noProof/>
                <w:webHidden/>
              </w:rPr>
              <w:instrText xml:space="preserve"> PAGEREF _Toc419214056 \h </w:instrText>
            </w:r>
            <w:r w:rsidR="00981B00">
              <w:rPr>
                <w:noProof/>
                <w:webHidden/>
              </w:rPr>
            </w:r>
            <w:r w:rsidR="00981B00">
              <w:rPr>
                <w:noProof/>
                <w:webHidden/>
              </w:rPr>
              <w:fldChar w:fldCharType="separate"/>
            </w:r>
            <w:r w:rsidR="00981B00">
              <w:rPr>
                <w:noProof/>
                <w:webHidden/>
              </w:rPr>
              <w:t>3</w:t>
            </w:r>
            <w:r w:rsidR="00981B00">
              <w:rPr>
                <w:noProof/>
                <w:webHidden/>
              </w:rPr>
              <w:fldChar w:fldCharType="end"/>
            </w:r>
          </w:hyperlink>
        </w:p>
        <w:p w14:paraId="43E6B750"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57" w:history="1">
            <w:r w:rsidR="00981B00" w:rsidRPr="00173A45">
              <w:rPr>
                <w:rStyle w:val="Hyperlnk"/>
                <w:noProof/>
              </w:rPr>
              <w:t>2.</w:t>
            </w:r>
            <w:r w:rsidR="00981B00">
              <w:rPr>
                <w:rFonts w:asciiTheme="minorHAnsi" w:eastAsiaTheme="minorEastAsia" w:hAnsiTheme="minorHAnsi" w:cstheme="minorBidi"/>
                <w:noProof/>
                <w:lang w:eastAsia="sv-SE"/>
              </w:rPr>
              <w:tab/>
            </w:r>
            <w:r w:rsidR="00981B00" w:rsidRPr="00173A45">
              <w:rPr>
                <w:rStyle w:val="Hyperlnk"/>
                <w:noProof/>
              </w:rPr>
              <w:t>Case before the Court of Justice of the European Union Case C-128/15 (Kingdom of Spain against Council of the European Union)</w:t>
            </w:r>
            <w:r w:rsidR="00981B00">
              <w:rPr>
                <w:noProof/>
                <w:webHidden/>
              </w:rPr>
              <w:tab/>
            </w:r>
            <w:r w:rsidR="00981B00">
              <w:rPr>
                <w:noProof/>
                <w:webHidden/>
              </w:rPr>
              <w:fldChar w:fldCharType="begin"/>
            </w:r>
            <w:r w:rsidR="00981B00">
              <w:rPr>
                <w:noProof/>
                <w:webHidden/>
              </w:rPr>
              <w:instrText xml:space="preserve"> PAGEREF _Toc419214057 \h </w:instrText>
            </w:r>
            <w:r w:rsidR="00981B00">
              <w:rPr>
                <w:noProof/>
                <w:webHidden/>
              </w:rPr>
            </w:r>
            <w:r w:rsidR="00981B00">
              <w:rPr>
                <w:noProof/>
                <w:webHidden/>
              </w:rPr>
              <w:fldChar w:fldCharType="separate"/>
            </w:r>
            <w:r w:rsidR="00981B00">
              <w:rPr>
                <w:noProof/>
                <w:webHidden/>
              </w:rPr>
              <w:t>3</w:t>
            </w:r>
            <w:r w:rsidR="00981B00">
              <w:rPr>
                <w:noProof/>
                <w:webHidden/>
              </w:rPr>
              <w:fldChar w:fldCharType="end"/>
            </w:r>
          </w:hyperlink>
        </w:p>
        <w:p w14:paraId="051358CD"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58" w:history="1">
            <w:r w:rsidR="00981B00" w:rsidRPr="00173A45">
              <w:rPr>
                <w:rStyle w:val="Hyperlnk"/>
                <w:noProof/>
              </w:rPr>
              <w:t>3.</w:t>
            </w:r>
            <w:r w:rsidR="00981B00">
              <w:rPr>
                <w:rFonts w:asciiTheme="minorHAnsi" w:eastAsiaTheme="minorEastAsia" w:hAnsiTheme="minorHAnsi" w:cstheme="minorBidi"/>
                <w:noProof/>
                <w:lang w:eastAsia="sv-SE"/>
              </w:rPr>
              <w:tab/>
            </w:r>
            <w:r w:rsidR="00981B00" w:rsidRPr="00173A45">
              <w:rPr>
                <w:rStyle w:val="Hyperlnk"/>
                <w:noProof/>
              </w:rPr>
              <w:t>Commission Regulation (EU) No …/.. of XXX amending Regulation (EU) No 965/2012 as regards operations by Union air carriers of aircraft registered in a third country</w:t>
            </w:r>
            <w:r w:rsidR="00981B00">
              <w:rPr>
                <w:noProof/>
                <w:webHidden/>
              </w:rPr>
              <w:tab/>
            </w:r>
            <w:r w:rsidR="00981B00">
              <w:rPr>
                <w:noProof/>
                <w:webHidden/>
              </w:rPr>
              <w:fldChar w:fldCharType="begin"/>
            </w:r>
            <w:r w:rsidR="00981B00">
              <w:rPr>
                <w:noProof/>
                <w:webHidden/>
              </w:rPr>
              <w:instrText xml:space="preserve"> PAGEREF _Toc419214058 \h </w:instrText>
            </w:r>
            <w:r w:rsidR="00981B00">
              <w:rPr>
                <w:noProof/>
                <w:webHidden/>
              </w:rPr>
            </w:r>
            <w:r w:rsidR="00981B00">
              <w:rPr>
                <w:noProof/>
                <w:webHidden/>
              </w:rPr>
              <w:fldChar w:fldCharType="separate"/>
            </w:r>
            <w:r w:rsidR="00981B00">
              <w:rPr>
                <w:noProof/>
                <w:webHidden/>
              </w:rPr>
              <w:t>4</w:t>
            </w:r>
            <w:r w:rsidR="00981B00">
              <w:rPr>
                <w:noProof/>
                <w:webHidden/>
              </w:rPr>
              <w:fldChar w:fldCharType="end"/>
            </w:r>
          </w:hyperlink>
        </w:p>
        <w:p w14:paraId="524250B1"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59" w:history="1">
            <w:r w:rsidR="00981B00" w:rsidRPr="00173A45">
              <w:rPr>
                <w:rStyle w:val="Hyperlnk"/>
                <w:noProof/>
              </w:rPr>
              <w:t>4.</w:t>
            </w:r>
            <w:r w:rsidR="00981B00">
              <w:rPr>
                <w:rFonts w:asciiTheme="minorHAnsi" w:eastAsiaTheme="minorEastAsia" w:hAnsiTheme="minorHAnsi" w:cstheme="minorBidi"/>
                <w:noProof/>
                <w:lang w:eastAsia="sv-SE"/>
              </w:rPr>
              <w:tab/>
            </w:r>
            <w:r w:rsidR="00981B00" w:rsidRPr="00173A45">
              <w:rPr>
                <w:rStyle w:val="Hyperlnk"/>
                <w:noProof/>
              </w:rPr>
              <w:t>Commission Regulation (EU) …/… of XXX amending Annexes II, III and V to Regulation (EC) No 396/2005 of the European Parliament and of the Council as regards maximum residue levels for azoxystrobin, dimoxystrobin, fluroxypyr, methoxyfenozide, metrafenone, oxadiargyl and tribenuron in or on certain products.</w:t>
            </w:r>
            <w:r w:rsidR="00981B00">
              <w:rPr>
                <w:noProof/>
                <w:webHidden/>
              </w:rPr>
              <w:tab/>
            </w:r>
            <w:r w:rsidR="00981B00">
              <w:rPr>
                <w:noProof/>
                <w:webHidden/>
              </w:rPr>
              <w:fldChar w:fldCharType="begin"/>
            </w:r>
            <w:r w:rsidR="00981B00">
              <w:rPr>
                <w:noProof/>
                <w:webHidden/>
              </w:rPr>
              <w:instrText xml:space="preserve"> PAGEREF _Toc419214059 \h </w:instrText>
            </w:r>
            <w:r w:rsidR="00981B00">
              <w:rPr>
                <w:noProof/>
                <w:webHidden/>
              </w:rPr>
            </w:r>
            <w:r w:rsidR="00981B00">
              <w:rPr>
                <w:noProof/>
                <w:webHidden/>
              </w:rPr>
              <w:fldChar w:fldCharType="separate"/>
            </w:r>
            <w:r w:rsidR="00981B00">
              <w:rPr>
                <w:noProof/>
                <w:webHidden/>
              </w:rPr>
              <w:t>4</w:t>
            </w:r>
            <w:r w:rsidR="00981B00">
              <w:rPr>
                <w:noProof/>
                <w:webHidden/>
              </w:rPr>
              <w:fldChar w:fldCharType="end"/>
            </w:r>
          </w:hyperlink>
        </w:p>
        <w:p w14:paraId="551E742F"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60" w:history="1">
            <w:r w:rsidR="00981B00" w:rsidRPr="00173A45">
              <w:rPr>
                <w:rStyle w:val="Hyperlnk"/>
                <w:noProof/>
              </w:rPr>
              <w:t>5.</w:t>
            </w:r>
            <w:r w:rsidR="00981B00">
              <w:rPr>
                <w:rFonts w:asciiTheme="minorHAnsi" w:eastAsiaTheme="minorEastAsia" w:hAnsiTheme="minorHAnsi" w:cstheme="minorBidi"/>
                <w:noProof/>
                <w:lang w:eastAsia="sv-SE"/>
              </w:rPr>
              <w:tab/>
            </w:r>
            <w:r w:rsidR="00981B00" w:rsidRPr="00173A45">
              <w:rPr>
                <w:rStyle w:val="Hyperlnk"/>
                <w:noProof/>
              </w:rPr>
              <w:t>Inter-institutional Task Force on multiannual plans</w:t>
            </w:r>
            <w:r w:rsidR="00981B00">
              <w:rPr>
                <w:noProof/>
                <w:webHidden/>
              </w:rPr>
              <w:tab/>
            </w:r>
            <w:r w:rsidR="00981B00">
              <w:rPr>
                <w:noProof/>
                <w:webHidden/>
              </w:rPr>
              <w:fldChar w:fldCharType="begin"/>
            </w:r>
            <w:r w:rsidR="00981B00">
              <w:rPr>
                <w:noProof/>
                <w:webHidden/>
              </w:rPr>
              <w:instrText xml:space="preserve"> PAGEREF _Toc419214060 \h </w:instrText>
            </w:r>
            <w:r w:rsidR="00981B00">
              <w:rPr>
                <w:noProof/>
                <w:webHidden/>
              </w:rPr>
            </w:r>
            <w:r w:rsidR="00981B00">
              <w:rPr>
                <w:noProof/>
                <w:webHidden/>
              </w:rPr>
              <w:fldChar w:fldCharType="separate"/>
            </w:r>
            <w:r w:rsidR="00981B00">
              <w:rPr>
                <w:noProof/>
                <w:webHidden/>
              </w:rPr>
              <w:t>4</w:t>
            </w:r>
            <w:r w:rsidR="00981B00">
              <w:rPr>
                <w:noProof/>
                <w:webHidden/>
              </w:rPr>
              <w:fldChar w:fldCharType="end"/>
            </w:r>
          </w:hyperlink>
        </w:p>
        <w:p w14:paraId="0C5C1FC5"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61" w:history="1">
            <w:r w:rsidR="00981B00" w:rsidRPr="00173A45">
              <w:rPr>
                <w:rStyle w:val="Hyperlnk"/>
                <w:noProof/>
              </w:rPr>
              <w:t>6.</w:t>
            </w:r>
            <w:r w:rsidR="00981B00">
              <w:rPr>
                <w:rFonts w:asciiTheme="minorHAnsi" w:eastAsiaTheme="minorEastAsia" w:hAnsiTheme="minorHAnsi" w:cstheme="minorBidi"/>
                <w:noProof/>
                <w:lang w:eastAsia="sv-SE"/>
              </w:rPr>
              <w:tab/>
            </w:r>
            <w:r w:rsidR="00981B00" w:rsidRPr="00173A45">
              <w:rPr>
                <w:rStyle w:val="Hyperlnk"/>
                <w:noProof/>
              </w:rPr>
              <w:t>Draft proposal for a Council Regulation on the suspension of customs duties applicable to imports of certain heavy oils and other similar products</w:t>
            </w:r>
            <w:r w:rsidR="00981B00">
              <w:rPr>
                <w:noProof/>
                <w:webHidden/>
              </w:rPr>
              <w:tab/>
            </w:r>
            <w:r w:rsidR="00981B00">
              <w:rPr>
                <w:noProof/>
                <w:webHidden/>
              </w:rPr>
              <w:fldChar w:fldCharType="begin"/>
            </w:r>
            <w:r w:rsidR="00981B00">
              <w:rPr>
                <w:noProof/>
                <w:webHidden/>
              </w:rPr>
              <w:instrText xml:space="preserve"> PAGEREF _Toc419214061 \h </w:instrText>
            </w:r>
            <w:r w:rsidR="00981B00">
              <w:rPr>
                <w:noProof/>
                <w:webHidden/>
              </w:rPr>
            </w:r>
            <w:r w:rsidR="00981B00">
              <w:rPr>
                <w:noProof/>
                <w:webHidden/>
              </w:rPr>
              <w:fldChar w:fldCharType="separate"/>
            </w:r>
            <w:r w:rsidR="00981B00">
              <w:rPr>
                <w:noProof/>
                <w:webHidden/>
              </w:rPr>
              <w:t>5</w:t>
            </w:r>
            <w:r w:rsidR="00981B00">
              <w:rPr>
                <w:noProof/>
                <w:webHidden/>
              </w:rPr>
              <w:fldChar w:fldCharType="end"/>
            </w:r>
          </w:hyperlink>
        </w:p>
        <w:p w14:paraId="453B833C"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62" w:history="1">
            <w:r w:rsidR="00981B00" w:rsidRPr="00173A45">
              <w:rPr>
                <w:rStyle w:val="Hyperlnk"/>
                <w:noProof/>
              </w:rPr>
              <w:t>7.</w:t>
            </w:r>
            <w:r w:rsidR="00981B00">
              <w:rPr>
                <w:rFonts w:asciiTheme="minorHAnsi" w:eastAsiaTheme="minorEastAsia" w:hAnsiTheme="minorHAnsi" w:cstheme="minorBidi"/>
                <w:noProof/>
                <w:lang w:eastAsia="sv-SE"/>
              </w:rPr>
              <w:tab/>
            </w:r>
            <w:r w:rsidR="00981B00" w:rsidRPr="00173A45">
              <w:rPr>
                <w:rStyle w:val="Hyperlnk"/>
                <w:noProof/>
              </w:rPr>
              <w:t>Lima Declaration</w:t>
            </w:r>
            <w:r w:rsidR="00981B00">
              <w:rPr>
                <w:noProof/>
                <w:webHidden/>
              </w:rPr>
              <w:tab/>
            </w:r>
            <w:r w:rsidR="00981B00">
              <w:rPr>
                <w:noProof/>
                <w:webHidden/>
              </w:rPr>
              <w:fldChar w:fldCharType="begin"/>
            </w:r>
            <w:r w:rsidR="00981B00">
              <w:rPr>
                <w:noProof/>
                <w:webHidden/>
              </w:rPr>
              <w:instrText xml:space="preserve"> PAGEREF _Toc419214062 \h </w:instrText>
            </w:r>
            <w:r w:rsidR="00981B00">
              <w:rPr>
                <w:noProof/>
                <w:webHidden/>
              </w:rPr>
            </w:r>
            <w:r w:rsidR="00981B00">
              <w:rPr>
                <w:noProof/>
                <w:webHidden/>
              </w:rPr>
              <w:fldChar w:fldCharType="separate"/>
            </w:r>
            <w:r w:rsidR="00981B00">
              <w:rPr>
                <w:noProof/>
                <w:webHidden/>
              </w:rPr>
              <w:t>5</w:t>
            </w:r>
            <w:r w:rsidR="00981B00">
              <w:rPr>
                <w:noProof/>
                <w:webHidden/>
              </w:rPr>
              <w:fldChar w:fldCharType="end"/>
            </w:r>
          </w:hyperlink>
        </w:p>
        <w:p w14:paraId="17267741" w14:textId="77777777" w:rsidR="00981B00" w:rsidRDefault="00B9195E">
          <w:pPr>
            <w:pStyle w:val="Innehll1"/>
            <w:tabs>
              <w:tab w:val="left" w:pos="440"/>
              <w:tab w:val="right" w:leader="dot" w:pos="9062"/>
            </w:tabs>
            <w:rPr>
              <w:rFonts w:asciiTheme="minorHAnsi" w:eastAsiaTheme="minorEastAsia" w:hAnsiTheme="minorHAnsi" w:cstheme="minorBidi"/>
              <w:noProof/>
              <w:lang w:eastAsia="sv-SE"/>
            </w:rPr>
          </w:pPr>
          <w:hyperlink w:anchor="_Toc419214063" w:history="1">
            <w:r w:rsidR="00981B00" w:rsidRPr="00173A45">
              <w:rPr>
                <w:rStyle w:val="Hyperlnk"/>
                <w:noProof/>
              </w:rPr>
              <w:t>8.</w:t>
            </w:r>
            <w:r w:rsidR="00981B00">
              <w:rPr>
                <w:rFonts w:asciiTheme="minorHAnsi" w:eastAsiaTheme="minorEastAsia" w:hAnsiTheme="minorHAnsi" w:cstheme="minorBidi"/>
                <w:noProof/>
                <w:lang w:eastAsia="sv-SE"/>
              </w:rPr>
              <w:tab/>
            </w:r>
            <w:r w:rsidR="00981B00" w:rsidRPr="00173A45">
              <w:rPr>
                <w:rStyle w:val="Hyperlnk"/>
                <w:noProof/>
              </w:rPr>
              <w:t>Proposal for a Regulation of the European Parliament and of the Council amending Regulation (EU) No 1343/2011 of the European Parliament and of the Council of 13 December 2011 on certain provisions for fishing in the GFCM (General Fisheries Commission for the Mediterranean) Agreement Area (First reading) (Legislative deliberation)</w:t>
            </w:r>
            <w:r w:rsidR="00981B00">
              <w:rPr>
                <w:noProof/>
                <w:webHidden/>
              </w:rPr>
              <w:tab/>
            </w:r>
            <w:r w:rsidR="00981B00">
              <w:rPr>
                <w:noProof/>
                <w:webHidden/>
              </w:rPr>
              <w:fldChar w:fldCharType="begin"/>
            </w:r>
            <w:r w:rsidR="00981B00">
              <w:rPr>
                <w:noProof/>
                <w:webHidden/>
              </w:rPr>
              <w:instrText xml:space="preserve"> PAGEREF _Toc419214063 \h </w:instrText>
            </w:r>
            <w:r w:rsidR="00981B00">
              <w:rPr>
                <w:noProof/>
                <w:webHidden/>
              </w:rPr>
            </w:r>
            <w:r w:rsidR="00981B00">
              <w:rPr>
                <w:noProof/>
                <w:webHidden/>
              </w:rPr>
              <w:fldChar w:fldCharType="separate"/>
            </w:r>
            <w:r w:rsidR="00981B00">
              <w:rPr>
                <w:noProof/>
                <w:webHidden/>
              </w:rPr>
              <w:t>6</w:t>
            </w:r>
            <w:r w:rsidR="00981B00">
              <w:rPr>
                <w:noProof/>
                <w:webHidden/>
              </w:rPr>
              <w:fldChar w:fldCharType="end"/>
            </w:r>
          </w:hyperlink>
        </w:p>
        <w:p w14:paraId="5477B13B" w14:textId="77777777" w:rsidR="00D957FB" w:rsidRDefault="00652A0C">
          <w:r>
            <w:rPr>
              <w:b/>
              <w:bCs/>
              <w:noProof/>
            </w:rPr>
            <w:fldChar w:fldCharType="end"/>
          </w:r>
        </w:p>
      </w:sdtContent>
    </w:sdt>
    <w:p w14:paraId="5477B13C" w14:textId="77777777" w:rsidR="00D957FB" w:rsidRDefault="00652A0C">
      <w:pPr>
        <w:ind w:left="0"/>
      </w:pPr>
      <w:r>
        <w:br w:type="page"/>
      </w:r>
    </w:p>
    <w:p w14:paraId="5477B13E" w14:textId="33646FE2" w:rsidR="00643D86" w:rsidRDefault="00652A0C" w:rsidP="00643D86">
      <w:pPr>
        <w:pStyle w:val="Rubrik1"/>
      </w:pPr>
      <w:bookmarkStart w:id="1" w:name="_Toc419214056"/>
      <w:bookmarkStart w:id="2" w:name="_Toc364854645"/>
      <w:r>
        <w:rPr>
          <w:noProof/>
        </w:rPr>
        <w:lastRenderedPageBreak/>
        <w:t>Replies to written questions put to the Council by Members of the European Parliament</w:t>
      </w:r>
      <w:bookmarkEnd w:id="1"/>
      <w:r>
        <w:rPr>
          <w:noProof/>
        </w:rPr>
        <w:t xml:space="preserve"> </w:t>
      </w:r>
    </w:p>
    <w:p w14:paraId="108CAD5B" w14:textId="77777777" w:rsidR="00434494" w:rsidRDefault="00652A0C" w:rsidP="00434494">
      <w:pPr>
        <w:rPr>
          <w:lang w:val="en-US"/>
        </w:rPr>
      </w:pPr>
      <w:r>
        <w:rPr>
          <w:noProof/>
          <w:lang w:val="en-US"/>
        </w:rPr>
        <w:t>a</w:t>
      </w:r>
      <w:r>
        <w:rPr>
          <w:lang w:val="en-US"/>
        </w:rPr>
        <w:t>)E-001885/2015 - Aymeric Chauprade (NI)</w:t>
      </w:r>
      <w:r>
        <w:rPr>
          <w:lang w:val="en-US"/>
        </w:rPr>
        <w:br/>
        <w:t>Situation in Syria7921/15 PE-QE 188 b)E-002195/2015 - Claude Rolin (PPE)</w:t>
      </w:r>
      <w:r>
        <w:rPr>
          <w:lang w:val="en-US"/>
        </w:rPr>
        <w:br/>
        <w:t>Opinion of the European Food Safety Authority (EFSA) regarding bisphenol A and action taken by the Latvian Presidency on endocrine disruptors8128/15 PE-QE 202 c)E-002228/2015 - João Ferreira (GUE/NGL) and Inês Cristina Zuber (GUE/NGL)</w:t>
      </w:r>
      <w:r>
        <w:rPr>
          <w:lang w:val="en-US"/>
        </w:rPr>
        <w:br/>
        <w:t>Position of the Council on the situation in Ukraine and public statements by the Greek government8086/15 PE-QE 200 d)E-002891/2015 - Rebecca Harms (Verts/ALE), Heidi Hautala (Verts/ALE) and Benedek Jávor (Verts/ALE)</w:t>
      </w:r>
      <w:r w:rsidR="00434494">
        <w:rPr>
          <w:lang w:val="en-US"/>
        </w:rPr>
        <w:t xml:space="preserve"> </w:t>
      </w:r>
      <w:r>
        <w:rPr>
          <w:lang w:val="en-US"/>
        </w:rPr>
        <w:t>Involvement of banned Russian citizens in European energy security policy7943/15 PE-QE 193 e)E-003363/2015 - Nicolas Bay (NI)</w:t>
      </w:r>
      <w:r w:rsidR="00434494">
        <w:rPr>
          <w:lang w:val="en-US"/>
        </w:rPr>
        <w:t xml:space="preserve"> </w:t>
      </w:r>
      <w:r>
        <w:rPr>
          <w:lang w:val="en-US"/>
        </w:rPr>
        <w:t xml:space="preserve">Is the TTIP a cover for a 'transatlantic monetary system'?7952/15 PE-QE 194 f)E-003602/2015 - </w:t>
      </w:r>
      <w:proofErr w:type="spellStart"/>
      <w:r>
        <w:rPr>
          <w:lang w:val="en-US"/>
        </w:rPr>
        <w:t>Doru-Claudian</w:t>
      </w:r>
      <w:proofErr w:type="spellEnd"/>
      <w:r>
        <w:rPr>
          <w:lang w:val="en-US"/>
        </w:rPr>
        <w:t xml:space="preserve"> </w:t>
      </w:r>
      <w:proofErr w:type="spellStart"/>
      <w:r>
        <w:rPr>
          <w:lang w:val="en-US"/>
        </w:rPr>
        <w:t>Frunzulică</w:t>
      </w:r>
      <w:proofErr w:type="spellEnd"/>
      <w:r>
        <w:rPr>
          <w:lang w:val="en-US"/>
        </w:rPr>
        <w:t xml:space="preserve"> (</w:t>
      </w:r>
      <w:proofErr w:type="spellStart"/>
      <w:r>
        <w:rPr>
          <w:lang w:val="en-US"/>
        </w:rPr>
        <w:t>S&amp;amp;D</w:t>
      </w:r>
      <w:proofErr w:type="spellEnd"/>
      <w:r>
        <w:rPr>
          <w:lang w:val="en-US"/>
        </w:rPr>
        <w:t>)</w:t>
      </w:r>
      <w:r w:rsidR="00434494">
        <w:rPr>
          <w:lang w:val="en-US"/>
        </w:rPr>
        <w:t xml:space="preserve"> </w:t>
      </w:r>
      <w:r>
        <w:rPr>
          <w:lang w:val="en-US"/>
        </w:rPr>
        <w:t xml:space="preserve">Implementation of the Arms Trade Treaty7931/15 PE-QE 192 g)E-004223/2015 - Javier </w:t>
      </w:r>
      <w:proofErr w:type="spellStart"/>
      <w:r>
        <w:rPr>
          <w:lang w:val="en-US"/>
        </w:rPr>
        <w:t>Couso</w:t>
      </w:r>
      <w:proofErr w:type="spellEnd"/>
      <w:r>
        <w:rPr>
          <w:lang w:val="en-US"/>
        </w:rPr>
        <w:t xml:space="preserve"> </w:t>
      </w:r>
      <w:proofErr w:type="spellStart"/>
      <w:r>
        <w:rPr>
          <w:lang w:val="en-US"/>
        </w:rPr>
        <w:t>Permuy</w:t>
      </w:r>
      <w:proofErr w:type="spellEnd"/>
      <w:r>
        <w:rPr>
          <w:lang w:val="en-US"/>
        </w:rPr>
        <w:t xml:space="preserve"> (GUE/NGL)</w:t>
      </w:r>
      <w:r w:rsidR="00434494">
        <w:rPr>
          <w:lang w:val="en-US"/>
        </w:rPr>
        <w:t xml:space="preserve"> </w:t>
      </w:r>
      <w:r>
        <w:rPr>
          <w:lang w:val="en-US"/>
        </w:rPr>
        <w:t xml:space="preserve">Extraordinary trade measures for Bosnia-Herzegovina8126/15 PE-QE 201 h)E-004507/2015 - Antonio </w:t>
      </w:r>
      <w:proofErr w:type="spellStart"/>
      <w:r>
        <w:rPr>
          <w:lang w:val="en-US"/>
        </w:rPr>
        <w:t>López-Istúriz</w:t>
      </w:r>
      <w:proofErr w:type="spellEnd"/>
      <w:r>
        <w:rPr>
          <w:lang w:val="en-US"/>
        </w:rPr>
        <w:t xml:space="preserve"> White (PPE)</w:t>
      </w:r>
      <w:r w:rsidR="00434494">
        <w:rPr>
          <w:lang w:val="en-US"/>
        </w:rPr>
        <w:t xml:space="preserve"> </w:t>
      </w:r>
      <w:r>
        <w:rPr>
          <w:lang w:val="en-US"/>
        </w:rPr>
        <w:t>Overlap between plenary sessions of the European Parliament in Strasbourg and meetings of the European Council</w:t>
      </w:r>
    </w:p>
    <w:p w14:paraId="5477B13F" w14:textId="7FE334DA" w:rsidR="00643D86" w:rsidRDefault="00652A0C" w:rsidP="00434494">
      <w:pPr>
        <w:rPr>
          <w:lang w:val="en-US"/>
        </w:rPr>
      </w:pPr>
      <w:r>
        <w:rPr>
          <w:lang w:val="en-US"/>
        </w:rPr>
        <w:t>8080/15 PE-QE 199</w:t>
      </w:r>
      <w:r>
        <w:rPr>
          <w:lang w:val="en-US"/>
        </w:rPr>
        <w:br/>
      </w:r>
      <w:r>
        <w:rPr>
          <w:noProof/>
          <w:lang w:val="en-US"/>
        </w:rPr>
        <w:t>7921</w:t>
      </w:r>
      <w:r>
        <w:rPr>
          <w:lang w:val="en-US"/>
        </w:rPr>
        <w:t>/15 PE-QE 188 8128/15 PE-QE 202 8086/15 PE-QE 200 7943/15 PE-QE 193 7952/15 PE-QE 194 7931/15 PE-QE 192 8126/15 PE-QE 201 8080/15 PE-QE 199</w:t>
      </w:r>
    </w:p>
    <w:p w14:paraId="5477B140" w14:textId="77777777" w:rsidR="00643D86" w:rsidRDefault="00652A0C" w:rsidP="00643D86">
      <w:r>
        <w:rPr>
          <w:b/>
        </w:rPr>
        <w:t>Ansvarigt statsråd</w:t>
      </w:r>
      <w:r>
        <w:rPr>
          <w:b/>
        </w:rPr>
        <w:br/>
      </w:r>
      <w:r>
        <w:rPr>
          <w:noProof/>
        </w:rPr>
        <w:t>Stefan Löfven</w:t>
      </w:r>
    </w:p>
    <w:p w14:paraId="5477B143" w14:textId="77777777" w:rsidR="00643D86" w:rsidRDefault="00652A0C" w:rsidP="00643D86">
      <w:r w:rsidRPr="00B44CE2">
        <w:rPr>
          <w:b/>
        </w:rPr>
        <w:t>Annotering</w:t>
      </w:r>
      <w:r>
        <w:rPr>
          <w:b/>
        </w:rPr>
        <w:br/>
      </w:r>
      <w:r>
        <w:t>Föranleder ingen annotering.</w:t>
      </w:r>
    </w:p>
    <w:p w14:paraId="5477B144" w14:textId="77777777" w:rsidR="00643D86" w:rsidRDefault="00652A0C" w:rsidP="00643D86">
      <w:pPr>
        <w:pStyle w:val="Rubrik1"/>
      </w:pPr>
      <w:bookmarkStart w:id="3" w:name="_Toc419214057"/>
      <w:r>
        <w:rPr>
          <w:noProof/>
        </w:rPr>
        <w:t>Case before the Court of Justice of the European Union</w:t>
      </w:r>
      <w:r>
        <w:rPr>
          <w:noProof/>
        </w:rPr>
        <w:br/>
        <w:t>Case C-128/15 (Kingdom of Spain against Council of the European Union)</w:t>
      </w:r>
      <w:bookmarkEnd w:id="3"/>
    </w:p>
    <w:p w14:paraId="5477B145" w14:textId="77777777" w:rsidR="00643D86" w:rsidRDefault="00652A0C" w:rsidP="00643D86">
      <w:pPr>
        <w:rPr>
          <w:lang w:val="en-US"/>
        </w:rPr>
      </w:pPr>
      <w:r>
        <w:rPr>
          <w:noProof/>
          <w:lang w:val="en-US"/>
        </w:rPr>
        <w:t>–</w:t>
      </w:r>
      <w:r>
        <w:rPr>
          <w:lang w:val="en-US"/>
        </w:rPr>
        <w:t>Information note for the Permanent Representatives Committee (Part 1)8690/15 JUR 305 PECHE 158</w:t>
      </w:r>
      <w:r>
        <w:rPr>
          <w:lang w:val="en-US"/>
        </w:rPr>
        <w:br/>
      </w:r>
      <w:r>
        <w:rPr>
          <w:noProof/>
          <w:lang w:val="en-US"/>
        </w:rPr>
        <w:t>8690</w:t>
      </w:r>
      <w:r>
        <w:rPr>
          <w:lang w:val="en-US"/>
        </w:rPr>
        <w:t>/15 JUR 305 PECHE 158</w:t>
      </w:r>
    </w:p>
    <w:p w14:paraId="5477B146" w14:textId="77777777" w:rsidR="00643D86" w:rsidRDefault="00652A0C" w:rsidP="00643D86">
      <w:r>
        <w:rPr>
          <w:b/>
        </w:rPr>
        <w:t>Ansvarigt statsråd</w:t>
      </w:r>
      <w:r>
        <w:rPr>
          <w:b/>
        </w:rPr>
        <w:br/>
      </w:r>
      <w:r>
        <w:rPr>
          <w:noProof/>
        </w:rPr>
        <w:t>Margot Wallström</w:t>
      </w:r>
    </w:p>
    <w:p w14:paraId="5477B149" w14:textId="77777777" w:rsidR="00643D86" w:rsidRDefault="00652A0C" w:rsidP="00643D86">
      <w:r w:rsidRPr="00B44CE2">
        <w:rPr>
          <w:b/>
        </w:rPr>
        <w:t>Annotering</w:t>
      </w:r>
      <w:r>
        <w:rPr>
          <w:b/>
        </w:rPr>
        <w:br/>
      </w:r>
      <w:r>
        <w:rPr>
          <w:b/>
          <w:bCs/>
        </w:rPr>
        <w:t xml:space="preserve">Avsikt med behandlingen i rådet: </w:t>
      </w:r>
      <w:r>
        <w:t xml:space="preserve">Information om ett mål vid EU-domstolen där rådet har utsett ombud.  </w:t>
      </w:r>
    </w:p>
    <w:p w14:paraId="5477B14A" w14:textId="77777777" w:rsidR="0011652B" w:rsidRDefault="00652A0C">
      <w:pPr>
        <w:spacing w:after="280" w:afterAutospacing="1"/>
      </w:pPr>
      <w:r>
        <w:rPr>
          <w:b/>
          <w:bCs/>
        </w:rPr>
        <w:t xml:space="preserve">Hur regeringen ställer sig till den blivande A-punkten: </w:t>
      </w:r>
      <w:r>
        <w:t xml:space="preserve">Regeringen har ingen erinran mot denna informationspunkt. </w:t>
      </w:r>
    </w:p>
    <w:p w14:paraId="5477B14B" w14:textId="77777777" w:rsidR="0011652B" w:rsidRDefault="00652A0C">
      <w:pPr>
        <w:spacing w:after="280" w:afterAutospacing="1"/>
      </w:pPr>
      <w:r>
        <w:rPr>
          <w:b/>
          <w:bCs/>
        </w:rPr>
        <w:t xml:space="preserve">Bakgrund: </w:t>
      </w:r>
      <w:r>
        <w:t>Målet rör en ogiltighetstalan som Spanien har väckt mot rådets förordning nr 1367/2014 av den 15 december 2014 om fastställande av fiskemöjligheterna för unionsfiskefartyg med avseende på vissa djuphavsbestånd för 2015 och 2016.</w:t>
      </w:r>
    </w:p>
    <w:p w14:paraId="5477B14D" w14:textId="77777777" w:rsidR="00643D86" w:rsidRDefault="00652A0C" w:rsidP="00643D86">
      <w:pPr>
        <w:pStyle w:val="Rubrik1"/>
      </w:pPr>
      <w:bookmarkStart w:id="4" w:name="_Toc419214058"/>
      <w:r>
        <w:rPr>
          <w:noProof/>
        </w:rPr>
        <w:lastRenderedPageBreak/>
        <w:t>Commission Regulation (EU) No …/.. of XXX amending Regulation (EU) No 965/2012 as regards operations by Union air carriers of aircraft registered in a third country</w:t>
      </w:r>
      <w:bookmarkEnd w:id="4"/>
    </w:p>
    <w:p w14:paraId="5477B14E" w14:textId="77777777" w:rsidR="00643D86" w:rsidRDefault="00652A0C" w:rsidP="00643D86">
      <w:pPr>
        <w:rPr>
          <w:lang w:val="en-US"/>
        </w:rPr>
      </w:pPr>
      <w:r>
        <w:rPr>
          <w:noProof/>
          <w:lang w:val="en-US"/>
        </w:rPr>
        <w:t>–</w:t>
      </w:r>
      <w:r>
        <w:rPr>
          <w:lang w:val="en-US"/>
        </w:rPr>
        <w:t>Decision not to oppose adoption 7394/15 AVIATION 487257/15 AVIATION 46+ ADD 1</w:t>
      </w:r>
      <w:r>
        <w:rPr>
          <w:lang w:val="en-US"/>
        </w:rPr>
        <w:br/>
      </w:r>
      <w:r>
        <w:rPr>
          <w:noProof/>
          <w:lang w:val="en-US"/>
        </w:rPr>
        <w:t>7394</w:t>
      </w:r>
      <w:r>
        <w:rPr>
          <w:lang w:val="en-US"/>
        </w:rPr>
        <w:t>/15 AVIATION 487257/15 AVIATION 46+ ADD 1</w:t>
      </w:r>
    </w:p>
    <w:p w14:paraId="5477B14F" w14:textId="77777777" w:rsidR="00643D86" w:rsidRDefault="00652A0C" w:rsidP="00643D86">
      <w:r>
        <w:rPr>
          <w:b/>
        </w:rPr>
        <w:t>Ansvarigt statsråd</w:t>
      </w:r>
      <w:r>
        <w:rPr>
          <w:b/>
        </w:rPr>
        <w:br/>
      </w:r>
      <w:r>
        <w:rPr>
          <w:noProof/>
        </w:rPr>
        <w:t>Anna Johansson</w:t>
      </w:r>
    </w:p>
    <w:p w14:paraId="5477B152" w14:textId="77777777" w:rsidR="00643D86" w:rsidRDefault="00652A0C" w:rsidP="00643D86">
      <w:r w:rsidRPr="00B44CE2">
        <w:rPr>
          <w:b/>
        </w:rPr>
        <w:t>Annotering</w:t>
      </w:r>
      <w:r>
        <w:rPr>
          <w:b/>
        </w:rPr>
        <w:br/>
      </w:r>
      <w:r>
        <w:t>Föranleder ingen annotering.</w:t>
      </w:r>
    </w:p>
    <w:p w14:paraId="5477B153" w14:textId="77777777" w:rsidR="00643D86" w:rsidRDefault="00652A0C" w:rsidP="00643D86">
      <w:pPr>
        <w:pStyle w:val="Rubrik1"/>
      </w:pPr>
      <w:bookmarkStart w:id="5" w:name="_Toc419214059"/>
      <w:r>
        <w:rPr>
          <w:noProof/>
        </w:rPr>
        <w:t>Commission Regulation (EU) …/… of XXX amending Annexes II, III and V to Regulation (EC) No 396/2005 of the European Parliament and of the Council as regards maximum residue levels for azoxystrobin, dimoxystrobin, fluroxypyr, methoxyfenozide, metrafenone, oxadiargyl and tribenuron in or on certain products.</w:t>
      </w:r>
      <w:bookmarkEnd w:id="5"/>
    </w:p>
    <w:p w14:paraId="5477B154" w14:textId="77777777" w:rsidR="00643D86" w:rsidRDefault="00652A0C" w:rsidP="00643D86">
      <w:pPr>
        <w:rPr>
          <w:lang w:val="en-US"/>
        </w:rPr>
      </w:pPr>
      <w:r>
        <w:rPr>
          <w:noProof/>
          <w:lang w:val="en-US"/>
        </w:rPr>
        <w:t>–</w:t>
      </w:r>
      <w:r>
        <w:rPr>
          <w:lang w:val="en-US"/>
        </w:rPr>
        <w:t>Decision not to oppose adoption8609/15 AGRILEG 1048160/15 AGRILEG 84+ ADD 1 + ADD 2</w:t>
      </w:r>
      <w:r>
        <w:rPr>
          <w:lang w:val="en-US"/>
        </w:rPr>
        <w:br/>
      </w:r>
      <w:r>
        <w:rPr>
          <w:noProof/>
          <w:lang w:val="en-US"/>
        </w:rPr>
        <w:t>8609</w:t>
      </w:r>
      <w:r>
        <w:rPr>
          <w:lang w:val="en-US"/>
        </w:rPr>
        <w:t>/15 AGRILEG 1048160/15 AGRILEG 84+ ADD 1 + ADD 2</w:t>
      </w:r>
    </w:p>
    <w:p w14:paraId="5477B155" w14:textId="77777777" w:rsidR="00643D86" w:rsidRDefault="00652A0C" w:rsidP="00643D86">
      <w:r>
        <w:rPr>
          <w:b/>
        </w:rPr>
        <w:t>Ansvarigt statsråd</w:t>
      </w:r>
      <w:r>
        <w:rPr>
          <w:b/>
        </w:rPr>
        <w:br/>
      </w:r>
      <w:r>
        <w:rPr>
          <w:noProof/>
        </w:rPr>
        <w:t>Sven-Erik Bucht</w:t>
      </w:r>
    </w:p>
    <w:p w14:paraId="5477B158" w14:textId="05A0A125" w:rsidR="00643D86" w:rsidRDefault="00652A0C" w:rsidP="00643D86">
      <w:r w:rsidRPr="00B44CE2">
        <w:rPr>
          <w:b/>
        </w:rPr>
        <w:t>Annotering</w:t>
      </w:r>
      <w:r>
        <w:rPr>
          <w:b/>
        </w:rPr>
        <w:br/>
      </w:r>
      <w:r w:rsidR="00434494">
        <w:t>F</w:t>
      </w:r>
      <w:r>
        <w:t>öranleder ingen annotering.</w:t>
      </w:r>
    </w:p>
    <w:p w14:paraId="5477B159" w14:textId="77777777" w:rsidR="00643D86" w:rsidRDefault="00652A0C" w:rsidP="00643D86">
      <w:pPr>
        <w:pStyle w:val="Rubrik1"/>
      </w:pPr>
      <w:bookmarkStart w:id="6" w:name="_Toc419214060"/>
      <w:r>
        <w:rPr>
          <w:noProof/>
        </w:rPr>
        <w:t>Inter-institutional Task Force on multiannual plans</w:t>
      </w:r>
      <w:bookmarkEnd w:id="6"/>
      <w:r>
        <w:rPr>
          <w:noProof/>
        </w:rPr>
        <w:t xml:space="preserve"> </w:t>
      </w:r>
    </w:p>
    <w:p w14:paraId="41BDF757" w14:textId="77777777" w:rsidR="00434494" w:rsidRDefault="00652A0C" w:rsidP="00643D86">
      <w:pPr>
        <w:rPr>
          <w:lang w:val="en-US"/>
        </w:rPr>
      </w:pPr>
      <w:r>
        <w:rPr>
          <w:noProof/>
          <w:lang w:val="en-US"/>
        </w:rPr>
        <w:t>–</w:t>
      </w:r>
      <w:r>
        <w:rPr>
          <w:lang w:val="en-US"/>
        </w:rPr>
        <w:t>Approval of a letter to the European Parliament (º)</w:t>
      </w:r>
    </w:p>
    <w:p w14:paraId="5477B15A" w14:textId="2FC68951" w:rsidR="00643D86" w:rsidRDefault="00652A0C" w:rsidP="00643D86">
      <w:pPr>
        <w:rPr>
          <w:lang w:val="en-US"/>
        </w:rPr>
      </w:pPr>
      <w:r>
        <w:rPr>
          <w:lang w:val="en-US"/>
        </w:rPr>
        <w:t>8642/15 PECHE 155 CODEC 666</w:t>
      </w:r>
      <w:r>
        <w:rPr>
          <w:lang w:val="en-US"/>
        </w:rPr>
        <w:br/>
      </w:r>
      <w:r>
        <w:rPr>
          <w:noProof/>
          <w:lang w:val="en-US"/>
        </w:rPr>
        <w:t>8642</w:t>
      </w:r>
      <w:r>
        <w:rPr>
          <w:lang w:val="en-US"/>
        </w:rPr>
        <w:t>/15 PECHE 155 CODEC 666</w:t>
      </w:r>
    </w:p>
    <w:p w14:paraId="5477B15B" w14:textId="77777777" w:rsidR="00643D86" w:rsidRDefault="00652A0C" w:rsidP="00643D86">
      <w:r>
        <w:rPr>
          <w:b/>
          <w:noProof/>
        </w:rPr>
        <w:t>Ansvarigt statsråd</w:t>
      </w:r>
      <w:r>
        <w:rPr>
          <w:b/>
        </w:rPr>
        <w:br/>
      </w:r>
      <w:r>
        <w:rPr>
          <w:noProof/>
        </w:rPr>
        <w:t>Sven-Erik Bucht</w:t>
      </w:r>
    </w:p>
    <w:p w14:paraId="5477B15E" w14:textId="77777777" w:rsidR="00643D86" w:rsidRPr="00A31313" w:rsidRDefault="00652A0C" w:rsidP="00643D86">
      <w:pPr>
        <w:rPr>
          <w:b/>
          <w:noProof/>
        </w:rPr>
      </w:pPr>
      <w:r w:rsidRPr="00B44CE2">
        <w:rPr>
          <w:b/>
          <w:noProof/>
        </w:rPr>
        <w:t>Annotering</w:t>
      </w:r>
      <w:r>
        <w:rPr>
          <w:b/>
          <w:noProof/>
        </w:rPr>
        <w:br/>
      </w:r>
      <w:r w:rsidRPr="00A31313">
        <w:rPr>
          <w:b/>
          <w:noProof/>
        </w:rPr>
        <w:t xml:space="preserve">Avsikt med behandlingen i rådet: </w:t>
      </w:r>
    </w:p>
    <w:p w14:paraId="5477B15F" w14:textId="77777777" w:rsidR="0011652B" w:rsidRDefault="00652A0C">
      <w:pPr>
        <w:spacing w:after="280" w:afterAutospacing="1"/>
      </w:pPr>
      <w:r>
        <w:t xml:space="preserve">Att godkänna att ordförandeskapet skickar ett brev som svar på brevet från Europaparlamentets Fiskeutskott. </w:t>
      </w:r>
    </w:p>
    <w:p w14:paraId="5477B160" w14:textId="77777777" w:rsidR="0011652B" w:rsidRPr="00A31313" w:rsidRDefault="00652A0C" w:rsidP="00A31313">
      <w:pPr>
        <w:rPr>
          <w:b/>
          <w:noProof/>
        </w:rPr>
      </w:pPr>
      <w:r w:rsidRPr="00A31313">
        <w:rPr>
          <w:b/>
          <w:noProof/>
        </w:rPr>
        <w:t xml:space="preserve">Hur regeringen ställer sig till den blivande A-punkten: </w:t>
      </w:r>
    </w:p>
    <w:p w14:paraId="5477B161" w14:textId="77777777" w:rsidR="0011652B" w:rsidRDefault="00652A0C">
      <w:pPr>
        <w:spacing w:after="280" w:afterAutospacing="1"/>
        <w:rPr>
          <w:noProof/>
        </w:rPr>
      </w:pPr>
      <w:r>
        <w:rPr>
          <w:noProof/>
        </w:rPr>
        <w:t>Regeringen har inga invändningar.</w:t>
      </w:r>
    </w:p>
    <w:p w14:paraId="5477B162" w14:textId="77777777" w:rsidR="0011652B" w:rsidRPr="00A31313" w:rsidRDefault="00652A0C" w:rsidP="00A31313">
      <w:pPr>
        <w:rPr>
          <w:b/>
          <w:noProof/>
        </w:rPr>
      </w:pPr>
      <w:r w:rsidRPr="00A31313">
        <w:rPr>
          <w:b/>
          <w:noProof/>
        </w:rPr>
        <w:t>Bakgrund</w:t>
      </w:r>
    </w:p>
    <w:p w14:paraId="5477B163" w14:textId="5A8FD85A" w:rsidR="0011652B" w:rsidRDefault="00652A0C">
      <w:pPr>
        <w:spacing w:after="280" w:afterAutospacing="1"/>
      </w:pPr>
      <w:r>
        <w:t>Den 26 mars 2015 mottog det lettiska ordförandeskapet ett brev från ordförande i Europaparlamentets Fiskeutskott. I brevet föreslår Europaparlamentet att den Interinstitutionella arbetsgruppen (Task Force) åter kallas samman i syfte att diskutera vissa horisontella frågor avseende l</w:t>
      </w:r>
      <w:r w:rsidR="00434494">
        <w:t>ångsiktiga förvaltningsplaner. </w:t>
      </w:r>
      <w:r>
        <w:t xml:space="preserve">Europaparlamentet har i synnerhet </w:t>
      </w:r>
      <w:r>
        <w:lastRenderedPageBreak/>
        <w:t xml:space="preserve">pekat på behovet av att </w:t>
      </w:r>
      <w:r w:rsidR="003C59CB">
        <w:t>arbetsgruppen</w:t>
      </w:r>
      <w:r>
        <w:t xml:space="preserve"> diskuterar frågor kopplat till användandet av delegerade akter och arbetet i samband med framtagandet av dessa. Europaparlamentet har pekat på att dessa frågor aktualiserats av behandlingen av kommissionens förslag till flerårig förvaltningsplan för torsk, sill och skarpsill i Östersjön, samt kommissionens förberedande arbete med förslag till planer för andra fisken och andra havsområden, bl.a. Nordsjön.</w:t>
      </w:r>
    </w:p>
    <w:p w14:paraId="0F53045D" w14:textId="1FABAF35" w:rsidR="003C59CB" w:rsidRDefault="00652A0C" w:rsidP="003C59CB">
      <w:pPr>
        <w:spacing w:after="280" w:afterAutospacing="1"/>
      </w:pPr>
      <w:r>
        <w:t xml:space="preserve">Det lettiska ordförandeskapet har distribuerat ett utkast till svarsbrev där de avvisar Europaparlamentets begäran om att diskutera de föreslagna horisontella frågorna inom </w:t>
      </w:r>
      <w:r w:rsidR="003C59CB">
        <w:t>arbetsgruppen</w:t>
      </w:r>
      <w:r>
        <w:t xml:space="preserve">. Ordförandekapet pekar främst på att rådet den 20 april 2015 fastställde en allmän inriktning avseende den fleråriga planen för Östersjön i syfte att kunna inleda informella trepartssamtal med Europaparlamentet. Frågan om delegerade akter mm var en viktig del av denna allmänna inriktning. Ordförandeskapet pekar på att det skulle komplicera processen och göra diskussionen inom ramen för de informella trepartssamtalen om Östersjöplanen mer svåröverskådlig om det parallellt skulle ske en diskussion om motsvarande horisontella frågor inom ramen för </w:t>
      </w:r>
      <w:r w:rsidR="003C59CB">
        <w:t>arbetsgruppen</w:t>
      </w:r>
      <w:r>
        <w:t xml:space="preserve">. </w:t>
      </w:r>
    </w:p>
    <w:p w14:paraId="5477B167" w14:textId="7EDB1FCD" w:rsidR="00643D86" w:rsidRDefault="00652A0C" w:rsidP="003C59CB">
      <w:pPr>
        <w:pStyle w:val="Rubrik1"/>
        <w:rPr>
          <w:noProof/>
        </w:rPr>
      </w:pPr>
      <w:bookmarkStart w:id="7" w:name="_Toc419214061"/>
      <w:r>
        <w:rPr>
          <w:noProof/>
        </w:rPr>
        <w:t>Draft proposal for a Council Regulation on the suspension of customs duties applicable to imports of certain heavy oils and other similar products</w:t>
      </w:r>
      <w:bookmarkEnd w:id="7"/>
    </w:p>
    <w:p w14:paraId="5477B168" w14:textId="77777777" w:rsidR="00643D86" w:rsidRDefault="00652A0C" w:rsidP="00643D86">
      <w:pPr>
        <w:rPr>
          <w:lang w:val="en-US"/>
        </w:rPr>
      </w:pPr>
      <w:r>
        <w:rPr>
          <w:noProof/>
          <w:lang w:val="en-US"/>
        </w:rPr>
        <w:t>–</w:t>
      </w:r>
      <w:r>
        <w:rPr>
          <w:lang w:val="en-US"/>
        </w:rPr>
        <w:t>Adoption8533/15 UD 1027505/15 UD 52</w:t>
      </w:r>
      <w:r>
        <w:rPr>
          <w:lang w:val="en-US"/>
        </w:rPr>
        <w:br/>
      </w:r>
      <w:r>
        <w:rPr>
          <w:noProof/>
          <w:lang w:val="en-US"/>
        </w:rPr>
        <w:t>8533</w:t>
      </w:r>
      <w:r>
        <w:rPr>
          <w:lang w:val="en-US"/>
        </w:rPr>
        <w:t>/15 UD 1027505/15 UD 52</w:t>
      </w:r>
    </w:p>
    <w:p w14:paraId="5477B169" w14:textId="77777777" w:rsidR="00643D86" w:rsidRDefault="00652A0C" w:rsidP="00643D86">
      <w:r>
        <w:rPr>
          <w:b/>
        </w:rPr>
        <w:t>Ansvarigt statsråd</w:t>
      </w:r>
      <w:r>
        <w:rPr>
          <w:b/>
        </w:rPr>
        <w:br/>
      </w:r>
      <w:r>
        <w:rPr>
          <w:noProof/>
        </w:rPr>
        <w:t>Mikael Damberg</w:t>
      </w:r>
    </w:p>
    <w:p w14:paraId="5477B16C" w14:textId="092A9912" w:rsidR="00643D86" w:rsidRDefault="00652A0C" w:rsidP="00643D86">
      <w:r w:rsidRPr="00B44CE2">
        <w:rPr>
          <w:b/>
        </w:rPr>
        <w:t>Annotering</w:t>
      </w:r>
      <w:r>
        <w:rPr>
          <w:b/>
        </w:rPr>
        <w:br/>
      </w:r>
      <w:r>
        <w:rPr>
          <w:b/>
          <w:bCs/>
        </w:rPr>
        <w:t>Avsikt med behandlingen i rådet: </w:t>
      </w:r>
      <w:r>
        <w:t xml:space="preserve">Rådet ska ta ställning till en rådsförordning  </w:t>
      </w:r>
    </w:p>
    <w:p w14:paraId="5477B16D" w14:textId="777CC8A7" w:rsidR="0011652B" w:rsidRDefault="00652A0C">
      <w:pPr>
        <w:spacing w:after="280" w:afterAutospacing="1"/>
      </w:pPr>
      <w:r>
        <w:rPr>
          <w:b/>
          <w:bCs/>
        </w:rPr>
        <w:t>Hur regeringen ställer sig till den blivande A-punkten:</w:t>
      </w:r>
      <w:r>
        <w:t xml:space="preserve"> Regeringen avser rösta ja </w:t>
      </w:r>
    </w:p>
    <w:p w14:paraId="5477B16E" w14:textId="77777777" w:rsidR="0011652B" w:rsidRDefault="00652A0C">
      <w:pPr>
        <w:spacing w:after="280" w:afterAutospacing="1"/>
      </w:pPr>
      <w:r>
        <w:rPr>
          <w:b/>
          <w:bCs/>
        </w:rPr>
        <w:t xml:space="preserve">Bakgrund: </w:t>
      </w:r>
      <w:r>
        <w:t xml:space="preserve">Förslaget till rådsförordning handlar om att retroaktivt rätta till en inkonsekvens vad gäller importtullen för två liknande produkter (vissa tunga oljor och andra liknande produkter). För oljor som klassificeras under KN-nummer 2710 i den kombinerade nomenklaturen upphävs tull, autonomt i vissa fall.  En annan liknande olja, där de aromatiska beståndsdelarna överstiger vikten av de </w:t>
      </w:r>
      <w:proofErr w:type="spellStart"/>
      <w:r>
        <w:t>ickearomatiska</w:t>
      </w:r>
      <w:proofErr w:type="spellEnd"/>
      <w:r>
        <w:t xml:space="preserve"> beståndsdelarna istället för tvärt om, klassificerades fram till april 2013 också enligt KN-nummer 2710. Sedan den 4 april 2013 klassificeras emellertid dessa oljor och andra produkter enligt KN-nummer 2707, utan tullbefrielse. Från och med 1 juli 2014 kunde dock dessa oljor importeras tullfritt genom rådets förordning (EU) nr 1387/2013. Den nu aktuella rådsförordningen säkerställer upphävandet av tullar för de produkter som omfattas av KN-nummer 2707 99 99 retroaktivt för perioden mellan den 4 april 2013 till den 30 juni 2014. </w:t>
      </w:r>
    </w:p>
    <w:p w14:paraId="5477B170" w14:textId="77777777" w:rsidR="00643D86" w:rsidRDefault="00652A0C" w:rsidP="00643D86">
      <w:pPr>
        <w:pStyle w:val="Rubrik1"/>
      </w:pPr>
      <w:bookmarkStart w:id="8" w:name="_Toc419214062"/>
      <w:r>
        <w:rPr>
          <w:noProof/>
        </w:rPr>
        <w:t>Lima Declaration</w:t>
      </w:r>
      <w:bookmarkEnd w:id="8"/>
    </w:p>
    <w:p w14:paraId="5477B171" w14:textId="77777777" w:rsidR="00643D86" w:rsidRDefault="00652A0C" w:rsidP="00643D86">
      <w:pPr>
        <w:rPr>
          <w:lang w:val="en-US"/>
        </w:rPr>
      </w:pPr>
      <w:r>
        <w:rPr>
          <w:noProof/>
          <w:lang w:val="en-US"/>
        </w:rPr>
        <w:t>–</w:t>
      </w:r>
      <w:r>
        <w:rPr>
          <w:lang w:val="en-US"/>
        </w:rPr>
        <w:t>Approval of signature on behalf of the European Union8704/15 CLIMA 50 ENV 273 COAFR 164</w:t>
      </w:r>
      <w:r>
        <w:rPr>
          <w:lang w:val="en-US"/>
        </w:rPr>
        <w:br/>
      </w:r>
      <w:r>
        <w:rPr>
          <w:noProof/>
          <w:lang w:val="en-US"/>
        </w:rPr>
        <w:t>8704</w:t>
      </w:r>
      <w:r>
        <w:rPr>
          <w:lang w:val="en-US"/>
        </w:rPr>
        <w:t>/15 CLIMA 50 ENV 273 COAFR 164</w:t>
      </w:r>
    </w:p>
    <w:p w14:paraId="5477B172" w14:textId="77777777" w:rsidR="00643D86" w:rsidRDefault="00652A0C" w:rsidP="00643D86">
      <w:r>
        <w:rPr>
          <w:b/>
        </w:rPr>
        <w:t>Ansvarigt statsråd</w:t>
      </w:r>
      <w:r>
        <w:rPr>
          <w:b/>
        </w:rPr>
        <w:br/>
      </w:r>
      <w:r>
        <w:rPr>
          <w:noProof/>
        </w:rPr>
        <w:t>Margot Wallström</w:t>
      </w:r>
    </w:p>
    <w:p w14:paraId="5477B176" w14:textId="6C965676" w:rsidR="0011652B" w:rsidRDefault="00652A0C" w:rsidP="00434494">
      <w:r w:rsidRPr="00B44CE2">
        <w:rPr>
          <w:b/>
        </w:rPr>
        <w:t>Annotering</w:t>
      </w:r>
      <w:r>
        <w:rPr>
          <w:b/>
        </w:rPr>
        <w:br/>
      </w:r>
      <w:r>
        <w:rPr>
          <w:b/>
          <w:bCs/>
        </w:rPr>
        <w:t xml:space="preserve">Avsikt med behandlingen i rådet: </w:t>
      </w:r>
      <w:r w:rsidRPr="00434494">
        <w:rPr>
          <w:bCs/>
        </w:rPr>
        <w:t>Att </w:t>
      </w:r>
      <w:r w:rsidR="006C2335">
        <w:rPr>
          <w:bCs/>
        </w:rPr>
        <w:t xml:space="preserve">godkänna </w:t>
      </w:r>
      <w:r w:rsidRPr="00434494">
        <w:rPr>
          <w:bCs/>
        </w:rPr>
        <w:t>att EU kan ansluta sig till Limadeklarationen</w:t>
      </w:r>
      <w:r>
        <w:t> </w:t>
      </w:r>
    </w:p>
    <w:p w14:paraId="5477B177" w14:textId="2FC56100" w:rsidR="0011652B" w:rsidRDefault="00652A0C">
      <w:pPr>
        <w:spacing w:after="280" w:afterAutospacing="1"/>
      </w:pPr>
      <w:r>
        <w:rPr>
          <w:b/>
          <w:bCs/>
        </w:rPr>
        <w:t>Hur regeringen ställer sig till den blivande A-punkten:</w:t>
      </w:r>
      <w:r>
        <w:t xml:space="preserve"> </w:t>
      </w:r>
      <w:r w:rsidR="006C2335">
        <w:t>Regeringen avser rösta ja.</w:t>
      </w:r>
      <w:r>
        <w:t xml:space="preserve"> </w:t>
      </w:r>
    </w:p>
    <w:p w14:paraId="5477B17F" w14:textId="273B3192" w:rsidR="00643D86" w:rsidRDefault="00652A0C" w:rsidP="00A31313">
      <w:pPr>
        <w:spacing w:after="280" w:afterAutospacing="1"/>
      </w:pPr>
      <w:r>
        <w:rPr>
          <w:b/>
          <w:bCs/>
        </w:rPr>
        <w:t xml:space="preserve">Bakgrund: </w:t>
      </w:r>
      <w:r w:rsidRPr="00434494">
        <w:rPr>
          <w:bCs/>
        </w:rPr>
        <w:t>Limadeklarationen undertecknades vid COP20 i Lima av Etiopien Sverige, Norge, Storbritannien, Frankrike, Tyskland och Danmark och utgör en breddning av det partnerskap som skapades i Durban 2011 av Norge, Storbritannien och Etiopien. Syftet är att stödja Etiopien i implementeringen av dess CRGE-strategi (</w:t>
      </w:r>
      <w:proofErr w:type="spellStart"/>
      <w:r w:rsidRPr="00434494">
        <w:rPr>
          <w:bCs/>
        </w:rPr>
        <w:t>Climate</w:t>
      </w:r>
      <w:proofErr w:type="spellEnd"/>
      <w:r w:rsidRPr="00434494">
        <w:rPr>
          <w:bCs/>
        </w:rPr>
        <w:t xml:space="preserve"> </w:t>
      </w:r>
      <w:proofErr w:type="spellStart"/>
      <w:r w:rsidRPr="00434494">
        <w:rPr>
          <w:bCs/>
        </w:rPr>
        <w:t>Resilient</w:t>
      </w:r>
      <w:proofErr w:type="spellEnd"/>
      <w:r w:rsidRPr="00434494">
        <w:rPr>
          <w:bCs/>
        </w:rPr>
        <w:t xml:space="preserve"> Green </w:t>
      </w:r>
      <w:proofErr w:type="spellStart"/>
      <w:r w:rsidRPr="00434494">
        <w:rPr>
          <w:bCs/>
        </w:rPr>
        <w:t>Economy</w:t>
      </w:r>
      <w:proofErr w:type="spellEnd"/>
      <w:r w:rsidRPr="00434494">
        <w:rPr>
          <w:bCs/>
        </w:rPr>
        <w:t>). Etiopien är med denna ambitiösa politik ett föregångsland i Afrika.</w:t>
      </w:r>
    </w:p>
    <w:p w14:paraId="5477B180" w14:textId="77777777" w:rsidR="00643D86" w:rsidRDefault="00652A0C" w:rsidP="00643D86">
      <w:pPr>
        <w:pStyle w:val="Rubrik1"/>
      </w:pPr>
      <w:bookmarkStart w:id="9" w:name="_Toc419214063"/>
      <w:r>
        <w:rPr>
          <w:noProof/>
        </w:rPr>
        <w:t>Proposal for a Regulation of the European Parliament and of the Council amending Regulation (EU) No 1343/2011 of the European Parliament and of the Council of 13 December 2011 on certain provisions for fishing in the GFCM (General Fisheries Commission for the Mediterranean) Agreement Area (First reading) (Legislative deliberation)</w:t>
      </w:r>
      <w:bookmarkEnd w:id="9"/>
    </w:p>
    <w:p w14:paraId="5477B181" w14:textId="77777777" w:rsidR="00643D86" w:rsidRDefault="00652A0C" w:rsidP="00643D86">
      <w:pPr>
        <w:rPr>
          <w:lang w:val="en-US"/>
        </w:rPr>
      </w:pPr>
      <w:r>
        <w:rPr>
          <w:noProof/>
          <w:lang w:val="en-US"/>
        </w:rPr>
        <w:t>–</w:t>
      </w:r>
      <w:r>
        <w:rPr>
          <w:lang w:val="en-US"/>
        </w:rPr>
        <w:t>Political agreement8446/15 PECHE 150 CODEC 627+ ADD 1</w:t>
      </w:r>
      <w:r>
        <w:rPr>
          <w:lang w:val="en-US"/>
        </w:rPr>
        <w:br/>
      </w:r>
      <w:r>
        <w:rPr>
          <w:noProof/>
          <w:lang w:val="en-US"/>
        </w:rPr>
        <w:t>8446</w:t>
      </w:r>
      <w:r>
        <w:rPr>
          <w:lang w:val="en-US"/>
        </w:rPr>
        <w:t>/15 PECHE 150 CODEC 627+ ADD 1</w:t>
      </w:r>
    </w:p>
    <w:p w14:paraId="5477B182" w14:textId="77777777" w:rsidR="00643D86" w:rsidRDefault="00652A0C" w:rsidP="00643D86">
      <w:r>
        <w:rPr>
          <w:b/>
        </w:rPr>
        <w:t>Ansvarigt statsråd</w:t>
      </w:r>
      <w:r>
        <w:rPr>
          <w:b/>
        </w:rPr>
        <w:br/>
      </w:r>
      <w:r>
        <w:rPr>
          <w:noProof/>
        </w:rPr>
        <w:t>Sven-Erik Bucht</w:t>
      </w:r>
    </w:p>
    <w:p w14:paraId="5477B186" w14:textId="1E057ACA" w:rsidR="0011652B" w:rsidRDefault="00652A0C" w:rsidP="00434494">
      <w:r w:rsidRPr="00B44CE2">
        <w:rPr>
          <w:b/>
        </w:rPr>
        <w:t>Annotering</w:t>
      </w:r>
      <w:r>
        <w:rPr>
          <w:b/>
        </w:rPr>
        <w:br/>
      </w:r>
      <w:r>
        <w:rPr>
          <w:b/>
          <w:bCs/>
        </w:rPr>
        <w:t>Avsikt med behandlingen i rådet:</w:t>
      </w:r>
      <w:r>
        <w:t xml:space="preserve"> Att godkänna den slutliga överenskommelsen mellan institutionerna gällande förslaget om tekniska åtgärder i AKFM: s område. </w:t>
      </w:r>
    </w:p>
    <w:p w14:paraId="5477B188" w14:textId="1DD0EA1D" w:rsidR="0011652B" w:rsidRDefault="00652A0C">
      <w:pPr>
        <w:spacing w:after="280" w:afterAutospacing="1"/>
      </w:pPr>
      <w:r>
        <w:rPr>
          <w:b/>
          <w:bCs/>
        </w:rPr>
        <w:t>Hur regeringen ställer sig till den blivande A-punkten:</w:t>
      </w:r>
      <w:r>
        <w:t xml:space="preserve"> Regeringen kan ställa sig bakom förslaget</w:t>
      </w:r>
      <w:r w:rsidR="003C59CB">
        <w:t>.</w:t>
      </w:r>
    </w:p>
    <w:p w14:paraId="5477B18A" w14:textId="319BBA39" w:rsidR="0011652B" w:rsidRDefault="00652A0C">
      <w:pPr>
        <w:spacing w:after="280" w:afterAutospacing="1"/>
      </w:pPr>
      <w:r>
        <w:rPr>
          <w:b/>
          <w:bCs/>
        </w:rPr>
        <w:t>Bakgrund:</w:t>
      </w:r>
      <w:r w:rsidR="00434494">
        <w:rPr>
          <w:b/>
          <w:bCs/>
        </w:rPr>
        <w:t xml:space="preserve"> </w:t>
      </w:r>
      <w:r>
        <w:t>Allmänna kommissionen för fiske i Medelhavet (AKFM) är en regional fiskeriförvaltningsorganisation som inrättats i enlighet med artikel XIV i FAO:s stadga. Dess främsta mål är att främja utveckling, bevarande, rationell förvaltning och bästa nyttjande av levande marina resurser samt en hållbar utveckling av vattenbruket i Medelhavet, Svarta havet och angränsande vatten. GFCM har befogenhet att anta bindande beslut (rekommendationer) inom sitt behörighetsområde. Dessa akter riktar sig framför allt till avtalsparterna, men kan även innehålla skyldigheter för aktörer (t.ex. befälhavare på fartyg). Rekommendationerna blir bindande inom 120 dagar efter dagen för den första anmälan, förutsatt att inga invändningar framställs. EU och tio medlemsstater (Bulgarien, Kroatien, Cypern, Frankrike, Grekland, Italien, Malta, Slovenien, Spanien och Rumänien) är avtalsslutande parter i AKFM-avtalet.</w:t>
      </w:r>
    </w:p>
    <w:p w14:paraId="5477B18D" w14:textId="1B777542" w:rsidR="00643D86" w:rsidRPr="00643D86" w:rsidRDefault="00652A0C" w:rsidP="00981B00">
      <w:pPr>
        <w:spacing w:after="280" w:afterAutospacing="1"/>
        <w:rPr>
          <w:lang w:val="en-US"/>
        </w:rPr>
      </w:pPr>
      <w:r>
        <w:t>Förslaget innehåller tekniska åtgärder för hållbart nyttjande av rödkorall, begränsning av oavsiktlig fångst av valar, havssköldpaddor och sjöfåglar och bevarande av mu</w:t>
      </w:r>
      <w:r w:rsidR="00434494">
        <w:t xml:space="preserve">nksäl, hajar och rockor i </w:t>
      </w:r>
      <w:proofErr w:type="spellStart"/>
      <w:r w:rsidR="00434494">
        <w:t>GFCM:</w:t>
      </w:r>
      <w:r>
        <w:t>s</w:t>
      </w:r>
      <w:proofErr w:type="spellEnd"/>
      <w:r>
        <w:t xml:space="preserve"> avtalsområde. Åtgärderna går längre än det skydd som dessa arter redan omfattas av på EU-nivå genom habitatdirektivet och andra unionsrättsakter och inbegriper även särskilda registrerings- och rapporteringskrav för både aktörer och medlemsstater. Genom förslaget införlivas också i unionsrätten vissa åtgärder för fiske efter små pelagiska bestånd i Adriatiska havet.</w:t>
      </w:r>
      <w:bookmarkEnd w:id="2"/>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9FDA4" w14:textId="77777777" w:rsidR="00A25898" w:rsidRDefault="00A25898">
      <w:pPr>
        <w:spacing w:after="0" w:line="240" w:lineRule="auto"/>
      </w:pPr>
      <w:r>
        <w:separator/>
      </w:r>
    </w:p>
  </w:endnote>
  <w:endnote w:type="continuationSeparator" w:id="0">
    <w:p w14:paraId="23EB115C" w14:textId="77777777" w:rsidR="00A25898" w:rsidRDefault="00A2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AE684" w14:textId="77777777" w:rsidR="00A25898" w:rsidRDefault="00A25898">
      <w:pPr>
        <w:spacing w:after="0" w:line="240" w:lineRule="auto"/>
      </w:pPr>
      <w:r>
        <w:separator/>
      </w:r>
    </w:p>
  </w:footnote>
  <w:footnote w:type="continuationSeparator" w:id="0">
    <w:p w14:paraId="193A122D" w14:textId="77777777" w:rsidR="00A25898" w:rsidRDefault="00A25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7B18E" w14:textId="77777777" w:rsidR="006E71D7" w:rsidRDefault="00B9195E" w:rsidP="006E71D7">
    <w:pPr>
      <w:pStyle w:val="Sidhuvud"/>
      <w:ind w:left="0"/>
    </w:pPr>
  </w:p>
  <w:p w14:paraId="5477B18F" w14:textId="77777777" w:rsidR="006F1C0D" w:rsidRDefault="00B9195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1652B" w14:paraId="5477B195" w14:textId="77777777" w:rsidTr="006E71D7">
      <w:tc>
        <w:tcPr>
          <w:tcW w:w="4606" w:type="dxa"/>
        </w:tcPr>
        <w:p w14:paraId="5477B190" w14:textId="77777777" w:rsidR="006E71D7" w:rsidRDefault="00652A0C" w:rsidP="00752770">
          <w:pPr>
            <w:pStyle w:val="Sidhuvud"/>
            <w:ind w:left="0"/>
          </w:pPr>
          <w:r>
            <w:rPr>
              <w:noProof/>
              <w:lang w:eastAsia="sv-SE"/>
            </w:rPr>
            <w:drawing>
              <wp:inline distT="0" distB="0" distL="0" distR="0" wp14:anchorId="5477B19B" wp14:editId="5477B19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477B191" w14:textId="77777777" w:rsidR="00FB32B9" w:rsidRDefault="00B9195E" w:rsidP="00FB32B9">
          <w:pPr>
            <w:ind w:right="916"/>
            <w:rPr>
              <w:rFonts w:ascii="TradeGothic" w:hAnsi="TradeGothic"/>
              <w:b/>
            </w:rPr>
          </w:pPr>
        </w:p>
        <w:p w14:paraId="5477B192" w14:textId="77777777" w:rsidR="00FB32B9" w:rsidRDefault="00652A0C" w:rsidP="00FB32B9">
          <w:pPr>
            <w:ind w:right="916"/>
          </w:pPr>
          <w:r>
            <w:rPr>
              <w:rFonts w:ascii="TradeGothic" w:hAnsi="TradeGothic"/>
              <w:b/>
            </w:rPr>
            <w:t>Promemoria</w:t>
          </w:r>
        </w:p>
        <w:p w14:paraId="5477B193" w14:textId="77777777" w:rsidR="00FB32B9" w:rsidRDefault="00B9195E" w:rsidP="00FB32B9">
          <w:pPr>
            <w:jc w:val="right"/>
          </w:pPr>
        </w:p>
        <w:p w14:paraId="5477B194" w14:textId="77777777" w:rsidR="006E71D7" w:rsidRDefault="00652A0C" w:rsidP="00FB32B9">
          <w:pPr>
            <w:ind w:right="916"/>
          </w:pPr>
          <w:r>
            <w:rPr>
              <w:rFonts w:ascii="TradeGothic" w:hAnsi="TradeGothic"/>
              <w:b/>
              <w:noProof/>
            </w:rPr>
            <w:t>2015-05-12</w:t>
          </w:r>
          <w:r w:rsidRPr="00934953">
            <w:t xml:space="preserve"> </w:t>
          </w:r>
        </w:p>
      </w:tc>
    </w:tr>
  </w:tbl>
  <w:p w14:paraId="5477B196" w14:textId="77777777" w:rsidR="00FB32B9" w:rsidRDefault="00B9195E" w:rsidP="00FB32B9">
    <w:pPr>
      <w:pStyle w:val="Avsndare"/>
      <w:framePr w:w="0" w:hRule="auto" w:hSpace="0" w:wrap="auto" w:vAnchor="margin" w:hAnchor="text" w:xAlign="left" w:yAlign="inline"/>
      <w:rPr>
        <w:b/>
        <w:i w:val="0"/>
        <w:sz w:val="22"/>
      </w:rPr>
    </w:pPr>
  </w:p>
  <w:p w14:paraId="5477B197" w14:textId="77777777" w:rsidR="00FB32B9" w:rsidRDefault="00652A0C" w:rsidP="00FB32B9">
    <w:pPr>
      <w:pStyle w:val="Avsndare"/>
      <w:framePr w:w="0" w:hRule="auto" w:hSpace="0" w:wrap="auto" w:vAnchor="margin" w:hAnchor="text" w:xAlign="left" w:yAlign="inline"/>
      <w:rPr>
        <w:b/>
        <w:i w:val="0"/>
        <w:sz w:val="22"/>
      </w:rPr>
    </w:pPr>
    <w:r>
      <w:rPr>
        <w:b/>
        <w:i w:val="0"/>
        <w:sz w:val="22"/>
      </w:rPr>
      <w:t>Statsrådsberedningen</w:t>
    </w:r>
  </w:p>
  <w:p w14:paraId="5477B198" w14:textId="77777777" w:rsidR="00FB32B9" w:rsidRDefault="00B9195E" w:rsidP="00FB32B9">
    <w:pPr>
      <w:pStyle w:val="Avsndare"/>
      <w:framePr w:w="0" w:hRule="auto" w:hSpace="0" w:wrap="auto" w:vAnchor="margin" w:hAnchor="text" w:xAlign="left" w:yAlign="inline"/>
    </w:pPr>
  </w:p>
  <w:p w14:paraId="5477B199" w14:textId="77777777" w:rsidR="00FB32B9" w:rsidRDefault="00652A0C" w:rsidP="00FB32B9">
    <w:pPr>
      <w:pStyle w:val="Avsndare"/>
      <w:framePr w:w="0" w:hRule="auto" w:hSpace="0" w:wrap="auto" w:vAnchor="margin" w:hAnchor="text" w:xAlign="left" w:yAlign="inline"/>
    </w:pPr>
    <w:r>
      <w:t>EU-kansliet</w:t>
    </w:r>
  </w:p>
  <w:p w14:paraId="5477B19A" w14:textId="77777777" w:rsidR="0012376B" w:rsidRDefault="00B9195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A5A2BC34">
      <w:start w:val="1"/>
      <w:numFmt w:val="decimal"/>
      <w:pStyle w:val="Rubrik1"/>
      <w:lvlText w:val="%1."/>
      <w:lvlJc w:val="left"/>
      <w:pPr>
        <w:ind w:left="720" w:hanging="360"/>
      </w:pPr>
    </w:lvl>
    <w:lvl w:ilvl="1" w:tplc="B4C67C6E" w:tentative="1">
      <w:start w:val="1"/>
      <w:numFmt w:val="lowerLetter"/>
      <w:lvlText w:val="%2."/>
      <w:lvlJc w:val="left"/>
      <w:pPr>
        <w:ind w:left="1440" w:hanging="360"/>
      </w:pPr>
    </w:lvl>
    <w:lvl w:ilvl="2" w:tplc="0284EF18" w:tentative="1">
      <w:start w:val="1"/>
      <w:numFmt w:val="lowerRoman"/>
      <w:lvlText w:val="%3."/>
      <w:lvlJc w:val="right"/>
      <w:pPr>
        <w:ind w:left="2160" w:hanging="180"/>
      </w:pPr>
    </w:lvl>
    <w:lvl w:ilvl="3" w:tplc="1AEE8C34" w:tentative="1">
      <w:start w:val="1"/>
      <w:numFmt w:val="decimal"/>
      <w:lvlText w:val="%4."/>
      <w:lvlJc w:val="left"/>
      <w:pPr>
        <w:ind w:left="2880" w:hanging="360"/>
      </w:pPr>
    </w:lvl>
    <w:lvl w:ilvl="4" w:tplc="31E8DF18" w:tentative="1">
      <w:start w:val="1"/>
      <w:numFmt w:val="lowerLetter"/>
      <w:lvlText w:val="%5."/>
      <w:lvlJc w:val="left"/>
      <w:pPr>
        <w:ind w:left="3600" w:hanging="360"/>
      </w:pPr>
    </w:lvl>
    <w:lvl w:ilvl="5" w:tplc="609CB0AE" w:tentative="1">
      <w:start w:val="1"/>
      <w:numFmt w:val="lowerRoman"/>
      <w:lvlText w:val="%6."/>
      <w:lvlJc w:val="right"/>
      <w:pPr>
        <w:ind w:left="4320" w:hanging="180"/>
      </w:pPr>
    </w:lvl>
    <w:lvl w:ilvl="6" w:tplc="B9545A48" w:tentative="1">
      <w:start w:val="1"/>
      <w:numFmt w:val="decimal"/>
      <w:lvlText w:val="%7."/>
      <w:lvlJc w:val="left"/>
      <w:pPr>
        <w:ind w:left="5040" w:hanging="360"/>
      </w:pPr>
    </w:lvl>
    <w:lvl w:ilvl="7" w:tplc="DF0EC7E2" w:tentative="1">
      <w:start w:val="1"/>
      <w:numFmt w:val="lowerLetter"/>
      <w:lvlText w:val="%8."/>
      <w:lvlJc w:val="left"/>
      <w:pPr>
        <w:ind w:left="5760" w:hanging="360"/>
      </w:pPr>
    </w:lvl>
    <w:lvl w:ilvl="8" w:tplc="AA9EE2A6" w:tentative="1">
      <w:start w:val="1"/>
      <w:numFmt w:val="lowerRoman"/>
      <w:lvlText w:val="%9."/>
      <w:lvlJc w:val="right"/>
      <w:pPr>
        <w:ind w:left="6480" w:hanging="180"/>
      </w:pPr>
    </w:lvl>
  </w:abstractNum>
  <w:abstractNum w:abstractNumId="1">
    <w:nsid w:val="73990993"/>
    <w:multiLevelType w:val="hybridMultilevel"/>
    <w:tmpl w:val="3BD822EE"/>
    <w:lvl w:ilvl="0" w:tplc="21762DF8">
      <w:start w:val="1"/>
      <w:numFmt w:val="decimal"/>
      <w:lvlText w:val="%1."/>
      <w:lvlJc w:val="left"/>
      <w:pPr>
        <w:ind w:left="360" w:hanging="360"/>
      </w:pPr>
      <w:rPr>
        <w:b w:val="0"/>
      </w:rPr>
    </w:lvl>
    <w:lvl w:ilvl="1" w:tplc="0440899C" w:tentative="1">
      <w:start w:val="1"/>
      <w:numFmt w:val="lowerLetter"/>
      <w:lvlText w:val="%2."/>
      <w:lvlJc w:val="left"/>
      <w:pPr>
        <w:ind w:left="1080" w:hanging="360"/>
      </w:pPr>
    </w:lvl>
    <w:lvl w:ilvl="2" w:tplc="CCF20FB6" w:tentative="1">
      <w:start w:val="1"/>
      <w:numFmt w:val="lowerRoman"/>
      <w:lvlText w:val="%3."/>
      <w:lvlJc w:val="right"/>
      <w:pPr>
        <w:ind w:left="1800" w:hanging="180"/>
      </w:pPr>
    </w:lvl>
    <w:lvl w:ilvl="3" w:tplc="F4BC68F4" w:tentative="1">
      <w:start w:val="1"/>
      <w:numFmt w:val="decimal"/>
      <w:lvlText w:val="%4."/>
      <w:lvlJc w:val="left"/>
      <w:pPr>
        <w:ind w:left="2520" w:hanging="360"/>
      </w:pPr>
    </w:lvl>
    <w:lvl w:ilvl="4" w:tplc="BC3CF58A" w:tentative="1">
      <w:start w:val="1"/>
      <w:numFmt w:val="lowerLetter"/>
      <w:lvlText w:val="%5."/>
      <w:lvlJc w:val="left"/>
      <w:pPr>
        <w:ind w:left="3240" w:hanging="360"/>
      </w:pPr>
    </w:lvl>
    <w:lvl w:ilvl="5" w:tplc="319EFBD6" w:tentative="1">
      <w:start w:val="1"/>
      <w:numFmt w:val="lowerRoman"/>
      <w:lvlText w:val="%6."/>
      <w:lvlJc w:val="right"/>
      <w:pPr>
        <w:ind w:left="3960" w:hanging="180"/>
      </w:pPr>
    </w:lvl>
    <w:lvl w:ilvl="6" w:tplc="CC28D0CE" w:tentative="1">
      <w:start w:val="1"/>
      <w:numFmt w:val="decimal"/>
      <w:lvlText w:val="%7."/>
      <w:lvlJc w:val="left"/>
      <w:pPr>
        <w:ind w:left="4680" w:hanging="360"/>
      </w:pPr>
    </w:lvl>
    <w:lvl w:ilvl="7" w:tplc="03BC9080" w:tentative="1">
      <w:start w:val="1"/>
      <w:numFmt w:val="lowerLetter"/>
      <w:lvlText w:val="%8."/>
      <w:lvlJc w:val="left"/>
      <w:pPr>
        <w:ind w:left="5400" w:hanging="360"/>
      </w:pPr>
    </w:lvl>
    <w:lvl w:ilvl="8" w:tplc="00A04DB8"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2B"/>
    <w:rsid w:val="00040D60"/>
    <w:rsid w:val="0011652B"/>
    <w:rsid w:val="003C59CB"/>
    <w:rsid w:val="00434494"/>
    <w:rsid w:val="004659B3"/>
    <w:rsid w:val="00652A0C"/>
    <w:rsid w:val="006C2335"/>
    <w:rsid w:val="007D705E"/>
    <w:rsid w:val="008A0E05"/>
    <w:rsid w:val="00981B00"/>
    <w:rsid w:val="00A25898"/>
    <w:rsid w:val="00A31313"/>
    <w:rsid w:val="00B9195E"/>
    <w:rsid w:val="00B95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B128"/>
  <w15:docId w15:val="{635A2E83-9847-40B7-A226-BEF3271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JE6N4JFJXNNF-9-67912</_dlc_DocId>
    <_dlc_DocIdUrl xmlns="8b66ae41-1ec6-402e-b662-35d1932ca064">
      <Url>http://rkdhs-sb/enhet/EUKansli/_layouts/DocIdRedir.aspx?ID=JE6N4JFJXNNF-9-67912</Url>
      <Description>JE6N4JFJXNNF-9-67912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292E3-2AFC-4812-9223-0FA27F59ACE7}">
  <ds:schemaRefs>
    <ds:schemaRef ds:uri="http://schemas.microsoft.com/sharepoint/v3/contenttype/forms"/>
  </ds:schemaRefs>
</ds:datastoreItem>
</file>

<file path=customXml/itemProps2.xml><?xml version="1.0" encoding="utf-8"?>
<ds:datastoreItem xmlns:ds="http://schemas.openxmlformats.org/officeDocument/2006/customXml" ds:itemID="{9E0278E1-AC98-497A-9301-849D53C89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5A7BE-51D4-4A2C-9F74-4796D0B14B66}">
  <ds:schemaRefs>
    <ds:schemaRef ds:uri="http://schemas.microsoft.com/sharepoint/events"/>
  </ds:schemaRefs>
</ds:datastoreItem>
</file>

<file path=customXml/itemProps4.xml><?xml version="1.0" encoding="utf-8"?>
<ds:datastoreItem xmlns:ds="http://schemas.openxmlformats.org/officeDocument/2006/customXml" ds:itemID="{EF6C43A4-785A-460F-B223-BFA85074E377}">
  <ds:schemaRefs>
    <ds:schemaRef ds:uri="http://schemas.microsoft.com/office/2006/metadata/customXsn"/>
  </ds:schemaRefs>
</ds:datastoreItem>
</file>

<file path=customXml/itemProps5.xml><?xml version="1.0" encoding="utf-8"?>
<ds:datastoreItem xmlns:ds="http://schemas.openxmlformats.org/officeDocument/2006/customXml" ds:itemID="{6E4887D3-CA3F-4EA7-A389-73698AC71462}">
  <ds:schemaRefs>
    <ds:schemaRef ds:uri="http://schemas.microsoft.com/sharepoint/v3/contenttype/forms/url"/>
  </ds:schemaRefs>
</ds:datastoreItem>
</file>

<file path=customXml/itemProps6.xml><?xml version="1.0" encoding="utf-8"?>
<ds:datastoreItem xmlns:ds="http://schemas.openxmlformats.org/officeDocument/2006/customXml" ds:itemID="{0D79A5CE-7596-4780-8E12-4D39A4406CC5}">
  <ds:schemaRef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9B95B4D9-6FD1-4583-8D66-03DB495A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1729</Words>
  <Characters>9757</Characters>
  <Application>Microsoft Office Word</Application>
  <DocSecurity>4</DocSecurity>
  <Lines>3252</Lines>
  <Paragraphs>425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2015-05-12T15:16:00Z</dcterms:created>
  <dcterms:modified xsi:type="dcterms:W3CDTF">2015-05-12T15:16:00Z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4ef9a14b-0ae6-4696-a0fd-b86fc3782c2a</vt:lpwstr>
  </property>
</Properties>
</file>