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36B18" w14:textId="77777777" w:rsidR="00FB32B9" w:rsidRDefault="00443C5B" w:rsidP="00FB32B9">
      <w:pPr>
        <w:pStyle w:val="UDrubrik"/>
        <w:tabs>
          <w:tab w:val="left" w:pos="1701"/>
          <w:tab w:val="left" w:pos="1985"/>
        </w:tabs>
        <w:rPr>
          <w:rFonts w:cs="Arial"/>
          <w:sz w:val="28"/>
        </w:rPr>
      </w:pPr>
      <w:bookmarkStart w:id="0" w:name="_GoBack"/>
      <w:bookmarkEnd w:id="0"/>
    </w:p>
    <w:p w14:paraId="7AB36B19" w14:textId="77777777" w:rsidR="00FB32B9" w:rsidRDefault="00443C5B" w:rsidP="00FB32B9">
      <w:pPr>
        <w:pStyle w:val="UDrubrik"/>
        <w:tabs>
          <w:tab w:val="left" w:pos="1701"/>
          <w:tab w:val="left" w:pos="1985"/>
        </w:tabs>
        <w:rPr>
          <w:rFonts w:cs="Arial"/>
          <w:sz w:val="28"/>
        </w:rPr>
      </w:pPr>
    </w:p>
    <w:p w14:paraId="7AB36B1A" w14:textId="77777777" w:rsidR="00FB32B9" w:rsidRDefault="00443C5B" w:rsidP="00FB32B9">
      <w:pPr>
        <w:pStyle w:val="UDrubrik"/>
        <w:tabs>
          <w:tab w:val="left" w:pos="1701"/>
          <w:tab w:val="left" w:pos="1985"/>
        </w:tabs>
        <w:rPr>
          <w:rFonts w:cs="Arial"/>
          <w:sz w:val="28"/>
        </w:rPr>
      </w:pPr>
    </w:p>
    <w:p w14:paraId="7AB36B1B" w14:textId="77777777" w:rsidR="00FB32B9" w:rsidRDefault="00443C5B" w:rsidP="00FB32B9">
      <w:pPr>
        <w:pStyle w:val="UDrubrik"/>
        <w:tabs>
          <w:tab w:val="left" w:pos="1701"/>
          <w:tab w:val="left" w:pos="1985"/>
        </w:tabs>
        <w:rPr>
          <w:rFonts w:cs="Arial"/>
          <w:sz w:val="28"/>
        </w:rPr>
      </w:pPr>
    </w:p>
    <w:p w14:paraId="7AB36B1C" w14:textId="336DA38D" w:rsidR="00FB32B9" w:rsidRDefault="00AD3112" w:rsidP="00FB32B9">
      <w:pPr>
        <w:pStyle w:val="UDrubrik"/>
        <w:tabs>
          <w:tab w:val="left" w:pos="1701"/>
          <w:tab w:val="left" w:pos="1985"/>
        </w:tabs>
        <w:rPr>
          <w:rFonts w:cs="Arial"/>
          <w:sz w:val="28"/>
        </w:rPr>
      </w:pPr>
      <w:r>
        <w:rPr>
          <w:rFonts w:cs="Arial"/>
          <w:sz w:val="28"/>
        </w:rPr>
        <w:t xml:space="preserve">Troliga A-punkter inför kommande rådsmöten som </w:t>
      </w:r>
      <w:r w:rsidR="001C2A71">
        <w:rPr>
          <w:rFonts w:cs="Arial"/>
          <w:sz w:val="28"/>
        </w:rPr>
        <w:t xml:space="preserve">godkändes vid </w:t>
      </w:r>
      <w:r>
        <w:rPr>
          <w:rFonts w:cs="Arial"/>
          <w:sz w:val="28"/>
        </w:rPr>
        <w:t>Coreper II vecka</w:t>
      </w:r>
      <w:r w:rsidR="001C2A71">
        <w:rPr>
          <w:rFonts w:cs="Arial"/>
          <w:sz w:val="28"/>
        </w:rPr>
        <w:t xml:space="preserve"> 4.</w:t>
      </w:r>
    </w:p>
    <w:p w14:paraId="7AB36B1D" w14:textId="77777777" w:rsidR="00FB32B9" w:rsidRDefault="00443C5B" w:rsidP="00FB32B9">
      <w:pPr>
        <w:pStyle w:val="Brdtext"/>
      </w:pPr>
    </w:p>
    <w:p w14:paraId="7AB36B1E" w14:textId="7E8E08F7" w:rsidR="00FB32B9" w:rsidRDefault="00AD3112" w:rsidP="00FB32B9">
      <w:pPr>
        <w:pStyle w:val="Brdtext"/>
      </w:pPr>
      <w:r>
        <w:t xml:space="preserve">Överlämnas för skriftligt samråd till </w:t>
      </w:r>
      <w:r w:rsidR="001C2A71">
        <w:t>fredagen den 29 januari 2016, kl 12.00.</w:t>
      </w:r>
    </w:p>
    <w:p w14:paraId="7AB36B1F" w14:textId="77777777" w:rsidR="00FB32B9" w:rsidRDefault="00AD3112">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7AB36B20" w14:textId="77777777" w:rsidR="00D957FB" w:rsidRPr="00FB32B9" w:rsidRDefault="00AD3112">
          <w:pPr>
            <w:pStyle w:val="Innehllsfrteckningsrubrik"/>
            <w:rPr>
              <w:color w:val="auto"/>
            </w:rPr>
          </w:pPr>
          <w:r w:rsidRPr="00FB32B9">
            <w:rPr>
              <w:color w:val="auto"/>
            </w:rPr>
            <w:t>Innehållsförteckning</w:t>
          </w:r>
        </w:p>
        <w:p w14:paraId="7AB36B21" w14:textId="77777777" w:rsidR="00DA7250" w:rsidRPr="00DA7250" w:rsidRDefault="00443C5B" w:rsidP="00DA7250">
          <w:pPr>
            <w:rPr>
              <w:lang w:val="en-US" w:eastAsia="ja-JP"/>
            </w:rPr>
          </w:pPr>
        </w:p>
        <w:p w14:paraId="243C4A16" w14:textId="77777777" w:rsidR="00AD3112" w:rsidRDefault="00AD3112">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41657654" w:history="1">
            <w:r w:rsidRPr="000A3518">
              <w:rPr>
                <w:rStyle w:val="Hyperlnk"/>
                <w:noProof/>
              </w:rPr>
              <w:t>1.</w:t>
            </w:r>
            <w:r>
              <w:rPr>
                <w:rFonts w:asciiTheme="minorHAnsi" w:eastAsiaTheme="minorEastAsia" w:hAnsiTheme="minorHAnsi" w:cstheme="minorBidi"/>
                <w:noProof/>
                <w:lang w:eastAsia="sv-SE"/>
              </w:rPr>
              <w:tab/>
            </w:r>
            <w:r w:rsidRPr="000A3518">
              <w:rPr>
                <w:rStyle w:val="Hyperlnk"/>
                <w:noProof/>
              </w:rPr>
              <w:t>Case before the General Court of the European Union</w:t>
            </w:r>
            <w:r>
              <w:rPr>
                <w:noProof/>
                <w:webHidden/>
              </w:rPr>
              <w:tab/>
            </w:r>
            <w:r>
              <w:rPr>
                <w:noProof/>
                <w:webHidden/>
              </w:rPr>
              <w:fldChar w:fldCharType="begin"/>
            </w:r>
            <w:r>
              <w:rPr>
                <w:noProof/>
                <w:webHidden/>
              </w:rPr>
              <w:instrText xml:space="preserve"> PAGEREF _Toc441657654 \h </w:instrText>
            </w:r>
            <w:r>
              <w:rPr>
                <w:noProof/>
                <w:webHidden/>
              </w:rPr>
            </w:r>
            <w:r>
              <w:rPr>
                <w:noProof/>
                <w:webHidden/>
              </w:rPr>
              <w:fldChar w:fldCharType="separate"/>
            </w:r>
            <w:r>
              <w:rPr>
                <w:noProof/>
                <w:webHidden/>
              </w:rPr>
              <w:t>3</w:t>
            </w:r>
            <w:r>
              <w:rPr>
                <w:noProof/>
                <w:webHidden/>
              </w:rPr>
              <w:fldChar w:fldCharType="end"/>
            </w:r>
          </w:hyperlink>
        </w:p>
        <w:p w14:paraId="37F2EB5C" w14:textId="77777777" w:rsidR="00AD3112" w:rsidRDefault="00443C5B">
          <w:pPr>
            <w:pStyle w:val="Innehll1"/>
            <w:tabs>
              <w:tab w:val="left" w:pos="440"/>
              <w:tab w:val="right" w:leader="dot" w:pos="9062"/>
            </w:tabs>
            <w:rPr>
              <w:rFonts w:asciiTheme="minorHAnsi" w:eastAsiaTheme="minorEastAsia" w:hAnsiTheme="minorHAnsi" w:cstheme="minorBidi"/>
              <w:noProof/>
              <w:lang w:eastAsia="sv-SE"/>
            </w:rPr>
          </w:pPr>
          <w:hyperlink w:anchor="_Toc441657655" w:history="1">
            <w:r w:rsidR="00AD3112" w:rsidRPr="000A3518">
              <w:rPr>
                <w:rStyle w:val="Hyperlnk"/>
                <w:noProof/>
              </w:rPr>
              <w:t>2.</w:t>
            </w:r>
            <w:r w:rsidR="00AD3112">
              <w:rPr>
                <w:rFonts w:asciiTheme="minorHAnsi" w:eastAsiaTheme="minorEastAsia" w:hAnsiTheme="minorHAnsi" w:cstheme="minorBidi"/>
                <w:noProof/>
                <w:lang w:eastAsia="sv-SE"/>
              </w:rPr>
              <w:tab/>
            </w:r>
            <w:r w:rsidR="00AD3112" w:rsidRPr="000A3518">
              <w:rPr>
                <w:rStyle w:val="Hyperlnk"/>
                <w:noProof/>
              </w:rPr>
              <w:t>Case before the EU General Court</w:t>
            </w:r>
            <w:r w:rsidR="00AD3112">
              <w:rPr>
                <w:noProof/>
                <w:webHidden/>
              </w:rPr>
              <w:tab/>
            </w:r>
            <w:r w:rsidR="00AD3112">
              <w:rPr>
                <w:noProof/>
                <w:webHidden/>
              </w:rPr>
              <w:fldChar w:fldCharType="begin"/>
            </w:r>
            <w:r w:rsidR="00AD3112">
              <w:rPr>
                <w:noProof/>
                <w:webHidden/>
              </w:rPr>
              <w:instrText xml:space="preserve"> PAGEREF _Toc441657655 \h </w:instrText>
            </w:r>
            <w:r w:rsidR="00AD3112">
              <w:rPr>
                <w:noProof/>
                <w:webHidden/>
              </w:rPr>
            </w:r>
            <w:r w:rsidR="00AD3112">
              <w:rPr>
                <w:noProof/>
                <w:webHidden/>
              </w:rPr>
              <w:fldChar w:fldCharType="separate"/>
            </w:r>
            <w:r w:rsidR="00AD3112">
              <w:rPr>
                <w:noProof/>
                <w:webHidden/>
              </w:rPr>
              <w:t>3</w:t>
            </w:r>
            <w:r w:rsidR="00AD3112">
              <w:rPr>
                <w:noProof/>
                <w:webHidden/>
              </w:rPr>
              <w:fldChar w:fldCharType="end"/>
            </w:r>
          </w:hyperlink>
        </w:p>
        <w:p w14:paraId="7D3BF931" w14:textId="77777777" w:rsidR="00AD3112" w:rsidRDefault="00443C5B">
          <w:pPr>
            <w:pStyle w:val="Innehll1"/>
            <w:tabs>
              <w:tab w:val="left" w:pos="440"/>
              <w:tab w:val="right" w:leader="dot" w:pos="9062"/>
            </w:tabs>
            <w:rPr>
              <w:rFonts w:asciiTheme="minorHAnsi" w:eastAsiaTheme="minorEastAsia" w:hAnsiTheme="minorHAnsi" w:cstheme="minorBidi"/>
              <w:noProof/>
              <w:lang w:eastAsia="sv-SE"/>
            </w:rPr>
          </w:pPr>
          <w:hyperlink w:anchor="_Toc441657656" w:history="1">
            <w:r w:rsidR="00AD3112" w:rsidRPr="000A3518">
              <w:rPr>
                <w:rStyle w:val="Hyperlnk"/>
                <w:noProof/>
              </w:rPr>
              <w:t>3.</w:t>
            </w:r>
            <w:r w:rsidR="00AD3112">
              <w:rPr>
                <w:rFonts w:asciiTheme="minorHAnsi" w:eastAsiaTheme="minorEastAsia" w:hAnsiTheme="minorHAnsi" w:cstheme="minorBidi"/>
                <w:noProof/>
                <w:lang w:eastAsia="sv-SE"/>
              </w:rPr>
              <w:tab/>
            </w:r>
            <w:r w:rsidR="00AD3112" w:rsidRPr="000A3518">
              <w:rPr>
                <w:rStyle w:val="Hyperlnk"/>
                <w:noProof/>
              </w:rPr>
              <w:t>Draft Council Regulation (EU) No …/2016 determining the emoluments of EU high-level public office holders</w:t>
            </w:r>
            <w:r w:rsidR="00AD3112">
              <w:rPr>
                <w:noProof/>
                <w:webHidden/>
              </w:rPr>
              <w:tab/>
            </w:r>
            <w:r w:rsidR="00AD3112">
              <w:rPr>
                <w:noProof/>
                <w:webHidden/>
              </w:rPr>
              <w:fldChar w:fldCharType="begin"/>
            </w:r>
            <w:r w:rsidR="00AD3112">
              <w:rPr>
                <w:noProof/>
                <w:webHidden/>
              </w:rPr>
              <w:instrText xml:space="preserve"> PAGEREF _Toc441657656 \h </w:instrText>
            </w:r>
            <w:r w:rsidR="00AD3112">
              <w:rPr>
                <w:noProof/>
                <w:webHidden/>
              </w:rPr>
            </w:r>
            <w:r w:rsidR="00AD3112">
              <w:rPr>
                <w:noProof/>
                <w:webHidden/>
              </w:rPr>
              <w:fldChar w:fldCharType="separate"/>
            </w:r>
            <w:r w:rsidR="00AD3112">
              <w:rPr>
                <w:noProof/>
                <w:webHidden/>
              </w:rPr>
              <w:t>3</w:t>
            </w:r>
            <w:r w:rsidR="00AD3112">
              <w:rPr>
                <w:noProof/>
                <w:webHidden/>
              </w:rPr>
              <w:fldChar w:fldCharType="end"/>
            </w:r>
          </w:hyperlink>
        </w:p>
        <w:p w14:paraId="00D3C5AA" w14:textId="77777777" w:rsidR="00AD3112" w:rsidRDefault="00443C5B">
          <w:pPr>
            <w:pStyle w:val="Innehll1"/>
            <w:tabs>
              <w:tab w:val="left" w:pos="440"/>
              <w:tab w:val="right" w:leader="dot" w:pos="9062"/>
            </w:tabs>
            <w:rPr>
              <w:rFonts w:asciiTheme="minorHAnsi" w:eastAsiaTheme="minorEastAsia" w:hAnsiTheme="minorHAnsi" w:cstheme="minorBidi"/>
              <w:noProof/>
              <w:lang w:eastAsia="sv-SE"/>
            </w:rPr>
          </w:pPr>
          <w:hyperlink w:anchor="_Toc441657657" w:history="1">
            <w:r w:rsidR="00AD3112" w:rsidRPr="000A3518">
              <w:rPr>
                <w:rStyle w:val="Hyperlnk"/>
                <w:noProof/>
              </w:rPr>
              <w:t>4.</w:t>
            </w:r>
            <w:r w:rsidR="00AD3112">
              <w:rPr>
                <w:rFonts w:asciiTheme="minorHAnsi" w:eastAsiaTheme="minorEastAsia" w:hAnsiTheme="minorHAnsi" w:cstheme="minorBidi"/>
                <w:noProof/>
                <w:lang w:eastAsia="sv-SE"/>
              </w:rPr>
              <w:tab/>
            </w:r>
            <w:r w:rsidR="00AD3112" w:rsidRPr="000A3518">
              <w:rPr>
                <w:rStyle w:val="Hyperlnk"/>
                <w:noProof/>
              </w:rPr>
              <w:t>Council Decision on the signing, on behalf of the European Union, and provisional application of the Agreement between the European Union and the People's Republic of China on the short-stay visa waiver for holders of diplomatic passports =Adoption -Council Decision on the conclusion of the Agreement between the European Union and the People's Republic of China on the short-stay visa waiver for holders of diplomatic aspects</w:t>
            </w:r>
            <w:r w:rsidR="00AD3112">
              <w:rPr>
                <w:noProof/>
                <w:webHidden/>
              </w:rPr>
              <w:tab/>
            </w:r>
            <w:r w:rsidR="00AD3112">
              <w:rPr>
                <w:noProof/>
                <w:webHidden/>
              </w:rPr>
              <w:fldChar w:fldCharType="begin"/>
            </w:r>
            <w:r w:rsidR="00AD3112">
              <w:rPr>
                <w:noProof/>
                <w:webHidden/>
              </w:rPr>
              <w:instrText xml:space="preserve"> PAGEREF _Toc441657657 \h </w:instrText>
            </w:r>
            <w:r w:rsidR="00AD3112">
              <w:rPr>
                <w:noProof/>
                <w:webHidden/>
              </w:rPr>
            </w:r>
            <w:r w:rsidR="00AD3112">
              <w:rPr>
                <w:noProof/>
                <w:webHidden/>
              </w:rPr>
              <w:fldChar w:fldCharType="separate"/>
            </w:r>
            <w:r w:rsidR="00AD3112">
              <w:rPr>
                <w:noProof/>
                <w:webHidden/>
              </w:rPr>
              <w:t>4</w:t>
            </w:r>
            <w:r w:rsidR="00AD3112">
              <w:rPr>
                <w:noProof/>
                <w:webHidden/>
              </w:rPr>
              <w:fldChar w:fldCharType="end"/>
            </w:r>
          </w:hyperlink>
        </w:p>
        <w:p w14:paraId="5752BDC8" w14:textId="77777777" w:rsidR="00AD3112" w:rsidRDefault="00443C5B">
          <w:pPr>
            <w:pStyle w:val="Innehll1"/>
            <w:tabs>
              <w:tab w:val="left" w:pos="440"/>
              <w:tab w:val="right" w:leader="dot" w:pos="9062"/>
            </w:tabs>
            <w:rPr>
              <w:rFonts w:asciiTheme="minorHAnsi" w:eastAsiaTheme="minorEastAsia" w:hAnsiTheme="minorHAnsi" w:cstheme="minorBidi"/>
              <w:noProof/>
              <w:lang w:eastAsia="sv-SE"/>
            </w:rPr>
          </w:pPr>
          <w:hyperlink w:anchor="_Toc441657658" w:history="1">
            <w:r w:rsidR="00AD3112" w:rsidRPr="000A3518">
              <w:rPr>
                <w:rStyle w:val="Hyperlnk"/>
                <w:noProof/>
              </w:rPr>
              <w:t>5.</w:t>
            </w:r>
            <w:r w:rsidR="00AD3112">
              <w:rPr>
                <w:rFonts w:asciiTheme="minorHAnsi" w:eastAsiaTheme="minorEastAsia" w:hAnsiTheme="minorHAnsi" w:cstheme="minorBidi"/>
                <w:noProof/>
                <w:lang w:eastAsia="sv-SE"/>
              </w:rPr>
              <w:tab/>
            </w:r>
            <w:r w:rsidR="00AD3112" w:rsidRPr="000A3518">
              <w:rPr>
                <w:rStyle w:val="Hyperlnk"/>
                <w:noProof/>
              </w:rPr>
              <w:t>Draft Council implementing Decision approving the conclusion by Eurojust of the draft Memorandum of Understanding between Eurojust and OHIM</w:t>
            </w:r>
            <w:r w:rsidR="00AD3112">
              <w:rPr>
                <w:noProof/>
                <w:webHidden/>
              </w:rPr>
              <w:tab/>
            </w:r>
            <w:r w:rsidR="00AD3112">
              <w:rPr>
                <w:noProof/>
                <w:webHidden/>
              </w:rPr>
              <w:fldChar w:fldCharType="begin"/>
            </w:r>
            <w:r w:rsidR="00AD3112">
              <w:rPr>
                <w:noProof/>
                <w:webHidden/>
              </w:rPr>
              <w:instrText xml:space="preserve"> PAGEREF _Toc441657658 \h </w:instrText>
            </w:r>
            <w:r w:rsidR="00AD3112">
              <w:rPr>
                <w:noProof/>
                <w:webHidden/>
              </w:rPr>
            </w:r>
            <w:r w:rsidR="00AD3112">
              <w:rPr>
                <w:noProof/>
                <w:webHidden/>
              </w:rPr>
              <w:fldChar w:fldCharType="separate"/>
            </w:r>
            <w:r w:rsidR="00AD3112">
              <w:rPr>
                <w:noProof/>
                <w:webHidden/>
              </w:rPr>
              <w:t>5</w:t>
            </w:r>
            <w:r w:rsidR="00AD3112">
              <w:rPr>
                <w:noProof/>
                <w:webHidden/>
              </w:rPr>
              <w:fldChar w:fldCharType="end"/>
            </w:r>
          </w:hyperlink>
        </w:p>
        <w:p w14:paraId="1C479640" w14:textId="77777777" w:rsidR="00AD3112" w:rsidRDefault="00443C5B">
          <w:pPr>
            <w:pStyle w:val="Innehll1"/>
            <w:tabs>
              <w:tab w:val="left" w:pos="440"/>
              <w:tab w:val="right" w:leader="dot" w:pos="9062"/>
            </w:tabs>
            <w:rPr>
              <w:rFonts w:asciiTheme="minorHAnsi" w:eastAsiaTheme="minorEastAsia" w:hAnsiTheme="minorHAnsi" w:cstheme="minorBidi"/>
              <w:noProof/>
              <w:lang w:eastAsia="sv-SE"/>
            </w:rPr>
          </w:pPr>
          <w:hyperlink w:anchor="_Toc441657659" w:history="1">
            <w:r w:rsidR="00AD3112" w:rsidRPr="000A3518">
              <w:rPr>
                <w:rStyle w:val="Hyperlnk"/>
                <w:noProof/>
              </w:rPr>
              <w:t>6.</w:t>
            </w:r>
            <w:r w:rsidR="00AD3112">
              <w:rPr>
                <w:rFonts w:asciiTheme="minorHAnsi" w:eastAsiaTheme="minorEastAsia" w:hAnsiTheme="minorHAnsi" w:cstheme="minorBidi"/>
                <w:noProof/>
                <w:lang w:eastAsia="sv-SE"/>
              </w:rPr>
              <w:tab/>
            </w:r>
            <w:r w:rsidR="00AD3112" w:rsidRPr="000A3518">
              <w:rPr>
                <w:rStyle w:val="Hyperlnk"/>
                <w:noProof/>
              </w:rPr>
              <w:t>Council Decision on the position to be adopted, on behalf of the European Union, in the EEA Joint Committee concerning an amendment to Annex XI (Electronic communication, audiovisual services and information society) to the EEA Agreement (ultra-wind band)</w:t>
            </w:r>
            <w:r w:rsidR="00AD3112">
              <w:rPr>
                <w:noProof/>
                <w:webHidden/>
              </w:rPr>
              <w:tab/>
            </w:r>
            <w:r w:rsidR="00AD3112">
              <w:rPr>
                <w:noProof/>
                <w:webHidden/>
              </w:rPr>
              <w:fldChar w:fldCharType="begin"/>
            </w:r>
            <w:r w:rsidR="00AD3112">
              <w:rPr>
                <w:noProof/>
                <w:webHidden/>
              </w:rPr>
              <w:instrText xml:space="preserve"> PAGEREF _Toc441657659 \h </w:instrText>
            </w:r>
            <w:r w:rsidR="00AD3112">
              <w:rPr>
                <w:noProof/>
                <w:webHidden/>
              </w:rPr>
            </w:r>
            <w:r w:rsidR="00AD3112">
              <w:rPr>
                <w:noProof/>
                <w:webHidden/>
              </w:rPr>
              <w:fldChar w:fldCharType="separate"/>
            </w:r>
            <w:r w:rsidR="00AD3112">
              <w:rPr>
                <w:noProof/>
                <w:webHidden/>
              </w:rPr>
              <w:t>5</w:t>
            </w:r>
            <w:r w:rsidR="00AD3112">
              <w:rPr>
                <w:noProof/>
                <w:webHidden/>
              </w:rPr>
              <w:fldChar w:fldCharType="end"/>
            </w:r>
          </w:hyperlink>
        </w:p>
        <w:p w14:paraId="015BC61B" w14:textId="77777777" w:rsidR="00AD3112" w:rsidRDefault="00443C5B">
          <w:pPr>
            <w:pStyle w:val="Innehll1"/>
            <w:tabs>
              <w:tab w:val="left" w:pos="440"/>
              <w:tab w:val="right" w:leader="dot" w:pos="9062"/>
            </w:tabs>
            <w:rPr>
              <w:rFonts w:asciiTheme="minorHAnsi" w:eastAsiaTheme="minorEastAsia" w:hAnsiTheme="minorHAnsi" w:cstheme="minorBidi"/>
              <w:noProof/>
              <w:lang w:eastAsia="sv-SE"/>
            </w:rPr>
          </w:pPr>
          <w:hyperlink w:anchor="_Toc441657660" w:history="1">
            <w:r w:rsidR="00AD3112" w:rsidRPr="000A3518">
              <w:rPr>
                <w:rStyle w:val="Hyperlnk"/>
                <w:noProof/>
              </w:rPr>
              <w:t>7.</w:t>
            </w:r>
            <w:r w:rsidR="00AD3112">
              <w:rPr>
                <w:rFonts w:asciiTheme="minorHAnsi" w:eastAsiaTheme="minorEastAsia" w:hAnsiTheme="minorHAnsi" w:cstheme="minorBidi"/>
                <w:noProof/>
                <w:lang w:eastAsia="sv-SE"/>
              </w:rPr>
              <w:tab/>
            </w:r>
            <w:r w:rsidR="00AD3112" w:rsidRPr="000A3518">
              <w:rPr>
                <w:rStyle w:val="Hyperlnk"/>
                <w:noProof/>
              </w:rPr>
              <w:t>Council Decision on the position to be adopted, on behalf of the European Union, in the EEA Joint Committee concerning an amendment to Annex XXI (Statistics) to the EEA Agreement (health care expenditure statistics)</w:t>
            </w:r>
            <w:r w:rsidR="00AD3112">
              <w:rPr>
                <w:noProof/>
                <w:webHidden/>
              </w:rPr>
              <w:tab/>
            </w:r>
            <w:r w:rsidR="00AD3112">
              <w:rPr>
                <w:noProof/>
                <w:webHidden/>
              </w:rPr>
              <w:fldChar w:fldCharType="begin"/>
            </w:r>
            <w:r w:rsidR="00AD3112">
              <w:rPr>
                <w:noProof/>
                <w:webHidden/>
              </w:rPr>
              <w:instrText xml:space="preserve"> PAGEREF _Toc441657660 \h </w:instrText>
            </w:r>
            <w:r w:rsidR="00AD3112">
              <w:rPr>
                <w:noProof/>
                <w:webHidden/>
              </w:rPr>
            </w:r>
            <w:r w:rsidR="00AD3112">
              <w:rPr>
                <w:noProof/>
                <w:webHidden/>
              </w:rPr>
              <w:fldChar w:fldCharType="separate"/>
            </w:r>
            <w:r w:rsidR="00AD3112">
              <w:rPr>
                <w:noProof/>
                <w:webHidden/>
              </w:rPr>
              <w:t>6</w:t>
            </w:r>
            <w:r w:rsidR="00AD3112">
              <w:rPr>
                <w:noProof/>
                <w:webHidden/>
              </w:rPr>
              <w:fldChar w:fldCharType="end"/>
            </w:r>
          </w:hyperlink>
        </w:p>
        <w:p w14:paraId="38CBBDC5" w14:textId="77777777" w:rsidR="00AD3112" w:rsidRDefault="00443C5B">
          <w:pPr>
            <w:pStyle w:val="Innehll1"/>
            <w:tabs>
              <w:tab w:val="left" w:pos="440"/>
              <w:tab w:val="right" w:leader="dot" w:pos="9062"/>
            </w:tabs>
            <w:rPr>
              <w:rFonts w:asciiTheme="minorHAnsi" w:eastAsiaTheme="minorEastAsia" w:hAnsiTheme="minorHAnsi" w:cstheme="minorBidi"/>
              <w:noProof/>
              <w:lang w:eastAsia="sv-SE"/>
            </w:rPr>
          </w:pPr>
          <w:hyperlink w:anchor="_Toc441657661" w:history="1">
            <w:r w:rsidR="00AD3112" w:rsidRPr="000A3518">
              <w:rPr>
                <w:rStyle w:val="Hyperlnk"/>
                <w:noProof/>
              </w:rPr>
              <w:t>8.</w:t>
            </w:r>
            <w:r w:rsidR="00AD3112">
              <w:rPr>
                <w:rFonts w:asciiTheme="minorHAnsi" w:eastAsiaTheme="minorEastAsia" w:hAnsiTheme="minorHAnsi" w:cstheme="minorBidi"/>
                <w:noProof/>
                <w:lang w:eastAsia="sv-SE"/>
              </w:rPr>
              <w:tab/>
            </w:r>
            <w:r w:rsidR="00AD3112" w:rsidRPr="000A3518">
              <w:rPr>
                <w:rStyle w:val="Hyperlnk"/>
                <w:noProof/>
              </w:rPr>
              <w:t>Draft Council Decision on the position of the European Union on the Rules of Procedure of the EPA Committee set up by the interim Agreement with a view to an Economic Partnership Agreement between the European Community and its Member States, of the one part, and the Central Africa Party, of the other part</w:t>
            </w:r>
            <w:r w:rsidR="00AD3112">
              <w:rPr>
                <w:noProof/>
                <w:webHidden/>
              </w:rPr>
              <w:tab/>
            </w:r>
            <w:r w:rsidR="00AD3112">
              <w:rPr>
                <w:noProof/>
                <w:webHidden/>
              </w:rPr>
              <w:fldChar w:fldCharType="begin"/>
            </w:r>
            <w:r w:rsidR="00AD3112">
              <w:rPr>
                <w:noProof/>
                <w:webHidden/>
              </w:rPr>
              <w:instrText xml:space="preserve"> PAGEREF _Toc441657661 \h </w:instrText>
            </w:r>
            <w:r w:rsidR="00AD3112">
              <w:rPr>
                <w:noProof/>
                <w:webHidden/>
              </w:rPr>
            </w:r>
            <w:r w:rsidR="00AD3112">
              <w:rPr>
                <w:noProof/>
                <w:webHidden/>
              </w:rPr>
              <w:fldChar w:fldCharType="separate"/>
            </w:r>
            <w:r w:rsidR="00AD3112">
              <w:rPr>
                <w:noProof/>
                <w:webHidden/>
              </w:rPr>
              <w:t>6</w:t>
            </w:r>
            <w:r w:rsidR="00AD3112">
              <w:rPr>
                <w:noProof/>
                <w:webHidden/>
              </w:rPr>
              <w:fldChar w:fldCharType="end"/>
            </w:r>
          </w:hyperlink>
        </w:p>
        <w:p w14:paraId="7AB36B2A" w14:textId="77777777" w:rsidR="00D957FB" w:rsidRDefault="00AD3112">
          <w:r>
            <w:rPr>
              <w:b/>
              <w:bCs/>
              <w:noProof/>
            </w:rPr>
            <w:fldChar w:fldCharType="end"/>
          </w:r>
        </w:p>
      </w:sdtContent>
    </w:sdt>
    <w:p w14:paraId="7AB36B2B" w14:textId="77777777" w:rsidR="00D957FB" w:rsidRDefault="00AD3112">
      <w:pPr>
        <w:ind w:left="0"/>
      </w:pPr>
      <w:r>
        <w:br w:type="page"/>
      </w:r>
    </w:p>
    <w:p w14:paraId="7AB36B2C" w14:textId="77777777" w:rsidR="00643D86" w:rsidRDefault="00443C5B" w:rsidP="00643D86">
      <w:pPr>
        <w:pStyle w:val="Rubrik1"/>
        <w:numPr>
          <w:ilvl w:val="0"/>
          <w:numId w:val="0"/>
        </w:numPr>
      </w:pPr>
      <w:bookmarkStart w:id="1" w:name="_Toc364854645"/>
    </w:p>
    <w:p w14:paraId="7AB36B2D" w14:textId="77777777" w:rsidR="00643D86" w:rsidRDefault="00AD3112" w:rsidP="00643D86">
      <w:pPr>
        <w:pStyle w:val="Rubrik1"/>
      </w:pPr>
      <w:bookmarkStart w:id="2" w:name="_Toc441657654"/>
      <w:r>
        <w:rPr>
          <w:noProof/>
        </w:rPr>
        <w:t>Case before the General Court of the European Union</w:t>
      </w:r>
      <w:bookmarkEnd w:id="2"/>
    </w:p>
    <w:p w14:paraId="7AB36B2E" w14:textId="11456ADC" w:rsidR="00643D86" w:rsidRDefault="00AD3112" w:rsidP="00643D86">
      <w:pPr>
        <w:rPr>
          <w:lang w:val="en-US"/>
        </w:rPr>
      </w:pPr>
      <w:r>
        <w:rPr>
          <w:noProof/>
          <w:lang w:val="en-US"/>
        </w:rPr>
        <w:t>=</w:t>
      </w:r>
      <w:r>
        <w:rPr>
          <w:lang w:val="en-US"/>
        </w:rPr>
        <w:t>Case T-288/15 (Ahmed Abdelaziz Ezz and Others v. Council of the European Union)</w:t>
      </w:r>
      <w:r>
        <w:rPr>
          <w:lang w:val="en-US"/>
        </w:rPr>
        <w:br/>
      </w:r>
      <w:r>
        <w:rPr>
          <w:noProof/>
          <w:lang w:val="en-US"/>
        </w:rPr>
        <w:t>5449</w:t>
      </w:r>
      <w:r>
        <w:rPr>
          <w:lang w:val="en-US"/>
        </w:rPr>
        <w:t>/16 JUR 34 MAMA 14 CFSP/PESC 51</w:t>
      </w:r>
    </w:p>
    <w:p w14:paraId="7AB36B2F" w14:textId="77777777" w:rsidR="00643D86" w:rsidRDefault="00AD3112" w:rsidP="00643D86">
      <w:r>
        <w:rPr>
          <w:b/>
        </w:rPr>
        <w:t>Ansvarigt statsråd</w:t>
      </w:r>
      <w:r>
        <w:rPr>
          <w:b/>
        </w:rPr>
        <w:br/>
      </w:r>
      <w:r>
        <w:rPr>
          <w:noProof/>
        </w:rPr>
        <w:t>Margot Wallström</w:t>
      </w:r>
    </w:p>
    <w:p w14:paraId="7AB36B32" w14:textId="77777777" w:rsidR="00643D86" w:rsidRDefault="00AD3112" w:rsidP="00643D86">
      <w:r w:rsidRPr="00B44CE2">
        <w:rPr>
          <w:b/>
        </w:rPr>
        <w:t>Annotering</w:t>
      </w:r>
      <w:r>
        <w:rPr>
          <w:b/>
        </w:rPr>
        <w:br/>
      </w:r>
      <w:r>
        <w:rPr>
          <w:b/>
          <w:bCs/>
        </w:rPr>
        <w:t>Avsikt med behandlingen i rådet:</w:t>
      </w:r>
      <w:r>
        <w:t xml:space="preserve"> Information om ett mål vid Europeiska unionens tribunal där rådet har utsett ombud.  </w:t>
      </w:r>
    </w:p>
    <w:p w14:paraId="7AB36B33" w14:textId="77777777" w:rsidR="009A13A9" w:rsidRDefault="00AD3112">
      <w:pPr>
        <w:spacing w:after="280" w:afterAutospacing="1"/>
      </w:pPr>
      <w:r>
        <w:rPr>
          <w:b/>
          <w:bCs/>
        </w:rPr>
        <w:t>Hur regeringen ställer sig till den blivande A-punkten:</w:t>
      </w:r>
      <w:r>
        <w:t xml:space="preserve"> Regeringen har ingen erinran mot denna informationspunkt. </w:t>
      </w:r>
    </w:p>
    <w:p w14:paraId="7AB36B35" w14:textId="283CC1D4" w:rsidR="00FB32B9" w:rsidRDefault="00AD3112">
      <w:pPr>
        <w:spacing w:after="280" w:afterAutospacing="1"/>
        <w:rPr>
          <w:noProof/>
        </w:rPr>
      </w:pPr>
      <w:r>
        <w:rPr>
          <w:b/>
          <w:bCs/>
        </w:rPr>
        <w:t>Bakgrund:</w:t>
      </w:r>
      <w:r>
        <w:t xml:space="preserve"> Målet rör en talan om ogiltigförklaring avseende rådets beslut (Gusp) 2015/486 av den 20 mars 2015 om ändring av beslut 2011/172/Gusp om restriktiva åtgärder mot vissa personer, enheter och organ med hänsyn till situationen i Egypten, till den delen detta rör sökanden.</w:t>
      </w:r>
    </w:p>
    <w:p w14:paraId="7AB36B36" w14:textId="77777777" w:rsidR="00643D86" w:rsidRDefault="00AD3112" w:rsidP="00643D86">
      <w:pPr>
        <w:pStyle w:val="Rubrik1"/>
      </w:pPr>
      <w:bookmarkStart w:id="3" w:name="_Toc441657655"/>
      <w:r>
        <w:rPr>
          <w:noProof/>
        </w:rPr>
        <w:t>Case before the EU General Court</w:t>
      </w:r>
      <w:bookmarkEnd w:id="3"/>
    </w:p>
    <w:p w14:paraId="7AB36B37" w14:textId="2723CEF2" w:rsidR="00643D86" w:rsidRPr="00AD3112" w:rsidRDefault="00AD3112" w:rsidP="00643D86">
      <w:pPr>
        <w:rPr>
          <w:lang w:val="en-US"/>
        </w:rPr>
      </w:pPr>
      <w:r>
        <w:rPr>
          <w:noProof/>
          <w:lang w:val="en-US"/>
        </w:rPr>
        <w:t>=</w:t>
      </w:r>
      <w:r>
        <w:rPr>
          <w:lang w:val="en-US"/>
        </w:rPr>
        <w:t>Case T-731/15, Sergiy Klyuyev v. Council</w:t>
      </w:r>
      <w:r w:rsidRPr="001C2A71">
        <w:rPr>
          <w:b/>
          <w:lang w:val="en-US"/>
        </w:rPr>
        <w:br/>
      </w:r>
      <w:r w:rsidRPr="00AD3112">
        <w:rPr>
          <w:noProof/>
          <w:lang w:val="en-US"/>
        </w:rPr>
        <w:t>5469</w:t>
      </w:r>
      <w:r w:rsidRPr="00AD3112">
        <w:rPr>
          <w:lang w:val="en-US"/>
        </w:rPr>
        <w:t>/16 JUR 36 RELEX 46 CFSP/PESC 59 COEST 7</w:t>
      </w:r>
    </w:p>
    <w:p w14:paraId="7AB36B38" w14:textId="77777777" w:rsidR="00643D86" w:rsidRPr="001C2A71" w:rsidRDefault="00AD3112" w:rsidP="00643D86">
      <w:pPr>
        <w:rPr>
          <w:b/>
        </w:rPr>
      </w:pPr>
      <w:r w:rsidRPr="001C2A71">
        <w:rPr>
          <w:b/>
        </w:rPr>
        <w:t>Ansvarigt statsråd</w:t>
      </w:r>
      <w:r w:rsidRPr="001C2A71">
        <w:rPr>
          <w:b/>
        </w:rPr>
        <w:br/>
      </w:r>
      <w:r w:rsidRPr="00AD3112">
        <w:rPr>
          <w:noProof/>
        </w:rPr>
        <w:t>Margot Wallström</w:t>
      </w:r>
    </w:p>
    <w:p w14:paraId="7AB36B3B" w14:textId="77777777" w:rsidR="00643D86" w:rsidRDefault="00AD3112" w:rsidP="00643D86">
      <w:r w:rsidRPr="00B44CE2">
        <w:rPr>
          <w:b/>
        </w:rPr>
        <w:t>Annotering</w:t>
      </w:r>
      <w:r>
        <w:rPr>
          <w:b/>
        </w:rPr>
        <w:br/>
      </w:r>
      <w:r>
        <w:rPr>
          <w:b/>
          <w:bCs/>
        </w:rPr>
        <w:t xml:space="preserve">Avsikt med behandlingen i rådet: </w:t>
      </w:r>
      <w:r>
        <w:t xml:space="preserve">Information om ett mål vid Europeiska unionens tribunal där rådet har utsett ombud.  </w:t>
      </w:r>
    </w:p>
    <w:p w14:paraId="7AB36B3C" w14:textId="77777777" w:rsidR="009A13A9" w:rsidRDefault="00AD3112">
      <w:pPr>
        <w:spacing w:after="280" w:afterAutospacing="1"/>
      </w:pPr>
      <w:r>
        <w:rPr>
          <w:b/>
          <w:bCs/>
        </w:rPr>
        <w:t>Hur regeringen ställer sig till den blivande A-punkten:</w:t>
      </w:r>
      <w:r>
        <w:t xml:space="preserve"> Regeringen har ingen erinran mot denna informationspunkt. </w:t>
      </w:r>
    </w:p>
    <w:p w14:paraId="7AB36B3E" w14:textId="0DD89390" w:rsidR="00FB32B9" w:rsidRDefault="00AD3112">
      <w:pPr>
        <w:spacing w:after="280" w:afterAutospacing="1"/>
        <w:rPr>
          <w:noProof/>
        </w:rPr>
      </w:pPr>
      <w:r>
        <w:rPr>
          <w:b/>
          <w:bCs/>
        </w:rPr>
        <w:t xml:space="preserve">Bakgrund: </w:t>
      </w:r>
      <w:r>
        <w:t>Målet rör en ogiltighetstalan som sökanden har väckt bl.a. mot rådets beslut (Gusp) 2015/1781 av den 5 oktober 2015 om ändring av beslut 2014/119/Gusp om restriktiva åtgärder mot vissa personer, enheter och organ med hänsyn till situationen i Ukraina.</w:t>
      </w:r>
    </w:p>
    <w:p w14:paraId="7AB36B3F" w14:textId="77777777" w:rsidR="00643D86" w:rsidRDefault="00AD3112" w:rsidP="00643D86">
      <w:pPr>
        <w:pStyle w:val="Rubrik1"/>
      </w:pPr>
      <w:bookmarkStart w:id="4" w:name="_Toc441657656"/>
      <w:r>
        <w:rPr>
          <w:noProof/>
        </w:rPr>
        <w:t>Draft Council Regulation (EU) No …/2016 determining the emoluments of EU high-level public office holders</w:t>
      </w:r>
      <w:bookmarkEnd w:id="4"/>
    </w:p>
    <w:p w14:paraId="7AB36B40" w14:textId="056492E4" w:rsidR="00643D86" w:rsidRDefault="00AD3112" w:rsidP="00643D86">
      <w:pPr>
        <w:rPr>
          <w:lang w:val="en-US"/>
        </w:rPr>
      </w:pPr>
      <w:r>
        <w:rPr>
          <w:noProof/>
          <w:lang w:val="en-US"/>
        </w:rPr>
        <w:t>=</w:t>
      </w:r>
      <w:r>
        <w:rPr>
          <w:lang w:val="en-US"/>
        </w:rPr>
        <w:t>Approval</w:t>
      </w:r>
      <w:r>
        <w:rPr>
          <w:lang w:val="en-US"/>
        </w:rPr>
        <w:br/>
      </w:r>
      <w:r>
        <w:rPr>
          <w:noProof/>
          <w:lang w:val="en-US"/>
        </w:rPr>
        <w:t>5406</w:t>
      </w:r>
      <w:r>
        <w:rPr>
          <w:lang w:val="en-US"/>
        </w:rPr>
        <w:t>/16 STAT 3 FIN 35 INST 12 BUDGET 2</w:t>
      </w:r>
    </w:p>
    <w:p w14:paraId="4FA0F435" w14:textId="1F0ACF08" w:rsidR="00AD3112" w:rsidRPr="00AD3112" w:rsidRDefault="00AD3112" w:rsidP="00AD3112">
      <w:r w:rsidRPr="00AD3112">
        <w:rPr>
          <w:b/>
        </w:rPr>
        <w:t>Ansvarigt statsråd</w:t>
      </w:r>
      <w:r w:rsidRPr="00AD3112">
        <w:t>: Ardalan Shekarabi</w:t>
      </w:r>
    </w:p>
    <w:p w14:paraId="7E3213A6" w14:textId="77777777" w:rsidR="00AD3112" w:rsidRPr="00AD3112" w:rsidRDefault="00AD3112" w:rsidP="00AD3112">
      <w:pPr>
        <w:pStyle w:val="RKnormal"/>
        <w:ind w:left="714"/>
        <w:rPr>
          <w:rFonts w:ascii="Times New Roman" w:eastAsia="Calibri" w:hAnsi="Times New Roman"/>
          <w:sz w:val="22"/>
          <w:szCs w:val="22"/>
        </w:rPr>
      </w:pPr>
      <w:r w:rsidRPr="00AD3112">
        <w:rPr>
          <w:rFonts w:ascii="Times New Roman" w:eastAsia="Calibri" w:hAnsi="Times New Roman"/>
          <w:b/>
          <w:sz w:val="22"/>
          <w:szCs w:val="22"/>
        </w:rPr>
        <w:t>Avsikt med behandlingen i rådet</w:t>
      </w:r>
      <w:r w:rsidRPr="00AD3112">
        <w:rPr>
          <w:rFonts w:ascii="Times New Roman" w:eastAsia="Calibri" w:hAnsi="Times New Roman"/>
          <w:sz w:val="22"/>
          <w:szCs w:val="22"/>
        </w:rPr>
        <w:t>: Rådet föreslås anta rådsbeslutet.</w:t>
      </w:r>
    </w:p>
    <w:p w14:paraId="6228B9F1" w14:textId="77777777" w:rsidR="00AD3112" w:rsidRPr="00AD3112" w:rsidRDefault="00AD3112" w:rsidP="00AD3112">
      <w:pPr>
        <w:pStyle w:val="RKnormal"/>
        <w:ind w:left="714"/>
        <w:rPr>
          <w:rFonts w:ascii="Times New Roman" w:eastAsia="Calibri" w:hAnsi="Times New Roman"/>
          <w:sz w:val="22"/>
          <w:szCs w:val="22"/>
        </w:rPr>
      </w:pPr>
    </w:p>
    <w:p w14:paraId="4F724F4E" w14:textId="77777777" w:rsidR="00AD3112" w:rsidRPr="00AD3112" w:rsidRDefault="00AD3112" w:rsidP="00AD3112">
      <w:pPr>
        <w:pStyle w:val="RKnormal"/>
        <w:ind w:left="714"/>
        <w:rPr>
          <w:rFonts w:ascii="Times New Roman" w:eastAsia="Calibri" w:hAnsi="Times New Roman"/>
          <w:sz w:val="22"/>
          <w:szCs w:val="22"/>
        </w:rPr>
      </w:pPr>
      <w:r w:rsidRPr="00AD3112">
        <w:rPr>
          <w:rFonts w:ascii="Times New Roman" w:eastAsia="Calibri" w:hAnsi="Times New Roman"/>
          <w:b/>
          <w:sz w:val="22"/>
          <w:szCs w:val="22"/>
        </w:rPr>
        <w:lastRenderedPageBreak/>
        <w:t>Hur regeringen ställer sig till den blivande A-punkten</w:t>
      </w:r>
      <w:r w:rsidRPr="00AD3112">
        <w:rPr>
          <w:rFonts w:ascii="Times New Roman" w:eastAsia="Calibri" w:hAnsi="Times New Roman"/>
          <w:sz w:val="22"/>
          <w:szCs w:val="22"/>
        </w:rPr>
        <w:t>: Regeringen avser godkänna rådsbeslutet.</w:t>
      </w:r>
    </w:p>
    <w:p w14:paraId="6F594DBB" w14:textId="77777777" w:rsidR="00AD3112" w:rsidRPr="00AD3112" w:rsidRDefault="00AD3112" w:rsidP="00AD3112">
      <w:pPr>
        <w:pStyle w:val="RKnormal"/>
        <w:ind w:left="714"/>
        <w:rPr>
          <w:rFonts w:ascii="Times New Roman" w:eastAsia="Calibri" w:hAnsi="Times New Roman"/>
          <w:sz w:val="22"/>
          <w:szCs w:val="22"/>
        </w:rPr>
      </w:pPr>
    </w:p>
    <w:p w14:paraId="7AB36B41" w14:textId="006EFF90" w:rsidR="00643D86" w:rsidRPr="00AD3112" w:rsidRDefault="00AD3112" w:rsidP="00AD3112">
      <w:pPr>
        <w:pStyle w:val="RKnormal"/>
        <w:ind w:left="714"/>
        <w:rPr>
          <w:rFonts w:ascii="Times New Roman" w:eastAsia="Calibri" w:hAnsi="Times New Roman"/>
          <w:sz w:val="22"/>
          <w:szCs w:val="22"/>
        </w:rPr>
      </w:pPr>
      <w:r w:rsidRPr="00AD3112">
        <w:rPr>
          <w:rFonts w:ascii="Times New Roman" w:eastAsia="Calibri" w:hAnsi="Times New Roman"/>
          <w:b/>
          <w:sz w:val="22"/>
          <w:szCs w:val="22"/>
        </w:rPr>
        <w:t>Bakgrund</w:t>
      </w:r>
      <w:r w:rsidRPr="00AD3112">
        <w:rPr>
          <w:rFonts w:ascii="Times New Roman" w:eastAsia="Calibri" w:hAnsi="Times New Roman"/>
          <w:sz w:val="22"/>
          <w:szCs w:val="22"/>
        </w:rPr>
        <w:t>: Det luxemburgska ordförandeskapet initierade en mindre revision av de förordningar som reglerar villkoren för vissa höga befattningshavare inom EU. Det nederländska ordförandeskapet tog över frågan vid årsskiftet. De ändringar som föreslås innebär bland annat att villkoren regleras i en och samma förordning istället för i flera olika förordningar, vilket förbättrar transparensen. Vidare moderniseras och harmoniseras villkoren i viss utsträckning med vad som gäller för vanliga EU-tjänstemän i enlighet med de så kallade tjänsteföreskrifterna. Mer specifikt innebär ändringarna bland annat att intjänandetakten av pensionsrätter minskas något samtidigt som pensionsåldern kopplas till vad som följer av tjänsteföreskrifterna, att tiden som avgångsvederlag utbetalas kopplas till hur länge befattningshavaren har tjänstgjort samt att reglerna för ersättning av utgifter i samband med flytt till viss del kopplas till vad som följer av tjänsteföreskrifterna.</w:t>
      </w:r>
    </w:p>
    <w:p w14:paraId="7AB36B45" w14:textId="77777777" w:rsidR="00643D86" w:rsidRDefault="00AD3112" w:rsidP="00643D86">
      <w:pPr>
        <w:pStyle w:val="Rubrik1"/>
      </w:pPr>
      <w:bookmarkStart w:id="5" w:name="_Toc441657657"/>
      <w:r>
        <w:rPr>
          <w:noProof/>
        </w:rPr>
        <w:t>Council Decision on the signing, on behalf of the European Union, and provisional application of the Agreement between the European Union and the People's Republic of China on the short-stay visa waiver for holders of diplomatic passports</w:t>
      </w:r>
      <w:r>
        <w:rPr>
          <w:noProof/>
        </w:rPr>
        <w:br/>
        <w:t>=Adoption</w:t>
      </w:r>
      <w:r>
        <w:rPr>
          <w:noProof/>
        </w:rPr>
        <w:br/>
        <w:t>-Council Decision on the conclusion of the Agreement between the European Union and the People's Republic of China on the short-stay visa waiver for holders of diplomatic aspects</w:t>
      </w:r>
      <w:bookmarkEnd w:id="5"/>
    </w:p>
    <w:p w14:paraId="7AB36B46" w14:textId="35141B60" w:rsidR="00643D86" w:rsidRDefault="00AD3112" w:rsidP="00643D86">
      <w:pPr>
        <w:rPr>
          <w:lang w:val="en-US"/>
        </w:rPr>
      </w:pPr>
      <w:r>
        <w:rPr>
          <w:noProof/>
          <w:lang w:val="en-US"/>
        </w:rPr>
        <w:t>=</w:t>
      </w:r>
      <w:r>
        <w:rPr>
          <w:lang w:val="en-US"/>
        </w:rPr>
        <w:t>Request by the Council for the consent of the EP</w:t>
      </w:r>
      <w:r w:rsidR="001C2A71">
        <w:rPr>
          <w:lang w:val="en-US"/>
        </w:rPr>
        <w:br/>
      </w:r>
      <w:r>
        <w:rPr>
          <w:noProof/>
          <w:lang w:val="en-US"/>
        </w:rPr>
        <w:t>15481</w:t>
      </w:r>
      <w:r>
        <w:rPr>
          <w:lang w:val="en-US"/>
        </w:rPr>
        <w:t>/15 VISA 395 CHINE 32</w:t>
      </w:r>
      <w:r w:rsidR="001C2A71">
        <w:rPr>
          <w:lang w:val="en-US"/>
        </w:rPr>
        <w:t xml:space="preserve"> </w:t>
      </w:r>
      <w:r>
        <w:rPr>
          <w:lang w:val="en-US"/>
        </w:rPr>
        <w:t>15466/15 VISA 392 CHINE 29</w:t>
      </w:r>
      <w:r w:rsidR="001C2A71">
        <w:rPr>
          <w:lang w:val="en-US"/>
        </w:rPr>
        <w:t xml:space="preserve"> </w:t>
      </w:r>
      <w:r>
        <w:rPr>
          <w:lang w:val="en-US"/>
        </w:rPr>
        <w:t>15469/15 VISA 393 CHINE 30</w:t>
      </w:r>
      <w:r w:rsidR="001C2A71">
        <w:rPr>
          <w:lang w:val="en-US"/>
        </w:rPr>
        <w:t xml:space="preserve"> </w:t>
      </w:r>
      <w:r>
        <w:rPr>
          <w:lang w:val="en-US"/>
        </w:rPr>
        <w:t>15470/15 VISA 394 CHINE 31</w:t>
      </w:r>
    </w:p>
    <w:p w14:paraId="7E14C4E9" w14:textId="5362AD13" w:rsidR="00834B36" w:rsidRDefault="00AD3112" w:rsidP="00834B36">
      <w:pPr>
        <w:rPr>
          <w:b/>
        </w:rPr>
      </w:pPr>
      <w:r>
        <w:rPr>
          <w:b/>
        </w:rPr>
        <w:t>Ansvarigt statsråd</w:t>
      </w:r>
      <w:r>
        <w:rPr>
          <w:b/>
        </w:rPr>
        <w:br/>
      </w:r>
      <w:r w:rsidR="00834B36">
        <w:t>Morgan Johansson</w:t>
      </w:r>
    </w:p>
    <w:p w14:paraId="7DD30ECF" w14:textId="77777777" w:rsidR="00834B36" w:rsidRPr="00AD3112" w:rsidRDefault="00834B36" w:rsidP="00834B36">
      <w:pPr>
        <w:pStyle w:val="RKnormal"/>
        <w:ind w:left="714"/>
        <w:rPr>
          <w:rFonts w:ascii="Times New Roman" w:eastAsia="Calibri" w:hAnsi="Times New Roman"/>
          <w:sz w:val="22"/>
          <w:szCs w:val="22"/>
        </w:rPr>
      </w:pPr>
      <w:r w:rsidRPr="00AD3112">
        <w:rPr>
          <w:rFonts w:ascii="Times New Roman" w:eastAsia="Calibri" w:hAnsi="Times New Roman"/>
          <w:b/>
          <w:sz w:val="22"/>
          <w:szCs w:val="22"/>
        </w:rPr>
        <w:t>Avsikt med behandlingen i rådet:</w:t>
      </w:r>
      <w:r w:rsidRPr="00AD3112">
        <w:rPr>
          <w:rFonts w:ascii="Times New Roman" w:eastAsia="Calibri" w:hAnsi="Times New Roman"/>
          <w:sz w:val="22"/>
          <w:szCs w:val="22"/>
        </w:rPr>
        <w:t xml:space="preserve"> Avsikten med behandlingen i rådet är beslut om undertecknande samt provisorisk tillämpning av ett avtal mellan EU och Kina avseende viseringsfrihet för innehavare av diplomatpass. Avsikten med behandlingen är även att fatta beslut om att inhämta godkännande från Europaparlamentet avseende avtalets ikraftträdande.  </w:t>
      </w:r>
    </w:p>
    <w:p w14:paraId="24EC1842" w14:textId="77777777" w:rsidR="00834B36" w:rsidRPr="00AD3112" w:rsidRDefault="00834B36" w:rsidP="00834B36">
      <w:pPr>
        <w:pStyle w:val="RKnormal"/>
        <w:ind w:left="714"/>
        <w:rPr>
          <w:rFonts w:ascii="Times New Roman" w:eastAsia="Calibri" w:hAnsi="Times New Roman"/>
          <w:sz w:val="22"/>
          <w:szCs w:val="22"/>
        </w:rPr>
      </w:pPr>
    </w:p>
    <w:p w14:paraId="7AB36B4A" w14:textId="72539679" w:rsidR="00643D86" w:rsidRPr="00AD3112" w:rsidRDefault="00834B36" w:rsidP="00834B36">
      <w:pPr>
        <w:pStyle w:val="RKnormal"/>
        <w:ind w:left="714"/>
        <w:rPr>
          <w:rFonts w:ascii="Times New Roman" w:eastAsia="Calibri" w:hAnsi="Times New Roman"/>
          <w:sz w:val="22"/>
          <w:szCs w:val="22"/>
        </w:rPr>
      </w:pPr>
      <w:r w:rsidRPr="00AD3112">
        <w:rPr>
          <w:rFonts w:ascii="Times New Roman" w:eastAsia="Calibri" w:hAnsi="Times New Roman"/>
          <w:b/>
          <w:sz w:val="22"/>
          <w:szCs w:val="22"/>
        </w:rPr>
        <w:t>Hur regeringen ställer sig till den blivande A-punkten:</w:t>
      </w:r>
      <w:r w:rsidRPr="00AD3112">
        <w:rPr>
          <w:rFonts w:ascii="Times New Roman" w:eastAsia="Calibri" w:hAnsi="Times New Roman"/>
          <w:sz w:val="22"/>
          <w:szCs w:val="22"/>
        </w:rPr>
        <w:t xml:space="preserve"> Regeringen avser rösta ja till förslagen.  </w:t>
      </w:r>
    </w:p>
    <w:p w14:paraId="5EE985FF" w14:textId="77777777" w:rsidR="00834B36" w:rsidRPr="00AD3112" w:rsidRDefault="00834B36" w:rsidP="00834B36">
      <w:pPr>
        <w:pStyle w:val="RKnormal"/>
        <w:ind w:left="714"/>
        <w:rPr>
          <w:rFonts w:ascii="Times New Roman" w:eastAsia="Calibri" w:hAnsi="Times New Roman"/>
          <w:b/>
          <w:sz w:val="22"/>
          <w:szCs w:val="22"/>
        </w:rPr>
      </w:pPr>
    </w:p>
    <w:p w14:paraId="299732B8" w14:textId="77777777" w:rsidR="00834B36" w:rsidRPr="00AD3112" w:rsidRDefault="00834B36" w:rsidP="00834B36">
      <w:pPr>
        <w:pStyle w:val="RKnormal"/>
        <w:ind w:left="714"/>
        <w:rPr>
          <w:rFonts w:ascii="Times New Roman" w:eastAsia="Calibri" w:hAnsi="Times New Roman"/>
          <w:sz w:val="22"/>
          <w:szCs w:val="22"/>
        </w:rPr>
      </w:pPr>
      <w:r w:rsidRPr="00AD3112">
        <w:rPr>
          <w:rFonts w:ascii="Times New Roman" w:eastAsia="Calibri" w:hAnsi="Times New Roman"/>
          <w:b/>
          <w:sz w:val="22"/>
          <w:szCs w:val="22"/>
        </w:rPr>
        <w:t>Bakgrund:</w:t>
      </w:r>
      <w:r w:rsidRPr="00AD3112">
        <w:rPr>
          <w:rFonts w:ascii="Times New Roman" w:eastAsia="Calibri" w:hAnsi="Times New Roman"/>
          <w:sz w:val="22"/>
          <w:szCs w:val="22"/>
        </w:rPr>
        <w:t xml:space="preserve"> EU har sedan sommaren 2015 fört förhandlingar med Kina avseende ett avtal om viseringsfrihet för innehavare av diplomatpass. Avtalet utgör en del av ett bredare samarbetspaket på migrationsområdet, vilket också inkluderar en överenskommelse om formerna för samarbete med externa tjänsteleverantörer i samband med viseringsansökningsprocessen och praktiskt samarbete i fråga om olaglig invandring. </w:t>
      </w:r>
    </w:p>
    <w:p w14:paraId="28817544" w14:textId="77777777" w:rsidR="00834B36" w:rsidRPr="00AD3112" w:rsidRDefault="00834B36" w:rsidP="00834B36">
      <w:pPr>
        <w:pStyle w:val="RKnormal"/>
        <w:ind w:left="714"/>
        <w:rPr>
          <w:rFonts w:ascii="Times New Roman" w:eastAsia="Calibri" w:hAnsi="Times New Roman"/>
          <w:sz w:val="22"/>
          <w:szCs w:val="22"/>
        </w:rPr>
      </w:pPr>
    </w:p>
    <w:p w14:paraId="0661D5CC" w14:textId="72EC6B1A" w:rsidR="00834B36" w:rsidRDefault="00834B36" w:rsidP="00834B36">
      <w:pPr>
        <w:pStyle w:val="RKnormal"/>
        <w:ind w:left="714"/>
      </w:pPr>
      <w:r w:rsidRPr="00AD3112">
        <w:rPr>
          <w:rFonts w:ascii="Times New Roman" w:eastAsia="Calibri" w:hAnsi="Times New Roman"/>
          <w:sz w:val="22"/>
          <w:szCs w:val="22"/>
        </w:rPr>
        <w:t xml:space="preserve">Den ömsesidiga viseringsfriheten för innehavare av diplomatpass ska gälla för som högst 90 dagar under en 180-dagarsperiod. Avtalet är begränsat till innehavare av diplomatpass som utfärdats av Kinas respektive EU-medlemsstaternas utrikesministerium eller av EU:s institutioner. Avtalet kan suspenderas helt eller delvis om det är nödvändigt pga risker för nationell säkerhet, folkhälsa, risk för olaglig invandring eller återinfört viseringskrav från endera parten. En eventuell suspendering från kinesiskt håll kan enbart genomföras i förhållande till samtliga EU-medlemsstater. </w:t>
      </w:r>
    </w:p>
    <w:p w14:paraId="7AB36B4B" w14:textId="77777777" w:rsidR="00643D86" w:rsidRDefault="00AD3112" w:rsidP="00643D86">
      <w:pPr>
        <w:pStyle w:val="Rubrik1"/>
      </w:pPr>
      <w:bookmarkStart w:id="6" w:name="_Toc441657658"/>
      <w:r>
        <w:rPr>
          <w:noProof/>
        </w:rPr>
        <w:lastRenderedPageBreak/>
        <w:t>Draft Council implementing Decision approving the conclusion by Eurojust of the draft Memorandum of Understanding between Eurojust and OHIM</w:t>
      </w:r>
      <w:bookmarkEnd w:id="6"/>
    </w:p>
    <w:p w14:paraId="7AB36B4C" w14:textId="159D25E0" w:rsidR="00643D86" w:rsidRDefault="00AD3112" w:rsidP="00643D86">
      <w:pPr>
        <w:rPr>
          <w:lang w:val="en-US"/>
        </w:rPr>
      </w:pPr>
      <w:r>
        <w:rPr>
          <w:noProof/>
          <w:lang w:val="en-US"/>
        </w:rPr>
        <w:t>=</w:t>
      </w:r>
      <w:r>
        <w:rPr>
          <w:lang w:val="en-US"/>
        </w:rPr>
        <w:t>Approval</w:t>
      </w:r>
      <w:r w:rsidR="001C2A71">
        <w:rPr>
          <w:lang w:val="en-US"/>
        </w:rPr>
        <w:t xml:space="preserve"> </w:t>
      </w:r>
      <w:r>
        <w:rPr>
          <w:lang w:val="en-US"/>
        </w:rPr>
        <w:br/>
      </w:r>
      <w:r>
        <w:rPr>
          <w:noProof/>
          <w:lang w:val="en-US"/>
        </w:rPr>
        <w:t>10794</w:t>
      </w:r>
      <w:r>
        <w:rPr>
          <w:lang w:val="en-US"/>
        </w:rPr>
        <w:t>/15 JAIEX 59 COPEN 195 EUROJUST 144 MI 485</w:t>
      </w:r>
      <w:r w:rsidR="001C2A71">
        <w:rPr>
          <w:lang w:val="en-US"/>
        </w:rPr>
        <w:t xml:space="preserve"> </w:t>
      </w:r>
      <w:r>
        <w:rPr>
          <w:lang w:val="en-US"/>
        </w:rPr>
        <w:t>11595/15 JAIEX 64 COPEN 224 EUROJUST 159 MI 533</w:t>
      </w:r>
    </w:p>
    <w:p w14:paraId="7AB36B4D" w14:textId="40BB45A3" w:rsidR="00643D86" w:rsidRDefault="00AD3112" w:rsidP="00643D86">
      <w:r>
        <w:rPr>
          <w:b/>
        </w:rPr>
        <w:t>Ansvarigt statsråd</w:t>
      </w:r>
      <w:r>
        <w:rPr>
          <w:b/>
        </w:rPr>
        <w:br/>
      </w:r>
      <w:r>
        <w:t>Anders Ygeman</w:t>
      </w:r>
    </w:p>
    <w:p w14:paraId="6B6B5BF3" w14:textId="77777777" w:rsidR="00AD3112" w:rsidRPr="00AD3112" w:rsidRDefault="00AD3112" w:rsidP="00AD3112">
      <w:pPr>
        <w:pStyle w:val="RKnormal"/>
        <w:ind w:left="714"/>
        <w:rPr>
          <w:rFonts w:ascii="Times New Roman" w:eastAsia="Calibri" w:hAnsi="Times New Roman"/>
          <w:sz w:val="22"/>
          <w:szCs w:val="22"/>
        </w:rPr>
      </w:pPr>
      <w:r w:rsidRPr="00AD3112">
        <w:rPr>
          <w:rFonts w:ascii="Times New Roman" w:eastAsia="Calibri" w:hAnsi="Times New Roman"/>
          <w:b/>
          <w:sz w:val="22"/>
          <w:szCs w:val="22"/>
        </w:rPr>
        <w:t>Annotering</w:t>
      </w:r>
      <w:r>
        <w:rPr>
          <w:b/>
        </w:rPr>
        <w:br/>
      </w:r>
      <w:r w:rsidRPr="00AD3112">
        <w:rPr>
          <w:rFonts w:ascii="Times New Roman" w:eastAsia="Calibri" w:hAnsi="Times New Roman"/>
          <w:b/>
          <w:sz w:val="22"/>
          <w:szCs w:val="22"/>
        </w:rPr>
        <w:t>Avsikt med behandlingen i rådet:</w:t>
      </w:r>
      <w:r w:rsidRPr="00AD3112">
        <w:rPr>
          <w:rFonts w:ascii="Times New Roman" w:eastAsia="Calibri" w:hAnsi="Times New Roman"/>
          <w:sz w:val="22"/>
          <w:szCs w:val="22"/>
        </w:rPr>
        <w:t xml:space="preserve"> Rådet föreslås anta ett beslut om godkännande av Eurojusts ingående av ett samförståndsavtal mellan Kontoret för harmonisering i den inre marknaden och Eurojust.</w:t>
      </w:r>
    </w:p>
    <w:p w14:paraId="10B35C09" w14:textId="77777777" w:rsidR="00AD3112" w:rsidRPr="00AD3112" w:rsidRDefault="00AD3112" w:rsidP="00AD3112">
      <w:pPr>
        <w:pStyle w:val="RKnormal"/>
        <w:ind w:left="714"/>
        <w:rPr>
          <w:rFonts w:ascii="Times New Roman" w:eastAsia="Calibri" w:hAnsi="Times New Roman"/>
          <w:sz w:val="22"/>
          <w:szCs w:val="22"/>
        </w:rPr>
      </w:pPr>
    </w:p>
    <w:p w14:paraId="4BDE882E" w14:textId="77777777" w:rsidR="00AD3112" w:rsidRPr="00AD3112" w:rsidRDefault="00AD3112" w:rsidP="00AD3112">
      <w:pPr>
        <w:pStyle w:val="RKnormal"/>
        <w:ind w:left="714"/>
        <w:rPr>
          <w:rFonts w:ascii="Times New Roman" w:eastAsia="Calibri" w:hAnsi="Times New Roman"/>
          <w:sz w:val="22"/>
          <w:szCs w:val="22"/>
        </w:rPr>
      </w:pPr>
      <w:r w:rsidRPr="00AD3112">
        <w:rPr>
          <w:rFonts w:ascii="Times New Roman" w:eastAsia="Calibri" w:hAnsi="Times New Roman"/>
          <w:b/>
          <w:sz w:val="22"/>
          <w:szCs w:val="22"/>
        </w:rPr>
        <w:t>Hur regeringen ställer sig till den blivande A-punkten</w:t>
      </w:r>
      <w:r w:rsidRPr="00AD3112">
        <w:rPr>
          <w:rFonts w:ascii="Times New Roman" w:eastAsia="Calibri" w:hAnsi="Times New Roman"/>
          <w:sz w:val="22"/>
          <w:szCs w:val="22"/>
        </w:rPr>
        <w:t xml:space="preserve">: Regeringen avser att rösta ja till beslutet. </w:t>
      </w:r>
    </w:p>
    <w:p w14:paraId="331B2E6B" w14:textId="77777777" w:rsidR="00AD3112" w:rsidRPr="00AD3112" w:rsidRDefault="00AD3112" w:rsidP="00AD3112">
      <w:pPr>
        <w:pStyle w:val="RKnormal"/>
        <w:ind w:left="714"/>
        <w:rPr>
          <w:rFonts w:ascii="Times New Roman" w:eastAsia="Calibri" w:hAnsi="Times New Roman"/>
          <w:b/>
          <w:sz w:val="22"/>
          <w:szCs w:val="22"/>
        </w:rPr>
      </w:pPr>
    </w:p>
    <w:p w14:paraId="7AB36B50" w14:textId="3116296C" w:rsidR="00643D86" w:rsidRPr="00AD3112" w:rsidRDefault="00AD3112" w:rsidP="00AD3112">
      <w:pPr>
        <w:pStyle w:val="RKnormal"/>
        <w:ind w:left="714"/>
        <w:rPr>
          <w:rFonts w:ascii="Times New Roman" w:eastAsia="Calibri" w:hAnsi="Times New Roman"/>
          <w:sz w:val="22"/>
          <w:szCs w:val="22"/>
        </w:rPr>
      </w:pPr>
      <w:r w:rsidRPr="00AD3112">
        <w:rPr>
          <w:rFonts w:ascii="Times New Roman" w:eastAsia="Calibri" w:hAnsi="Times New Roman"/>
          <w:b/>
          <w:sz w:val="22"/>
          <w:szCs w:val="22"/>
        </w:rPr>
        <w:t>Bakgrund</w:t>
      </w:r>
      <w:r w:rsidRPr="00AD3112">
        <w:rPr>
          <w:rFonts w:ascii="Times New Roman" w:eastAsia="Calibri" w:hAnsi="Times New Roman"/>
          <w:sz w:val="22"/>
          <w:szCs w:val="22"/>
        </w:rPr>
        <w:t xml:space="preserve">: Eurojust, som är ett åklagarsamarbete inom EU, arbetar bl.a. med att mer effektivt bekämpa immaterialrättsbrott. Genom ett samarbete med Kontoret för harmonisering i den inre marknaden (som kommer att byta namn i mars i år till Europeiska unionens immaterialrättsmyndighet) kan åklagare exempelvis skapa värdefulla samarbeten med relevanta privata och offentliga aktörer på området. Det är inte fråga om utbyte av personuppgifter. Överenskommelsen handlar om att etablera kontakter och nätverk, genomföra seminarier och liknande. </w:t>
      </w:r>
    </w:p>
    <w:p w14:paraId="7AB36B51" w14:textId="77777777" w:rsidR="00643D86" w:rsidRDefault="00AD3112" w:rsidP="00643D86">
      <w:pPr>
        <w:pStyle w:val="Rubrik1"/>
      </w:pPr>
      <w:bookmarkStart w:id="7" w:name="_Toc441657659"/>
      <w:r>
        <w:rPr>
          <w:noProof/>
        </w:rPr>
        <w:t>Council Decision on the position to be adopted, on behalf of the European Union, in the EEA Joint Committee concerning an amendment to Annex XI (Electronic communication, audiovisual services and information society) to the EEA Agreement (ultra-wind band)</w:t>
      </w:r>
      <w:bookmarkEnd w:id="7"/>
    </w:p>
    <w:p w14:paraId="7AB36B52" w14:textId="50F03D60" w:rsidR="00643D86" w:rsidRDefault="00AD3112" w:rsidP="00643D86">
      <w:pPr>
        <w:rPr>
          <w:lang w:val="en-US"/>
        </w:rPr>
      </w:pPr>
      <w:r>
        <w:rPr>
          <w:noProof/>
          <w:lang w:val="en-US"/>
        </w:rPr>
        <w:t>15442</w:t>
      </w:r>
      <w:r>
        <w:rPr>
          <w:lang w:val="en-US"/>
        </w:rPr>
        <w:t>/15 EEE 39 AELE 62 TELECOM 238 AUDIO 38 MI 810</w:t>
      </w:r>
      <w:r w:rsidR="001C2A71">
        <w:rPr>
          <w:lang w:val="en-US"/>
        </w:rPr>
        <w:t xml:space="preserve"> </w:t>
      </w:r>
      <w:r>
        <w:rPr>
          <w:lang w:val="en-US"/>
        </w:rPr>
        <w:t>15443/15 EEE 40 AELE 63 TELECOM 239 AUDIO 39 MI 811</w:t>
      </w:r>
    </w:p>
    <w:p w14:paraId="7AB36B53" w14:textId="77777777" w:rsidR="00643D86" w:rsidRDefault="00AD3112" w:rsidP="00643D86">
      <w:r>
        <w:rPr>
          <w:b/>
        </w:rPr>
        <w:t>Ansvarigt statsråd</w:t>
      </w:r>
      <w:r>
        <w:rPr>
          <w:b/>
        </w:rPr>
        <w:br/>
      </w:r>
      <w:r>
        <w:rPr>
          <w:noProof/>
        </w:rPr>
        <w:t>Mikael Damberg</w:t>
      </w:r>
    </w:p>
    <w:p w14:paraId="7AB36B57" w14:textId="7F80DBD6" w:rsidR="009A13A9" w:rsidRDefault="00AD3112" w:rsidP="001C2A71">
      <w:r w:rsidRPr="00B44CE2">
        <w:rPr>
          <w:b/>
        </w:rPr>
        <w:t>Annotering</w:t>
      </w:r>
      <w:r>
        <w:rPr>
          <w:b/>
        </w:rPr>
        <w:br/>
      </w:r>
      <w:r>
        <w:rPr>
          <w:b/>
          <w:bCs/>
        </w:rPr>
        <w:t>Avsikt med behandlingen i rådet:</w:t>
      </w:r>
      <w:r>
        <w:t xml:space="preserve"> Rådet föreslås anta en ståndpunkt som ska intas på Europeiska unionens vägnar i gemensamma EES-kommittén beträffande en ändring av bilaga XI (Elektronisk kommunikation, audiovisuella tjänster och informationssamhället) till EES-avtalet.</w:t>
      </w:r>
    </w:p>
    <w:p w14:paraId="7AB36B58" w14:textId="77777777" w:rsidR="009A13A9" w:rsidRDefault="00AD3112">
      <w:pPr>
        <w:spacing w:after="280" w:afterAutospacing="1"/>
      </w:pPr>
      <w:r>
        <w:rPr>
          <w:b/>
          <w:bCs/>
        </w:rPr>
        <w:t>Hur regeringen ställer sig till den blivande A-punkten:</w:t>
      </w:r>
      <w:r>
        <w:t xml:space="preserve"> Regeringen avser rösta ja till att anta ståndpunkten. </w:t>
      </w:r>
    </w:p>
    <w:p w14:paraId="7AB36B5A" w14:textId="40218BD8" w:rsidR="00FB32B9" w:rsidRDefault="00AD3112">
      <w:pPr>
        <w:spacing w:after="280" w:afterAutospacing="1"/>
        <w:rPr>
          <w:noProof/>
        </w:rPr>
      </w:pPr>
      <w:r>
        <w:rPr>
          <w:b/>
          <w:bCs/>
        </w:rPr>
        <w:t xml:space="preserve">Bakgrund: </w:t>
      </w:r>
      <w:r>
        <w:t>Den gemensamma EES-kommitténs beslut kommer att innebära en ändring av bilaga XI (Elektronisk kommunikation, audiovisuella tjänster och informationssamhället) till EES-avtalet. Syftet är att införliva EU-kommissionens genomförandebeslut 2014/702/EU av den 7 oktober 2014 om harmoniserad användning av radiospektrumet för utrustning som använder ultrabredbandsteknik med EES-avtalet. På Island och i Norge är det vanligare än i EU med radiolänkar nära flygplatser och länkarna används i högre grad. För att undvika skadliga störningar på mobiloperatörernas radiolänkar, undantas Island och Norge från skyldigheten att tillåta användning av bandet 6,0–8,5 GHz för utrustning som använder ultrabredbandsteknik ombord på luftfartyg.</w:t>
      </w:r>
    </w:p>
    <w:p w14:paraId="7AB36B5B" w14:textId="77777777" w:rsidR="00643D86" w:rsidRDefault="00AD3112" w:rsidP="00643D86">
      <w:pPr>
        <w:pStyle w:val="Rubrik1"/>
      </w:pPr>
      <w:bookmarkStart w:id="8" w:name="_Toc441657660"/>
      <w:r>
        <w:rPr>
          <w:noProof/>
        </w:rPr>
        <w:t>Council Decision on the position to be adopted, on behalf of the European Union, in the EEA Joint Committee concerning an amendment to Annex XXI (Statistics) to the EEA Agreement (health care expenditure statistics)</w:t>
      </w:r>
      <w:bookmarkEnd w:id="8"/>
    </w:p>
    <w:p w14:paraId="7AB36B5C" w14:textId="4409EBD4" w:rsidR="00643D86" w:rsidRDefault="00AD3112" w:rsidP="00643D86">
      <w:pPr>
        <w:rPr>
          <w:lang w:val="en-US"/>
        </w:rPr>
      </w:pPr>
      <w:r>
        <w:rPr>
          <w:noProof/>
          <w:lang w:val="en-US"/>
        </w:rPr>
        <w:t>15438</w:t>
      </w:r>
      <w:r>
        <w:rPr>
          <w:lang w:val="en-US"/>
        </w:rPr>
        <w:t>/15 EEE 36 AELE 59 STATIS 94 MI 807</w:t>
      </w:r>
      <w:r w:rsidR="001C2A71">
        <w:rPr>
          <w:lang w:val="en-US"/>
        </w:rPr>
        <w:t xml:space="preserve"> </w:t>
      </w:r>
      <w:r>
        <w:rPr>
          <w:lang w:val="en-US"/>
        </w:rPr>
        <w:t>15439/15 EEE 37 AELE 60 STATIS 95 MI 808</w:t>
      </w:r>
    </w:p>
    <w:p w14:paraId="7AB36B5D" w14:textId="77777777" w:rsidR="00643D86" w:rsidRDefault="00AD3112" w:rsidP="00643D86">
      <w:r>
        <w:rPr>
          <w:b/>
        </w:rPr>
        <w:t>Ansvarigt statsråd</w:t>
      </w:r>
      <w:r>
        <w:rPr>
          <w:b/>
        </w:rPr>
        <w:br/>
      </w:r>
      <w:r>
        <w:rPr>
          <w:noProof/>
        </w:rPr>
        <w:t>Mikael Damberg</w:t>
      </w:r>
    </w:p>
    <w:p w14:paraId="7AB36B60" w14:textId="77777777" w:rsidR="00643D86" w:rsidRDefault="00AD3112" w:rsidP="00643D86">
      <w:r w:rsidRPr="00B44CE2">
        <w:rPr>
          <w:b/>
        </w:rPr>
        <w:t>Annotering</w:t>
      </w:r>
      <w:r>
        <w:rPr>
          <w:b/>
        </w:rPr>
        <w:br/>
      </w:r>
      <w:r>
        <w:rPr>
          <w:b/>
          <w:bCs/>
        </w:rPr>
        <w:t xml:space="preserve">Avsikt med behandlingen i rådet: </w:t>
      </w:r>
      <w:r>
        <w:t xml:space="preserve">Rådet föreslås anta en ståndpunkt som ska intas på Europeiska unionens vägnar i gemensamma EES-kommittén avseende en ändring av bilaga XXI (Statistik) till EES-avtalet.  </w:t>
      </w:r>
    </w:p>
    <w:p w14:paraId="7AB36B61" w14:textId="77777777" w:rsidR="009A13A9" w:rsidRDefault="00AD3112">
      <w:pPr>
        <w:spacing w:after="280" w:afterAutospacing="1"/>
      </w:pPr>
      <w:r>
        <w:rPr>
          <w:b/>
          <w:bCs/>
        </w:rPr>
        <w:t>Hur regeringen ställer sig till den blivande A-punkten:</w:t>
      </w:r>
      <w:r>
        <w:t xml:space="preserve"> Regeringen avser rösta ja till att anta ståndpunkten. </w:t>
      </w:r>
    </w:p>
    <w:p w14:paraId="7AB36B63" w14:textId="1998B3BB" w:rsidR="00FB32B9" w:rsidRDefault="00AD3112">
      <w:pPr>
        <w:spacing w:after="280" w:afterAutospacing="1"/>
        <w:rPr>
          <w:noProof/>
        </w:rPr>
      </w:pPr>
      <w:r>
        <w:rPr>
          <w:b/>
          <w:bCs/>
        </w:rPr>
        <w:t xml:space="preserve">Bakgrund: </w:t>
      </w:r>
      <w:r>
        <w:t>Syftet med gemensamma EES-kommitténs beslut är att ändra bilaga XXI (Statistik) till EES-avtalet för att införliva EU-kommissionens förordning 2015/359 av den 4 mars 2015 vad gäller statistik över utgifter för och finansiering av hälso- och sjukvård. Beslutet innebär att Liechtenstein undantas från att tillhandahålla vissa uppgifter om dagvård och ordningar för företagsfinansiering samt öppen vård och dagvård, då denna information inte är tillgänglig i landet.</w:t>
      </w:r>
    </w:p>
    <w:p w14:paraId="7AB36B64" w14:textId="77777777" w:rsidR="00643D86" w:rsidRDefault="00AD3112" w:rsidP="00643D86">
      <w:pPr>
        <w:pStyle w:val="Rubrik1"/>
      </w:pPr>
      <w:bookmarkStart w:id="9" w:name="_Toc441657661"/>
      <w:r>
        <w:rPr>
          <w:noProof/>
        </w:rPr>
        <w:t>Draft Council Decision on the position of the European Union on the Rules of Procedure of the EPA Committee set up by the interim Agreement with a view to an Economic Partnership Agreement between the European Community and its Member States, of the one part, and the Central Africa Party, of the other part</w:t>
      </w:r>
      <w:bookmarkEnd w:id="9"/>
      <w:r>
        <w:rPr>
          <w:noProof/>
        </w:rPr>
        <w:t xml:space="preserve"> </w:t>
      </w:r>
    </w:p>
    <w:p w14:paraId="7AB36B65" w14:textId="27CB9961" w:rsidR="00643D86" w:rsidRDefault="00AD3112" w:rsidP="00643D86">
      <w:pPr>
        <w:rPr>
          <w:lang w:val="en-US"/>
        </w:rPr>
      </w:pPr>
      <w:r>
        <w:rPr>
          <w:noProof/>
          <w:lang w:val="en-US"/>
        </w:rPr>
        <w:t>=</w:t>
      </w:r>
      <w:r>
        <w:rPr>
          <w:lang w:val="en-US"/>
        </w:rPr>
        <w:t>Adoption</w:t>
      </w:r>
      <w:r w:rsidR="001C2A71">
        <w:rPr>
          <w:lang w:val="en-US"/>
        </w:rPr>
        <w:br/>
      </w:r>
      <w:r>
        <w:rPr>
          <w:noProof/>
          <w:lang w:val="en-US"/>
        </w:rPr>
        <w:t>12252</w:t>
      </w:r>
      <w:r>
        <w:rPr>
          <w:lang w:val="en-US"/>
        </w:rPr>
        <w:t>/15 ACP 130 WTO 193 COAFR 266 RELEX 735</w:t>
      </w:r>
      <w:r w:rsidR="001C2A71">
        <w:rPr>
          <w:lang w:val="en-US"/>
        </w:rPr>
        <w:t xml:space="preserve"> </w:t>
      </w:r>
      <w:r>
        <w:rPr>
          <w:lang w:val="en-US"/>
        </w:rPr>
        <w:t>12151/15 ACP 125 WTO 190 COAFR 261 RELEX 722</w:t>
      </w:r>
    </w:p>
    <w:p w14:paraId="7AB36B66" w14:textId="3161F617" w:rsidR="00643D86" w:rsidRDefault="00AD3112" w:rsidP="00643D86">
      <w:r>
        <w:rPr>
          <w:b/>
        </w:rPr>
        <w:t>Ansvarigt statsråd</w:t>
      </w:r>
      <w:r>
        <w:rPr>
          <w:b/>
        </w:rPr>
        <w:br/>
      </w:r>
      <w:r>
        <w:rPr>
          <w:noProof/>
        </w:rPr>
        <w:t>Mikael Damberg</w:t>
      </w:r>
    </w:p>
    <w:p w14:paraId="7AB36B6A" w14:textId="75AF7F1B" w:rsidR="009A13A9" w:rsidRDefault="00AD3112" w:rsidP="001C2A71">
      <w:r w:rsidRPr="00B44CE2">
        <w:rPr>
          <w:b/>
        </w:rPr>
        <w:t>Annotering</w:t>
      </w:r>
      <w:r>
        <w:rPr>
          <w:b/>
        </w:rPr>
        <w:br/>
      </w:r>
      <w:r>
        <w:rPr>
          <w:b/>
          <w:bCs/>
        </w:rPr>
        <w:t>Avsikt med behandlingen i rådet:</w:t>
      </w:r>
      <w:r>
        <w:t xml:space="preserve"> Rådet föreslås anta ett förslag till procedurregler för en kommitté mellan EU och den centralafrikanska parten. </w:t>
      </w:r>
    </w:p>
    <w:p w14:paraId="7AB36B6C" w14:textId="10E28FE6" w:rsidR="009A13A9" w:rsidRDefault="00AD3112">
      <w:pPr>
        <w:spacing w:after="280" w:afterAutospacing="1"/>
      </w:pPr>
      <w:r>
        <w:rPr>
          <w:b/>
          <w:bCs/>
        </w:rPr>
        <w:t>Hur regeringen ställer sig till den blivande A-punkten:</w:t>
      </w:r>
      <w:r>
        <w:t xml:space="preserve"> Regeringen avser rösta ja till att rådet antar beslut om procedurregler för kommittén för de Ekonomiska partnerskapsavtalen i enlighet med text i dokument 12151/15 </w:t>
      </w:r>
    </w:p>
    <w:p w14:paraId="7AB36B70" w14:textId="1EBEC919" w:rsidR="00643D86" w:rsidRPr="00643D86" w:rsidRDefault="00AD3112" w:rsidP="001C2A71">
      <w:pPr>
        <w:spacing w:after="280" w:afterAutospacing="1"/>
        <w:rPr>
          <w:lang w:val="en-US"/>
        </w:rPr>
      </w:pPr>
      <w:r>
        <w:rPr>
          <w:b/>
          <w:bCs/>
        </w:rPr>
        <w:t>Bakgrund:</w:t>
      </w:r>
      <w:r w:rsidR="001C2A71">
        <w:rPr>
          <w:b/>
          <w:bCs/>
        </w:rPr>
        <w:t xml:space="preserve"> </w:t>
      </w:r>
      <w:r>
        <w:t xml:space="preserve">Ett provisoriskt ekonomiskt partnerskapsavtal finns mellan EU och den centralafrikanska parten (Kamerun), genom detta avtal etablerades en kommitté i syfte att förhandla ett fullständigt ekonomiskt partnerskapsavtal. I enlighet med avtalet skall procedurregler tas fram för denna kommitté. Procedurreglerna slår fast kommitténs sammansättning, organisation och funktion. Rådsarbetsgruppen AVS enades om en reviderad text för procedurregler den 13 oktober 2015 och myndigheterna i Kamerun godtog dessa i december 2015. </w:t>
      </w:r>
      <w:bookmarkEnd w:id="1"/>
    </w:p>
    <w:sectPr w:rsidR="00643D86" w:rsidRPr="00643D86" w:rsidSect="006E71D7">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B36B82" w14:textId="77777777" w:rsidR="004D39F1" w:rsidRDefault="00AD3112">
      <w:pPr>
        <w:spacing w:after="0" w:line="240" w:lineRule="auto"/>
      </w:pPr>
      <w:r>
        <w:separator/>
      </w:r>
    </w:p>
  </w:endnote>
  <w:endnote w:type="continuationSeparator" w:id="0">
    <w:p w14:paraId="7AB36B84" w14:textId="77777777" w:rsidR="004D39F1" w:rsidRDefault="00AD3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 w:name="OrigGarmnd BT">
    <w:altName w:val="Constantia"/>
    <w:charset w:val="00"/>
    <w:family w:val="roman"/>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F0994" w14:textId="77777777" w:rsidR="00F00C46" w:rsidRDefault="00F00C4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72AA0" w14:textId="77777777" w:rsidR="00F00C46" w:rsidRDefault="00F00C46">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EF0A8" w14:textId="77777777" w:rsidR="00F00C46" w:rsidRDefault="00F00C4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36B7E" w14:textId="77777777" w:rsidR="004D39F1" w:rsidRDefault="00AD3112">
      <w:pPr>
        <w:spacing w:after="0" w:line="240" w:lineRule="auto"/>
      </w:pPr>
      <w:r>
        <w:separator/>
      </w:r>
    </w:p>
  </w:footnote>
  <w:footnote w:type="continuationSeparator" w:id="0">
    <w:p w14:paraId="7AB36B80" w14:textId="77777777" w:rsidR="004D39F1" w:rsidRDefault="00AD31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507BF" w14:textId="77777777" w:rsidR="00F00C46" w:rsidRDefault="00F00C46">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704475"/>
      <w:docPartObj>
        <w:docPartGallery w:val="Page Numbers (Top of Page)"/>
        <w:docPartUnique/>
      </w:docPartObj>
    </w:sdtPr>
    <w:sdtEndPr/>
    <w:sdtContent>
      <w:p w14:paraId="633C5F38" w14:textId="7AF2A6EB" w:rsidR="00F00C46" w:rsidRDefault="00F00C46">
        <w:pPr>
          <w:pStyle w:val="Sidhuvud"/>
          <w:jc w:val="right"/>
        </w:pPr>
        <w:r>
          <w:fldChar w:fldCharType="begin"/>
        </w:r>
        <w:r>
          <w:instrText>PAGE   \* MERGEFORMAT</w:instrText>
        </w:r>
        <w:r>
          <w:fldChar w:fldCharType="separate"/>
        </w:r>
        <w:r w:rsidR="00443C5B">
          <w:rPr>
            <w:noProof/>
          </w:rPr>
          <w:t>7</w:t>
        </w:r>
        <w:r>
          <w:fldChar w:fldCharType="end"/>
        </w:r>
      </w:p>
    </w:sdtContent>
  </w:sdt>
  <w:p w14:paraId="7AB36B72" w14:textId="77777777" w:rsidR="006F1C0D" w:rsidRDefault="00443C5B" w:rsidP="001237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9A13A9" w14:paraId="7AB36B78" w14:textId="77777777" w:rsidTr="006E71D7">
      <w:tc>
        <w:tcPr>
          <w:tcW w:w="4606" w:type="dxa"/>
        </w:tcPr>
        <w:p w14:paraId="7AB36B73" w14:textId="77777777" w:rsidR="006E71D7" w:rsidRDefault="00AD3112" w:rsidP="00752770">
          <w:pPr>
            <w:pStyle w:val="Sidhuvud"/>
            <w:ind w:left="0"/>
          </w:pPr>
          <w:r>
            <w:rPr>
              <w:noProof/>
              <w:lang w:eastAsia="sv-SE"/>
            </w:rPr>
            <w:drawing>
              <wp:inline distT="0" distB="0" distL="0" distR="0" wp14:anchorId="7AB36B7E" wp14:editId="7AB36B7F">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7AB36B74" w14:textId="77777777" w:rsidR="00FB32B9" w:rsidRDefault="00443C5B" w:rsidP="00FB32B9">
          <w:pPr>
            <w:ind w:right="916"/>
            <w:rPr>
              <w:rFonts w:ascii="TradeGothic" w:hAnsi="TradeGothic"/>
              <w:b/>
            </w:rPr>
          </w:pPr>
        </w:p>
        <w:p w14:paraId="7AB36B75" w14:textId="77777777" w:rsidR="00FB32B9" w:rsidRDefault="00AD3112" w:rsidP="00FB32B9">
          <w:pPr>
            <w:ind w:right="916"/>
          </w:pPr>
          <w:r>
            <w:rPr>
              <w:rFonts w:ascii="TradeGothic" w:hAnsi="TradeGothic"/>
              <w:b/>
            </w:rPr>
            <w:t>Promemoria</w:t>
          </w:r>
        </w:p>
        <w:p w14:paraId="7AB36B76" w14:textId="77777777" w:rsidR="00FB32B9" w:rsidRDefault="00443C5B" w:rsidP="00FB32B9">
          <w:pPr>
            <w:jc w:val="right"/>
          </w:pPr>
        </w:p>
        <w:p w14:paraId="7AB36B77" w14:textId="61051F93" w:rsidR="006E71D7" w:rsidRDefault="00AD3112" w:rsidP="00FB32B9">
          <w:pPr>
            <w:ind w:right="916"/>
          </w:pPr>
          <w:r>
            <w:rPr>
              <w:rFonts w:ascii="TradeGothic" w:hAnsi="TradeGothic"/>
              <w:b/>
              <w:noProof/>
            </w:rPr>
            <w:t>2016-01-2</w:t>
          </w:r>
          <w:r w:rsidR="001C2A71">
            <w:rPr>
              <w:rFonts w:ascii="TradeGothic" w:hAnsi="TradeGothic"/>
              <w:b/>
              <w:noProof/>
            </w:rPr>
            <w:t>8</w:t>
          </w:r>
          <w:r w:rsidRPr="00934953">
            <w:t xml:space="preserve"> </w:t>
          </w:r>
        </w:p>
      </w:tc>
    </w:tr>
  </w:tbl>
  <w:p w14:paraId="7AB36B79" w14:textId="77777777" w:rsidR="00FB32B9" w:rsidRDefault="00443C5B" w:rsidP="00FB32B9">
    <w:pPr>
      <w:pStyle w:val="Avsndare"/>
      <w:framePr w:w="0" w:hRule="auto" w:hSpace="0" w:wrap="auto" w:vAnchor="margin" w:hAnchor="text" w:xAlign="left" w:yAlign="inline"/>
      <w:rPr>
        <w:b/>
        <w:i w:val="0"/>
        <w:sz w:val="22"/>
      </w:rPr>
    </w:pPr>
  </w:p>
  <w:p w14:paraId="7AB36B7A" w14:textId="77777777" w:rsidR="00FB32B9" w:rsidRDefault="00AD3112" w:rsidP="00FB32B9">
    <w:pPr>
      <w:pStyle w:val="Avsndare"/>
      <w:framePr w:w="0" w:hRule="auto" w:hSpace="0" w:wrap="auto" w:vAnchor="margin" w:hAnchor="text" w:xAlign="left" w:yAlign="inline"/>
      <w:rPr>
        <w:b/>
        <w:i w:val="0"/>
        <w:sz w:val="22"/>
      </w:rPr>
    </w:pPr>
    <w:r>
      <w:rPr>
        <w:b/>
        <w:i w:val="0"/>
        <w:sz w:val="22"/>
      </w:rPr>
      <w:t>Statsrådsberedningen</w:t>
    </w:r>
  </w:p>
  <w:p w14:paraId="7AB36B7B" w14:textId="77777777" w:rsidR="00FB32B9" w:rsidRDefault="00443C5B" w:rsidP="00FB32B9">
    <w:pPr>
      <w:pStyle w:val="Avsndare"/>
      <w:framePr w:w="0" w:hRule="auto" w:hSpace="0" w:wrap="auto" w:vAnchor="margin" w:hAnchor="text" w:xAlign="left" w:yAlign="inline"/>
    </w:pPr>
  </w:p>
  <w:p w14:paraId="7AB36B7C" w14:textId="77777777" w:rsidR="00FB32B9" w:rsidRDefault="00AD3112" w:rsidP="00FB32B9">
    <w:pPr>
      <w:pStyle w:val="Avsndare"/>
      <w:framePr w:w="0" w:hRule="auto" w:hSpace="0" w:wrap="auto" w:vAnchor="margin" w:hAnchor="text" w:xAlign="left" w:yAlign="inline"/>
    </w:pPr>
    <w:r>
      <w:t>EU-kansliet</w:t>
    </w:r>
  </w:p>
  <w:p w14:paraId="7AB36B7D" w14:textId="77777777" w:rsidR="0012376B" w:rsidRDefault="00443C5B">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735E4774">
      <w:start w:val="1"/>
      <w:numFmt w:val="decimal"/>
      <w:pStyle w:val="Rubrik1"/>
      <w:lvlText w:val="%1."/>
      <w:lvlJc w:val="left"/>
      <w:pPr>
        <w:ind w:left="720" w:hanging="360"/>
      </w:pPr>
    </w:lvl>
    <w:lvl w:ilvl="1" w:tplc="7AC09948" w:tentative="1">
      <w:start w:val="1"/>
      <w:numFmt w:val="lowerLetter"/>
      <w:lvlText w:val="%2."/>
      <w:lvlJc w:val="left"/>
      <w:pPr>
        <w:ind w:left="1440" w:hanging="360"/>
      </w:pPr>
    </w:lvl>
    <w:lvl w:ilvl="2" w:tplc="E3967D34" w:tentative="1">
      <w:start w:val="1"/>
      <w:numFmt w:val="lowerRoman"/>
      <w:lvlText w:val="%3."/>
      <w:lvlJc w:val="right"/>
      <w:pPr>
        <w:ind w:left="2160" w:hanging="180"/>
      </w:pPr>
    </w:lvl>
    <w:lvl w:ilvl="3" w:tplc="C892346C" w:tentative="1">
      <w:start w:val="1"/>
      <w:numFmt w:val="decimal"/>
      <w:lvlText w:val="%4."/>
      <w:lvlJc w:val="left"/>
      <w:pPr>
        <w:ind w:left="2880" w:hanging="360"/>
      </w:pPr>
    </w:lvl>
    <w:lvl w:ilvl="4" w:tplc="9BD23634" w:tentative="1">
      <w:start w:val="1"/>
      <w:numFmt w:val="lowerLetter"/>
      <w:lvlText w:val="%5."/>
      <w:lvlJc w:val="left"/>
      <w:pPr>
        <w:ind w:left="3600" w:hanging="360"/>
      </w:pPr>
    </w:lvl>
    <w:lvl w:ilvl="5" w:tplc="EDB61DB2" w:tentative="1">
      <w:start w:val="1"/>
      <w:numFmt w:val="lowerRoman"/>
      <w:lvlText w:val="%6."/>
      <w:lvlJc w:val="right"/>
      <w:pPr>
        <w:ind w:left="4320" w:hanging="180"/>
      </w:pPr>
    </w:lvl>
    <w:lvl w:ilvl="6" w:tplc="B1E04DE6" w:tentative="1">
      <w:start w:val="1"/>
      <w:numFmt w:val="decimal"/>
      <w:lvlText w:val="%7."/>
      <w:lvlJc w:val="left"/>
      <w:pPr>
        <w:ind w:left="5040" w:hanging="360"/>
      </w:pPr>
    </w:lvl>
    <w:lvl w:ilvl="7" w:tplc="CC2C632A" w:tentative="1">
      <w:start w:val="1"/>
      <w:numFmt w:val="lowerLetter"/>
      <w:lvlText w:val="%8."/>
      <w:lvlJc w:val="left"/>
      <w:pPr>
        <w:ind w:left="5760" w:hanging="360"/>
      </w:pPr>
    </w:lvl>
    <w:lvl w:ilvl="8" w:tplc="AAF40558"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2D46317A">
      <w:start w:val="1"/>
      <w:numFmt w:val="decimal"/>
      <w:lvlText w:val="%1."/>
      <w:lvlJc w:val="left"/>
      <w:pPr>
        <w:ind w:left="360" w:hanging="360"/>
      </w:pPr>
      <w:rPr>
        <w:b w:val="0"/>
      </w:rPr>
    </w:lvl>
    <w:lvl w:ilvl="1" w:tplc="93B869D6" w:tentative="1">
      <w:start w:val="1"/>
      <w:numFmt w:val="lowerLetter"/>
      <w:lvlText w:val="%2."/>
      <w:lvlJc w:val="left"/>
      <w:pPr>
        <w:ind w:left="1080" w:hanging="360"/>
      </w:pPr>
    </w:lvl>
    <w:lvl w:ilvl="2" w:tplc="98F2EB32" w:tentative="1">
      <w:start w:val="1"/>
      <w:numFmt w:val="lowerRoman"/>
      <w:lvlText w:val="%3."/>
      <w:lvlJc w:val="right"/>
      <w:pPr>
        <w:ind w:left="1800" w:hanging="180"/>
      </w:pPr>
    </w:lvl>
    <w:lvl w:ilvl="3" w:tplc="831C4ED6" w:tentative="1">
      <w:start w:val="1"/>
      <w:numFmt w:val="decimal"/>
      <w:lvlText w:val="%4."/>
      <w:lvlJc w:val="left"/>
      <w:pPr>
        <w:ind w:left="2520" w:hanging="360"/>
      </w:pPr>
    </w:lvl>
    <w:lvl w:ilvl="4" w:tplc="CBCCEA62" w:tentative="1">
      <w:start w:val="1"/>
      <w:numFmt w:val="lowerLetter"/>
      <w:lvlText w:val="%5."/>
      <w:lvlJc w:val="left"/>
      <w:pPr>
        <w:ind w:left="3240" w:hanging="360"/>
      </w:pPr>
    </w:lvl>
    <w:lvl w:ilvl="5" w:tplc="30C46030" w:tentative="1">
      <w:start w:val="1"/>
      <w:numFmt w:val="lowerRoman"/>
      <w:lvlText w:val="%6."/>
      <w:lvlJc w:val="right"/>
      <w:pPr>
        <w:ind w:left="3960" w:hanging="180"/>
      </w:pPr>
    </w:lvl>
    <w:lvl w:ilvl="6" w:tplc="7C1A5B78" w:tentative="1">
      <w:start w:val="1"/>
      <w:numFmt w:val="decimal"/>
      <w:lvlText w:val="%7."/>
      <w:lvlJc w:val="left"/>
      <w:pPr>
        <w:ind w:left="4680" w:hanging="360"/>
      </w:pPr>
    </w:lvl>
    <w:lvl w:ilvl="7" w:tplc="A636DE04" w:tentative="1">
      <w:start w:val="1"/>
      <w:numFmt w:val="lowerLetter"/>
      <w:lvlText w:val="%8."/>
      <w:lvlJc w:val="left"/>
      <w:pPr>
        <w:ind w:left="5400" w:hanging="360"/>
      </w:pPr>
    </w:lvl>
    <w:lvl w:ilvl="8" w:tplc="F52644AE"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3A9"/>
    <w:rsid w:val="001C2A71"/>
    <w:rsid w:val="00443C5B"/>
    <w:rsid w:val="004D39F1"/>
    <w:rsid w:val="00834B36"/>
    <w:rsid w:val="009A13A9"/>
    <w:rsid w:val="00AD3112"/>
    <w:rsid w:val="00F00C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36B18"/>
  <w15:docId w15:val="{D8592D83-91D6-4C7D-9351-B2790157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RKnormal">
    <w:name w:val="RKnormal"/>
    <w:basedOn w:val="Normal"/>
    <w:rsid w:val="00834B36"/>
    <w:pPr>
      <w:tabs>
        <w:tab w:val="left" w:pos="2835"/>
      </w:tabs>
      <w:spacing w:after="0" w:line="240" w:lineRule="atLeast"/>
      <w:ind w:left="0"/>
    </w:pPr>
    <w:rPr>
      <w:rFonts w:ascii="OrigGarmnd BT" w:eastAsia="Times New Roman" w:hAnsi="OrigGarmnd BT"/>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JE6N4JFJXNNF-17-41484</_dlc_DocId>
    <_dlc_DocIdUrl xmlns="8b66ae41-1ec6-402e-b662-35d1932ca064">
      <Url>http://rkdhs-sb/enhet/EUKansli/_layouts/DocIdRedir.aspx?ID=JE6N4JFJXNNF-17-41484</Url>
      <Description>JE6N4JFJXNNF-17-41484</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82632-F959-4879-9606-3CD79BABB4D4}">
  <ds:schemaRefs>
    <ds:schemaRef ds:uri="http://schemas.microsoft.com/sharepoint/v3/contenttype/forms"/>
  </ds:schemaRefs>
</ds:datastoreItem>
</file>

<file path=customXml/itemProps2.xml><?xml version="1.0" encoding="utf-8"?>
<ds:datastoreItem xmlns:ds="http://schemas.openxmlformats.org/officeDocument/2006/customXml" ds:itemID="{88339FBD-1ADD-4FFC-B7D5-9F66BDDEBA1E}">
  <ds:schemaRefs>
    <ds:schemaRef ds:uri="http://schemas.microsoft.com/sharepoint/v3/contenttype/forms/url"/>
  </ds:schemaRefs>
</ds:datastoreItem>
</file>

<file path=customXml/itemProps3.xml><?xml version="1.0" encoding="utf-8"?>
<ds:datastoreItem xmlns:ds="http://schemas.openxmlformats.org/officeDocument/2006/customXml" ds:itemID="{A79752D8-28F4-4F87-9A31-B4C5E3A89329}">
  <ds:schemaRefs>
    <ds:schemaRef ds:uri="http://schemas.microsoft.com/office/2006/metadata/customXsn"/>
  </ds:schemaRefs>
</ds:datastoreItem>
</file>

<file path=customXml/itemProps4.xml><?xml version="1.0" encoding="utf-8"?>
<ds:datastoreItem xmlns:ds="http://schemas.openxmlformats.org/officeDocument/2006/customXml" ds:itemID="{8C0E78A6-8876-4933-A511-83FB7F31946A}">
  <ds:schemaRefs>
    <ds:schemaRef ds:uri="http://schemas.microsoft.com/sharepoint/events"/>
  </ds:schemaRefs>
</ds:datastoreItem>
</file>

<file path=customXml/itemProps5.xml><?xml version="1.0" encoding="utf-8"?>
<ds:datastoreItem xmlns:ds="http://schemas.openxmlformats.org/officeDocument/2006/customXml" ds:itemID="{75A99839-BEA6-49B9-8281-D8747A05E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80270AC-EA00-4642-A34F-FC6CF84AD8C9}">
  <ds:schemaRefs>
    <ds:schemaRef ds:uri="http://schemas.microsoft.com/office/2006/metadata/properties"/>
    <ds:schemaRef ds:uri="http://schemas.microsoft.com/office/infopath/2007/PartnerControls"/>
    <ds:schemaRef ds:uri="8b66ae41-1ec6-402e-b662-35d1932ca064"/>
  </ds:schemaRefs>
</ds:datastoreItem>
</file>

<file path=customXml/itemProps7.xml><?xml version="1.0" encoding="utf-8"?>
<ds:datastoreItem xmlns:ds="http://schemas.openxmlformats.org/officeDocument/2006/customXml" ds:itemID="{C16A45C9-947C-4FC1-8B49-F413EE65B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1940</Words>
  <Characters>10288</Characters>
  <Application>Microsoft Office Word</Application>
  <DocSecurity>4</DocSecurity>
  <Lines>85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12204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Sara Lindberg</cp:lastModifiedBy>
  <cp:revision>2</cp:revision>
  <dcterms:created xsi:type="dcterms:W3CDTF">2016-02-09T09:47:00Z</dcterms:created>
  <dcterms:modified xsi:type="dcterms:W3CDTF">2016-02-09T09:47:00Z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2ace7bdb-41c3-4c7c-9318-17217dc5058e</vt:lpwstr>
  </property>
</Properties>
</file>