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17875">
        <w:tblPrEx>
          <w:tblCellMar>
            <w:top w:w="0" w:type="dxa"/>
            <w:left w:w="0" w:type="dxa"/>
            <w:bottom w:w="0" w:type="dxa"/>
            <w:right w:w="0" w:type="dxa"/>
          </w:tblCellMar>
        </w:tblPrEx>
        <w:trPr>
          <w:gridAfter w:val="2"/>
          <w:wAfter w:w="1758" w:type="dxa"/>
          <w:cantSplit/>
          <w:trHeight w:val="1320"/>
        </w:trPr>
        <w:tc>
          <w:tcPr>
            <w:tcW w:w="5897" w:type="dxa"/>
          </w:tcPr>
          <w:p w:rsidR="00692E90" w:rsidRPr="00617875" w:rsidRDefault="00692E90">
            <w:pPr>
              <w:pStyle w:val="HuvudRubrik"/>
            </w:pPr>
            <w:r w:rsidRPr="00617875">
              <w:t>Regeringskansliet</w:t>
            </w:r>
          </w:p>
          <w:p w:rsidR="00692E90" w:rsidRPr="00617875" w:rsidRDefault="00692E90">
            <w:pPr>
              <w:pStyle w:val="HuvudRubrik"/>
            </w:pPr>
            <w:r w:rsidRPr="00617875">
              <w:t>Faktapromemoria  2010/11:FPM24</w:t>
            </w:r>
          </w:p>
        </w:tc>
      </w:tr>
      <w:tr w:rsidR="00000000" w:rsidRPr="00617875">
        <w:tblPrEx>
          <w:tblCellMar>
            <w:top w:w="0" w:type="dxa"/>
            <w:left w:w="0" w:type="dxa"/>
            <w:bottom w:w="0" w:type="dxa"/>
            <w:right w:w="0" w:type="dxa"/>
          </w:tblCellMar>
        </w:tblPrEx>
        <w:trPr>
          <w:gridAfter w:val="2"/>
          <w:wAfter w:w="1758" w:type="dxa"/>
          <w:cantSplit/>
          <w:trHeight w:val="240"/>
        </w:trPr>
        <w:tc>
          <w:tcPr>
            <w:tcW w:w="5897" w:type="dxa"/>
          </w:tcPr>
          <w:p w:rsidR="00692E90" w:rsidRPr="00617875" w:rsidRDefault="00692E90">
            <w:pPr>
              <w:pStyle w:val="HuvudRubrik"/>
              <w:rPr>
                <w:sz w:val="28"/>
              </w:rPr>
            </w:pPr>
            <w:r w:rsidRPr="00617875">
              <w:t>Finansiering av integrerad havspolitik</w:t>
            </w:r>
          </w:p>
        </w:tc>
      </w:tr>
      <w:tr w:rsidR="00000000" w:rsidRPr="00617875">
        <w:tblPrEx>
          <w:tblCellMar>
            <w:top w:w="0" w:type="dxa"/>
            <w:left w:w="0" w:type="dxa"/>
            <w:bottom w:w="0" w:type="dxa"/>
            <w:right w:w="0" w:type="dxa"/>
          </w:tblCellMar>
        </w:tblPrEx>
        <w:trPr>
          <w:cantSplit/>
          <w:trHeight w:val="285"/>
        </w:trPr>
        <w:tc>
          <w:tcPr>
            <w:tcW w:w="7655" w:type="dxa"/>
            <w:gridSpan w:val="3"/>
          </w:tcPr>
          <w:p w:rsidR="00692E90" w:rsidRPr="00617875" w:rsidRDefault="00692E90">
            <w:pPr>
              <w:pStyle w:val="Departement"/>
              <w:rPr>
                <w:sz w:val="28"/>
              </w:rPr>
            </w:pPr>
            <w:r w:rsidRPr="00617875">
              <w:t>Näringsdepartementet</w:t>
            </w:r>
          </w:p>
        </w:tc>
      </w:tr>
      <w:tr w:rsidR="00000000" w:rsidRPr="00617875">
        <w:tblPrEx>
          <w:tblCellMar>
            <w:top w:w="0" w:type="dxa"/>
            <w:left w:w="0" w:type="dxa"/>
            <w:bottom w:w="0" w:type="dxa"/>
            <w:right w:w="0" w:type="dxa"/>
          </w:tblCellMar>
        </w:tblPrEx>
        <w:trPr>
          <w:cantSplit/>
          <w:trHeight w:val="240"/>
        </w:trPr>
        <w:tc>
          <w:tcPr>
            <w:tcW w:w="7655" w:type="dxa"/>
            <w:gridSpan w:val="3"/>
          </w:tcPr>
          <w:p w:rsidR="00692E90" w:rsidRPr="00617875" w:rsidRDefault="00692E90">
            <w:pPr>
              <w:pStyle w:val="Dokumentdatum"/>
            </w:pPr>
            <w:r w:rsidRPr="00617875">
              <w:t>2010-11-16</w:t>
            </w:r>
          </w:p>
        </w:tc>
      </w:tr>
      <w:tr w:rsidR="00000000" w:rsidRPr="00617875">
        <w:tblPrEx>
          <w:tblCellMar>
            <w:top w:w="0" w:type="dxa"/>
            <w:left w:w="0" w:type="dxa"/>
            <w:bottom w:w="0" w:type="dxa"/>
            <w:right w:w="0" w:type="dxa"/>
          </w:tblCellMar>
        </w:tblPrEx>
        <w:trPr>
          <w:cantSplit/>
          <w:trHeight w:val="726"/>
        </w:trPr>
        <w:tc>
          <w:tcPr>
            <w:tcW w:w="7655" w:type="dxa"/>
            <w:gridSpan w:val="3"/>
            <w:vAlign w:val="bottom"/>
          </w:tcPr>
          <w:p w:rsidR="00692E90" w:rsidRPr="00617875" w:rsidRDefault="00692E90">
            <w:pPr>
              <w:pStyle w:val="Dokumentbeteckning"/>
            </w:pPr>
            <w:r w:rsidRPr="00617875">
              <w:t>Dokumentbeteckning</w:t>
            </w:r>
          </w:p>
        </w:tc>
      </w:tr>
      <w:tr w:rsidR="00000000" w:rsidRPr="00617875">
        <w:tblPrEx>
          <w:tblCellMar>
            <w:top w:w="0" w:type="dxa"/>
            <w:left w:w="0" w:type="dxa"/>
            <w:bottom w:w="0" w:type="dxa"/>
            <w:right w:w="0" w:type="dxa"/>
          </w:tblCellMar>
        </w:tblPrEx>
        <w:trPr>
          <w:gridAfter w:val="1"/>
          <w:wAfter w:w="1560" w:type="dxa"/>
          <w:trHeight w:val="120"/>
        </w:trPr>
        <w:tc>
          <w:tcPr>
            <w:tcW w:w="6095" w:type="dxa"/>
            <w:gridSpan w:val="2"/>
          </w:tcPr>
          <w:p w:rsidR="00692E90" w:rsidRPr="00617875" w:rsidRDefault="00692E90">
            <w:bookmarkStart w:id="0" w:name="KomNr"/>
            <w:bookmarkEnd w:id="0"/>
            <w:r w:rsidRPr="00617875">
              <w:t>KOM(2010) 494</w:t>
            </w:r>
          </w:p>
        </w:tc>
      </w:tr>
      <w:tr w:rsidR="00000000" w:rsidRPr="00617875">
        <w:tblPrEx>
          <w:tblCellMar>
            <w:top w:w="0" w:type="dxa"/>
            <w:left w:w="0" w:type="dxa"/>
            <w:bottom w:w="0" w:type="dxa"/>
            <w:right w:w="0" w:type="dxa"/>
          </w:tblCellMar>
        </w:tblPrEx>
        <w:trPr>
          <w:gridAfter w:val="1"/>
          <w:wAfter w:w="1560" w:type="dxa"/>
          <w:trHeight w:val="120"/>
        </w:trPr>
        <w:tc>
          <w:tcPr>
            <w:tcW w:w="6095" w:type="dxa"/>
            <w:gridSpan w:val="2"/>
          </w:tcPr>
          <w:p w:rsidR="00692E90" w:rsidRPr="00617875" w:rsidRDefault="00692E90">
            <w:pPr>
              <w:pStyle w:val="Dokumentbeteckning-titel"/>
            </w:pPr>
            <w:r w:rsidRPr="00617875">
              <w:t>Förslag till Europaparlamentets och rådets förordning om inrättande av ett program för att stödja den fortsatta utvecklingen av en integrerad havspolitik</w:t>
            </w:r>
          </w:p>
        </w:tc>
      </w:tr>
    </w:tbl>
    <w:p w:rsidR="00692E90" w:rsidRPr="00617875" w:rsidRDefault="00692E90"/>
    <w:p w:rsidR="00692E90" w:rsidRPr="00617875" w:rsidRDefault="00692E90">
      <w:pPr>
        <w:pStyle w:val="Rubrik1"/>
        <w:numPr>
          <w:ilvl w:val="0"/>
          <w:numId w:val="0"/>
        </w:numPr>
      </w:pPr>
      <w:r w:rsidRPr="00617875">
        <w:t>Sammanfattning</w:t>
      </w:r>
    </w:p>
    <w:p w:rsidR="00692E90" w:rsidRPr="00617875" w:rsidRDefault="00692E90">
      <w:r w:rsidRPr="00617875">
        <w:t xml:space="preserve">För att möjliggöra fortsatt arbete med integrerad havspolitik har kommissionen presenterat förslag till program för att stödja aktiviteter inom politikområdet. Förslaget är nödvändigt då kommissionen inte längre än tre år kan finansiera verksamhet med projektmedel. Regeringen ställer sig positivt till att fortsatta möjligheter att finansiera aktiviteter såsom pilotprojekt kan tryggas fram till 2013.  </w:t>
      </w:r>
    </w:p>
    <w:p w:rsidR="00692E90" w:rsidRPr="00617875" w:rsidRDefault="00692E90">
      <w:pPr>
        <w:pStyle w:val="Rubrik1"/>
      </w:pPr>
      <w:r w:rsidRPr="00617875">
        <w:t>Förslaget</w:t>
      </w:r>
    </w:p>
    <w:p w:rsidR="00692E90" w:rsidRPr="00617875" w:rsidRDefault="00692E90">
      <w:pPr>
        <w:pStyle w:val="Rubrik2"/>
      </w:pPr>
      <w:r w:rsidRPr="00617875">
        <w:t>Ärendets bakgrund</w:t>
      </w:r>
    </w:p>
    <w:p w:rsidR="00692E90" w:rsidRPr="00617875" w:rsidRDefault="00692E90">
      <w:r w:rsidRPr="00617875">
        <w:t>Kommissionen presenterade en vitbok om integrerad havspolitik hösten 2007, även kallad Blåboken, och Europeiska rådet välkomnade initiativet i sina slutsatser i december samma år. Det arbete som drivits sedan dess har finansierats av projektmedel men det är enligt EU:s budgetreglering begränsat till tre år. Rådet har antagit slutsatser om inriktningen för EU:s integrerade havspolitik, nu senast i juni i år. Kommissionen presenterade förslaget till förordning den 29 september.</w:t>
      </w:r>
    </w:p>
    <w:p w:rsidR="00692E90" w:rsidRPr="00617875" w:rsidRDefault="00692E90">
      <w:pPr>
        <w:pStyle w:val="Rubrik2"/>
      </w:pPr>
      <w:r w:rsidRPr="00617875">
        <w:t>Förslagets innehåll</w:t>
      </w:r>
    </w:p>
    <w:p w:rsidR="00692E90" w:rsidRPr="00617875" w:rsidRDefault="00692E90">
      <w:r w:rsidRPr="00617875">
        <w:t xml:space="preserve">Förslaget innebär att ett finansiellt program inrättas för de aktiviteter som faller inom politikområdet integrerad havspolitik, något som inte finns idag. Programmet ska löpa under tre år 2011-2013 under nuvarande finansiella </w:t>
      </w:r>
      <w:r w:rsidRPr="00617875">
        <w:lastRenderedPageBreak/>
        <w:t>perspektiv. Förslaget reglerar vad som ska finansieras och vilka parter som ska kunna ta emot bidrag för verksamheter inom politikområdet och hur det ska ske. Det reglerar också beslutsförfarande för den årliga allokeringen av medel, uppföljning och återrapportering och anger en total  budget för de tre åren till 50 miljoner euro.</w:t>
      </w:r>
    </w:p>
    <w:p w:rsidR="00692E90" w:rsidRPr="00617875" w:rsidRDefault="00692E90">
      <w:pPr>
        <w:pStyle w:val="Rubrik2"/>
      </w:pPr>
      <w:r w:rsidRPr="00617875">
        <w:t>Gällande svenska regler och förslagets effekt på dessa</w:t>
      </w:r>
    </w:p>
    <w:p w:rsidR="00692E90" w:rsidRPr="00617875" w:rsidRDefault="00692E90">
      <w:r w:rsidRPr="00617875">
        <w:t>Förslaget medför inga konsekvenser för nationella regler.</w:t>
      </w:r>
    </w:p>
    <w:p w:rsidR="00692E90" w:rsidRPr="00617875" w:rsidRDefault="00692E90">
      <w:pPr>
        <w:pStyle w:val="Rubrik2"/>
      </w:pPr>
      <w:r w:rsidRPr="00617875">
        <w:t>Budgetära konsekvenser / Konsekvensanalys</w:t>
      </w:r>
    </w:p>
    <w:p w:rsidR="00692E90" w:rsidRPr="00617875" w:rsidRDefault="00692E90">
      <w:r w:rsidRPr="00617875">
        <w:t xml:space="preserve">Kommissionen föreslår finansiering genom marginalen (outnyttjade medel) under rubrik 2, Bevarande och förvaltning av naturresurser. Marginalen i EU-budgeten ska i första hand återbetalas till medlemsstaterna eller användas till oförutsedda händelser. Med kommissionens förslag minskar möjligheterna till återbetalning till medlemsstaterna. </w:t>
      </w:r>
    </w:p>
    <w:p w:rsidR="00692E90" w:rsidRPr="00617875" w:rsidRDefault="00692E90">
      <w:pPr>
        <w:pStyle w:val="Rubrik1"/>
        <w:numPr>
          <w:ilvl w:val="0"/>
          <w:numId w:val="0"/>
        </w:numPr>
      </w:pPr>
      <w:r w:rsidRPr="00617875">
        <w:t>2</w:t>
      </w:r>
      <w:r w:rsidRPr="00617875">
        <w:tab/>
        <w:t>Ståndpunkter</w:t>
      </w:r>
    </w:p>
    <w:p w:rsidR="00692E90" w:rsidRPr="00617875" w:rsidRDefault="00692E90">
      <w:pPr>
        <w:pStyle w:val="Rubrik2"/>
        <w:numPr>
          <w:ilvl w:val="0"/>
          <w:numId w:val="0"/>
        </w:numPr>
      </w:pPr>
      <w:r w:rsidRPr="00617875">
        <w:t xml:space="preserve">2.1 </w:t>
      </w:r>
      <w:r w:rsidRPr="00617875">
        <w:tab/>
        <w:t>Preliminär svensk ståndpunkt</w:t>
      </w:r>
    </w:p>
    <w:p w:rsidR="00692E90" w:rsidRPr="00617875" w:rsidRDefault="00692E90">
      <w:r w:rsidRPr="00617875">
        <w:t>Regeringen ställer sig positiv till att fortsatt finansiering skapas för att driva den integrerade havspolitiken vidare. Samtidigt är regeringen av den uppfattningen att omallokeringar i första hand ska sökas inom berörd rubrik, exempelvis rubrik 2, och är därmed tveksam till den del i förslaget som avser användningen av budgetmarginalen. Regeringen stödjer den sektorsövergripande ansatsen i den integrerade havspolitiken. Det är därför angeläget att klargöra länken till EU:s st</w:t>
      </w:r>
      <w:r w:rsidRPr="00617875">
        <w:t xml:space="preserve">rategi för Östersjöregionen med motsvarande ansats, jämte hur de civil-militära aspekterna, främst avseende sjöövervakning, beaktas. </w:t>
      </w:r>
    </w:p>
    <w:p w:rsidR="00692E90" w:rsidRPr="00617875" w:rsidRDefault="00692E90">
      <w:pPr>
        <w:pStyle w:val="Rubrik2"/>
        <w:numPr>
          <w:ilvl w:val="0"/>
          <w:numId w:val="0"/>
        </w:numPr>
      </w:pPr>
      <w:r w:rsidRPr="00617875">
        <w:t xml:space="preserve">2.2 </w:t>
      </w:r>
      <w:r w:rsidRPr="00617875">
        <w:tab/>
        <w:t>Medlemsstaternas ståndpunkter</w:t>
      </w:r>
    </w:p>
    <w:p w:rsidR="00692E90" w:rsidRPr="00617875" w:rsidRDefault="00692E90">
      <w:r w:rsidRPr="00617875">
        <w:t xml:space="preserve">Flertalet medlemsstater är likt den svenska regeringen positiva till att ett finansiellt utrymme skapas, men är frågande till budgetens storlek, finansieringsform och att medlemsstaterna inte ska få tillräcklig möjlighet att påverka programmets innehåll. </w:t>
      </w:r>
    </w:p>
    <w:p w:rsidR="00692E90" w:rsidRPr="00617875" w:rsidRDefault="00692E90">
      <w:pPr>
        <w:pStyle w:val="Rubrik2"/>
        <w:numPr>
          <w:ilvl w:val="0"/>
          <w:numId w:val="0"/>
        </w:numPr>
      </w:pPr>
      <w:r w:rsidRPr="00617875">
        <w:t>2.3</w:t>
      </w:r>
      <w:r w:rsidRPr="00617875">
        <w:tab/>
        <w:t>Institutionernas ståndpunkter</w:t>
      </w:r>
    </w:p>
    <w:p w:rsidR="00692E90" w:rsidRPr="00617875" w:rsidRDefault="00692E90">
      <w:r w:rsidRPr="00617875">
        <w:t>Europaparlamentet har inte behandlat frågan. Parlamentet har heller ännu inte avgjort i vilket utskott denna tvärsektoriella fråga ska behandlas. Eftersom frågan är tvärsektoriell berörs många generaldirektorat inom kommissionen och även EU-myndigheter.</w:t>
      </w:r>
    </w:p>
    <w:p w:rsidR="00692E90" w:rsidRPr="00617875" w:rsidRDefault="00692E90"/>
    <w:p w:rsidR="00692E90" w:rsidRPr="00617875" w:rsidRDefault="00692E90">
      <w:pPr>
        <w:pStyle w:val="Rubrik2"/>
        <w:numPr>
          <w:ilvl w:val="0"/>
          <w:numId w:val="0"/>
        </w:numPr>
      </w:pPr>
      <w:r w:rsidRPr="00617875">
        <w:t>2.4</w:t>
      </w:r>
      <w:r w:rsidRPr="00617875">
        <w:tab/>
        <w:t>Remissinstansernas ståndpunkter</w:t>
      </w:r>
    </w:p>
    <w:p w:rsidR="00692E90" w:rsidRPr="00617875" w:rsidRDefault="00692E90">
      <w:r w:rsidRPr="00617875">
        <w:t>Inte aktuellt.</w:t>
      </w:r>
    </w:p>
    <w:p w:rsidR="00692E90" w:rsidRPr="00617875" w:rsidRDefault="00692E90">
      <w:pPr>
        <w:pStyle w:val="Rubrik1"/>
        <w:numPr>
          <w:ilvl w:val="0"/>
          <w:numId w:val="0"/>
        </w:numPr>
      </w:pPr>
      <w:r w:rsidRPr="00617875">
        <w:t>3</w:t>
      </w:r>
      <w:r w:rsidRPr="00617875">
        <w:tab/>
        <w:t>Förslagets förutsättningar</w:t>
      </w:r>
    </w:p>
    <w:p w:rsidR="00692E90" w:rsidRPr="00617875" w:rsidRDefault="00692E90">
      <w:pPr>
        <w:pStyle w:val="Rubrik2"/>
        <w:numPr>
          <w:ilvl w:val="0"/>
          <w:numId w:val="0"/>
        </w:numPr>
      </w:pPr>
      <w:r w:rsidRPr="00617875">
        <w:t>3.1</w:t>
      </w:r>
      <w:r w:rsidRPr="00617875">
        <w:tab/>
        <w:t>Rättslig grund och beslutsförfarande</w:t>
      </w:r>
    </w:p>
    <w:p w:rsidR="00692E90" w:rsidRPr="00617875" w:rsidRDefault="00692E90">
      <w:r w:rsidRPr="00617875">
        <w:t>Kommissionen har föreslagit att sammanlagt elva artiklar i fördraget om Europeiska unionens funktionssätt ska vara tillämpliga. Det är artiklarna; 43(2), 74, 77(2), 91(1), 100(2), 173(3), 175, 188, 192(1), 194(2) och 195(2).</w:t>
      </w:r>
    </w:p>
    <w:p w:rsidR="00692E90" w:rsidRPr="00617875" w:rsidRDefault="00692E90">
      <w:pPr>
        <w:pStyle w:val="Rubrik2"/>
        <w:numPr>
          <w:ilvl w:val="0"/>
          <w:numId w:val="0"/>
        </w:numPr>
      </w:pPr>
      <w:r w:rsidRPr="00617875">
        <w:t>3.2</w:t>
      </w:r>
      <w:r w:rsidRPr="00617875">
        <w:tab/>
        <w:t>Subsidiaritets- och proportionalitetsprincipen</w:t>
      </w:r>
    </w:p>
    <w:p w:rsidR="00692E90" w:rsidRPr="00617875" w:rsidRDefault="00692E90">
      <w:r w:rsidRPr="00617875">
        <w:t xml:space="preserve">Förslaget bedöms inte inverka negativt på subsidiaritets- eller proportionalitetsprinciperna. Regeringen har på Riksdagens begäran genomfört en särskild subsidiaritetsbedömning enligt följande; </w:t>
      </w:r>
    </w:p>
    <w:p w:rsidR="00692E90" w:rsidRPr="00617875" w:rsidRDefault="00692E90">
      <w:r w:rsidRPr="00617875">
        <w:t>Kommissionen menar att tvärsektoriellt arbete för att genomföra integrerad havspolitik på EU-nivå kommer att komplettera motsvarande nationella åtgärder. Regeringen delar kommissionens uppfattning och vill framhålla att samarbete på EU-nivån är angeläget bland annat utifrån att ingen enskild medlemsstat har egen jurisdiktion över en havsbassäng. Erfarenhetsutbyte mellan olika regionala samarbeten är också motiverat i utvecklingen av ett nytt angreppssätt som detta. Förslaget är därför förenligt med subsidi</w:t>
      </w:r>
      <w:r w:rsidRPr="00617875">
        <w:t xml:space="preserve">aritetsprincipen. </w:t>
      </w:r>
    </w:p>
    <w:p w:rsidR="00692E90" w:rsidRPr="00617875" w:rsidRDefault="00692E90">
      <w:pPr>
        <w:pStyle w:val="Rubrik1"/>
        <w:numPr>
          <w:ilvl w:val="0"/>
          <w:numId w:val="0"/>
        </w:numPr>
      </w:pPr>
      <w:r w:rsidRPr="00617875">
        <w:t>4</w:t>
      </w:r>
      <w:r w:rsidRPr="00617875">
        <w:tab/>
        <w:t>Övrigt</w:t>
      </w:r>
    </w:p>
    <w:p w:rsidR="00692E90" w:rsidRPr="00617875" w:rsidRDefault="00692E90">
      <w:pPr>
        <w:pStyle w:val="Rubrik2"/>
        <w:numPr>
          <w:ilvl w:val="0"/>
          <w:numId w:val="0"/>
        </w:numPr>
      </w:pPr>
      <w:r w:rsidRPr="00617875">
        <w:t>4.1</w:t>
      </w:r>
      <w:r w:rsidRPr="00617875">
        <w:tab/>
        <w:t>Fortsatt behandling av ärendet</w:t>
      </w:r>
    </w:p>
    <w:p w:rsidR="00692E90" w:rsidRPr="00617875" w:rsidRDefault="00692E90">
      <w:r w:rsidRPr="00617875">
        <w:t xml:space="preserve">Ordförandeskapet planerar för en överenskommelse inom rådet innan kommande nyår. Europaparlamentets tidsplanering är mer oviss. </w:t>
      </w:r>
    </w:p>
    <w:p w:rsidR="00692E90" w:rsidRPr="00617875" w:rsidRDefault="00692E90">
      <w:pPr>
        <w:pStyle w:val="Rubrik2"/>
        <w:numPr>
          <w:ilvl w:val="0"/>
          <w:numId w:val="0"/>
        </w:numPr>
      </w:pPr>
      <w:r w:rsidRPr="00617875">
        <w:t>4.2</w:t>
      </w:r>
      <w:r w:rsidRPr="00617875">
        <w:tab/>
        <w:t>Fackuttryck / termer</w:t>
      </w:r>
    </w:p>
    <w:p w:rsidR="00692E90" w:rsidRPr="00617875" w:rsidRDefault="00692E90">
      <w:r w:rsidRPr="00617875">
        <w:t>IMP – Integrrerad havspolitik (</w:t>
      </w:r>
      <w:r w:rsidRPr="00617875">
        <w:rPr>
          <w:i/>
        </w:rPr>
        <w:t>Integrated Maritime Policy)</w:t>
      </w:r>
    </w:p>
    <w:sectPr w:rsidR="00692E90" w:rsidRPr="0061787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E90" w:rsidRPr="00617875" w:rsidRDefault="00692E90">
      <w:r w:rsidRPr="00617875">
        <w:separator/>
      </w:r>
    </w:p>
  </w:endnote>
  <w:endnote w:type="continuationSeparator" w:id="0">
    <w:p w:rsidR="00692E90" w:rsidRPr="00617875" w:rsidRDefault="00692E90">
      <w:r w:rsidRPr="00617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E90" w:rsidRPr="00617875" w:rsidRDefault="00692E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E90" w:rsidRPr="00617875" w:rsidRDefault="00692E90">
    <w:pPr>
      <w:pStyle w:val="SidfotH"/>
      <w:framePr w:wrap="around"/>
    </w:pPr>
    <w:r w:rsidRPr="00617875">
      <w:t>3</w:t>
    </w:r>
  </w:p>
  <w:p w:rsidR="00692E90" w:rsidRPr="00617875" w:rsidRDefault="00692E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E90" w:rsidRPr="00617875" w:rsidRDefault="00692E90">
    <w:pPr>
      <w:pStyle w:val="SidfotH"/>
      <w:framePr w:wrap="around"/>
    </w:pPr>
    <w:r w:rsidRPr="00617875">
      <w:t>1</w:t>
    </w:r>
  </w:p>
  <w:p w:rsidR="00692E90" w:rsidRPr="00617875" w:rsidRDefault="00692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E90" w:rsidRPr="00617875" w:rsidRDefault="00692E90">
      <w:r w:rsidRPr="00617875">
        <w:separator/>
      </w:r>
    </w:p>
  </w:footnote>
  <w:footnote w:type="continuationSeparator" w:id="0">
    <w:p w:rsidR="00692E90" w:rsidRPr="00617875" w:rsidRDefault="00692E90">
      <w:r w:rsidRPr="00617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E90" w:rsidRPr="00617875" w:rsidRDefault="00692E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E90" w:rsidRPr="00617875" w:rsidRDefault="00692E90">
    <w:pPr>
      <w:pStyle w:val="Kantrubrik"/>
      <w:framePr w:h="1157" w:hRule="exact" w:wrap="around" w:y="738"/>
    </w:pPr>
    <w:r w:rsidRPr="00617875">
      <w:t>2010/11:FPM24</w:t>
    </w:r>
  </w:p>
  <w:p w:rsidR="00692E90" w:rsidRPr="00617875" w:rsidRDefault="00692E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E90" w:rsidRPr="00617875" w:rsidRDefault="00617875">
    <w:pPr>
      <w:pStyle w:val="Sidhuvud"/>
    </w:pPr>
    <w:r w:rsidRPr="0061787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08899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E90" w:rsidRDefault="00692E9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92E90" w:rsidRDefault="00692E90">
                    <w:pPr>
                      <w:pStyle w:val="Logo"/>
                    </w:pPr>
                    <w:r>
                      <w:object w:dxaOrig="840" w:dyaOrig="1545">
                        <v:shape id="_x0000_i1025" type="#_x0000_t75" style="width:42pt;height:77.15pt" filled="t">
                          <v:imagedata r:id="rId1" o:title=""/>
                        </v:shape>
                        <o:OLEObject Type="Embed" ProgID="Word.Picture.8" ShapeID="_x0000_i1025" DrawAspect="Content" ObjectID="_18275212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41596596">
    <w:abstractNumId w:val="4"/>
  </w:num>
  <w:num w:numId="2" w16cid:durableId="1859852341">
    <w:abstractNumId w:val="1"/>
  </w:num>
  <w:num w:numId="3" w16cid:durableId="1430009606">
    <w:abstractNumId w:val="2"/>
  </w:num>
  <w:num w:numId="4" w16cid:durableId="835612111">
    <w:abstractNumId w:val="3"/>
  </w:num>
  <w:num w:numId="5" w16cid:durableId="1981034320">
    <w:abstractNumId w:val="5"/>
  </w:num>
  <w:num w:numId="6" w16cid:durableId="100632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6"/>
    <w:docVar w:name="Ar" w:val="2010/11"/>
    <w:docVar w:name="Dep" w:val="Näringsdepartementet"/>
    <w:docVar w:name="DepWeb" w:val="Näringsdepartementet"/>
    <w:docVar w:name="GDB1" w:val="KOM(2010) 49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tt program för att stödja den fortsatta utvecklingen av en integrerad havs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94"/>
    <w:docVar w:name="Nr" w:val="24"/>
    <w:docVar w:name="RD_APPVERSION" w:val="3.00"/>
    <w:docVar w:name="Rub" w:val="Finansiering av integrerad havspolitik"/>
    <w:docVar w:name="UppDat" w:val="2010-11-16"/>
    <w:docVar w:name="Utsk" w:val="Trafikutskottet"/>
  </w:docVars>
  <w:rsids>
    <w:rsidRoot w:val="00BC1C78"/>
    <w:rsid w:val="00617875"/>
    <w:rsid w:val="00692E90"/>
    <w:rsid w:val="00BC1C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2CC8D1-ECE9-4F85-9CC5-5A435B10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629</Words>
  <Characters>4315</Characters>
  <Application>Microsoft Office Word</Application>
  <DocSecurity>4</DocSecurity>
  <Lines>91</Lines>
  <Paragraphs>44</Paragraphs>
  <ScaleCrop>false</ScaleCrop>
  <HeadingPairs>
    <vt:vector size="2" baseType="variant">
      <vt:variant>
        <vt:lpstr>Rubrik</vt:lpstr>
      </vt:variant>
      <vt:variant>
        <vt:i4>1</vt:i4>
      </vt:variant>
    </vt:vector>
  </HeadingPairs>
  <TitlesOfParts>
    <vt:vector size="1" baseType="lpstr">
      <vt:lpstr>FPM_201011__24</vt:lpstr>
    </vt:vector>
  </TitlesOfParts>
  <Company>RD-DTSL</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FPM_201011__24</dc:title>
  <dc:subject>FPM_201011__24</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2010-11-16T10:07:00Z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KOM(2010) 494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Finansiering av integrerad havspolitik</vt:lpwstr>
  </property>
  <property fmtid="{D5CDD505-2E9C-101B-9397-08002B2CF9AE}" pid="8" name="UppDat">
    <vt:lpwstr>2010-11-16</vt:lpwstr>
  </property>
  <property fmtid="{D5CDD505-2E9C-101B-9397-08002B2CF9AE}" pid="9" name="AnkDat">
    <vt:lpwstr>2010-11-16</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