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E41" w:rsidRPr="008F058D" w:rsidRDefault="00A57E41">
      <w:pPr>
        <w:pStyle w:val="Hemstlrubrik"/>
        <w:shd w:val="clear" w:color="000000" w:fill="auto"/>
      </w:pPr>
      <w:r w:rsidRPr="008F058D">
        <w:t>Förslag till riksdagsbeslut</w:t>
      </w:r>
    </w:p>
    <w:p w:rsidR="009D7D56" w:rsidRPr="008F058D" w:rsidRDefault="009D7D56">
      <w:pPr>
        <w:pStyle w:val="Hemstlatt"/>
        <w:numPr>
          <w:ilvl w:val="0"/>
          <w:numId w:val="1"/>
        </w:numPr>
        <w:shd w:val="clear" w:color="000000" w:fill="auto"/>
      </w:pPr>
      <w:r w:rsidRPr="008F058D">
        <w:t>Riksdagen avslår regeringens proposition</w:t>
      </w:r>
      <w:r w:rsidRPr="008F058D">
        <w:rPr>
          <w:b/>
        </w:rPr>
        <w:t xml:space="preserve"> </w:t>
      </w:r>
      <w:r w:rsidRPr="008F058D">
        <w:t>2006/07:57 Försäljning av vissa statligt ägda företag.</w:t>
      </w:r>
    </w:p>
    <w:p w:rsidR="009D7D56" w:rsidRPr="008F058D" w:rsidRDefault="009D7D56">
      <w:pPr>
        <w:pStyle w:val="Hemstlatt"/>
        <w:numPr>
          <w:ilvl w:val="0"/>
          <w:numId w:val="1"/>
        </w:numPr>
        <w:shd w:val="clear" w:color="000000" w:fill="auto"/>
      </w:pPr>
      <w:r w:rsidRPr="008F058D">
        <w:t>Riksdagen begär att regeringen, före en eventuell utförsäljning av innehavet i Telia Sonera, måste återkomma till riksdagen med en an</w:t>
      </w:r>
      <w:r w:rsidRPr="008F058D">
        <w:t>a</w:t>
      </w:r>
      <w:r w:rsidRPr="008F058D">
        <w:t>lys av och förslag på olika alternativ för att separera det fasta telenätet från Telia Soneras övriga verksamhet.</w:t>
      </w:r>
    </w:p>
    <w:p w:rsidR="009D7D56" w:rsidRPr="008F058D" w:rsidRDefault="009D7D56">
      <w:pPr>
        <w:pStyle w:val="Hemstlatt"/>
        <w:numPr>
          <w:ilvl w:val="0"/>
          <w:numId w:val="1"/>
        </w:numPr>
        <w:shd w:val="clear" w:color="000000" w:fill="auto"/>
      </w:pPr>
      <w:r w:rsidRPr="008F058D">
        <w:t>Riksdagen tillkännager för regeringen som sin mening vad i motionen anförs om att en analys av konsekvenserna för bolånemarkn</w:t>
      </w:r>
      <w:r w:rsidRPr="008F058D">
        <w:t>a</w:t>
      </w:r>
      <w:r w:rsidRPr="008F058D">
        <w:t>den bör redovisas för riksdagen före en eventuell utförsäljning av SBAB.</w:t>
      </w:r>
    </w:p>
    <w:p w:rsidR="004D7823" w:rsidRPr="008F058D" w:rsidRDefault="004D7823">
      <w:pPr>
        <w:pStyle w:val="Rubrik1"/>
        <w:shd w:val="clear" w:color="000000" w:fill="auto"/>
      </w:pPr>
      <w:r w:rsidRPr="008F058D">
        <w:t>Motivering</w:t>
      </w:r>
    </w:p>
    <w:p w:rsidR="00A57E41" w:rsidRPr="008F058D" w:rsidRDefault="00A57E41">
      <w:pPr>
        <w:shd w:val="clear" w:color="000000" w:fill="auto"/>
      </w:pPr>
      <w:r w:rsidRPr="008F058D">
        <w:t>I sin utförsäljningsproposition aviserar regeringen att det statliga ägandet av företag ska minskas. Efter en första genomgång av de statligt ägda företagen bedömer regeringen att försäljningsprocessen bör inledas med att minska ägandet i de sex företagen Civitas Holding AB (publ</w:t>
      </w:r>
      <w:r w:rsidR="00003E32" w:rsidRPr="008F058D">
        <w:t>.</w:t>
      </w:r>
      <w:r w:rsidRPr="008F058D">
        <w:t>) som äger Vasakronan AB (publ</w:t>
      </w:r>
      <w:r w:rsidR="00003E32" w:rsidRPr="008F058D">
        <w:t>.</w:t>
      </w:r>
      <w:r w:rsidRPr="008F058D">
        <w:t>), Nordea Bank AB (publ</w:t>
      </w:r>
      <w:r w:rsidR="00003E32" w:rsidRPr="008F058D">
        <w:t>.</w:t>
      </w:r>
      <w:r w:rsidRPr="008F058D">
        <w:t>), OMX AB (publ</w:t>
      </w:r>
      <w:r w:rsidR="00003E32" w:rsidRPr="008F058D">
        <w:t>.</w:t>
      </w:r>
      <w:r w:rsidRPr="008F058D">
        <w:t>), Sveriges Bostadsf</w:t>
      </w:r>
      <w:r w:rsidRPr="008F058D">
        <w:t>i</w:t>
      </w:r>
      <w:r w:rsidRPr="008F058D">
        <w:t>nansieringsaktiebolag SBAB (publ</w:t>
      </w:r>
      <w:r w:rsidR="00003E32" w:rsidRPr="008F058D">
        <w:t>.</w:t>
      </w:r>
      <w:r w:rsidRPr="008F058D">
        <w:t>), Telia</w:t>
      </w:r>
      <w:r w:rsidR="00003E32" w:rsidRPr="008F058D">
        <w:t xml:space="preserve"> </w:t>
      </w:r>
      <w:r w:rsidRPr="008F058D">
        <w:t>Sonera AB (publ</w:t>
      </w:r>
      <w:r w:rsidR="00003E32" w:rsidRPr="008F058D">
        <w:t>.</w:t>
      </w:r>
      <w:r w:rsidRPr="008F058D">
        <w:t>), och V&amp;S Vin &amp; Sprit AB (publ</w:t>
      </w:r>
      <w:r w:rsidR="00003E32" w:rsidRPr="008F058D">
        <w:t>.</w:t>
      </w:r>
      <w:r w:rsidRPr="008F058D">
        <w:t xml:space="preserve">). Statens innehav i dessa sex bolag uppgår till ett värde av ungefär 250 miljarder kronor. </w:t>
      </w:r>
    </w:p>
    <w:p w:rsidR="00A57E41" w:rsidRPr="008F058D" w:rsidRDefault="00A57E41">
      <w:pPr>
        <w:pStyle w:val="Normaltindrag"/>
        <w:shd w:val="clear" w:color="000000" w:fill="auto"/>
      </w:pPr>
      <w:r w:rsidRPr="008F058D">
        <w:t>Regeringen radar i sin utförsäljningsproposition upp en katalog av möjliga tillvägagångssätt för försäljningsprocessen av de statliga företagen men red</w:t>
      </w:r>
      <w:r w:rsidRPr="008F058D">
        <w:t>o</w:t>
      </w:r>
      <w:r w:rsidRPr="008F058D">
        <w:t>visar inte närmare hur processen för respektive bolag kommer att se ut. Vid</w:t>
      </w:r>
      <w:r w:rsidRPr="008F058D">
        <w:t>a</w:t>
      </w:r>
      <w:r w:rsidRPr="008F058D">
        <w:t>re vill regeringen ha riksdagens bemyndigande att motta exempelvis aktier som likvid vid försäljningarna samt att regeringen också ges fria händer att ”vidta de åtgärder i övrigt som krävs för att genomföra transaktionerna</w:t>
      </w:r>
      <w:r w:rsidR="00003E32" w:rsidRPr="008F058D">
        <w:t xml:space="preserve"> </w:t>
      </w:r>
      <w:r w:rsidRPr="008F058D">
        <w:t xml:space="preserve">…”. Regeringen begär också riksdagens godkännande för att finansiera statens </w:t>
      </w:r>
      <w:r w:rsidRPr="008F058D">
        <w:lastRenderedPageBreak/>
        <w:t>försäljningskostnader med försäljningsintäkterna.</w:t>
      </w:r>
      <w:r w:rsidR="001407E9" w:rsidRPr="008F058D">
        <w:t xml:space="preserve"> Dock utan att redogöra för hur omfattande dessa kan komma att bli.</w:t>
      </w:r>
    </w:p>
    <w:p w:rsidR="00A57E41" w:rsidRPr="008F058D" w:rsidRDefault="00A57E41">
      <w:pPr>
        <w:pStyle w:val="Rubrik2"/>
        <w:shd w:val="clear" w:color="000000" w:fill="auto"/>
      </w:pPr>
      <w:r w:rsidRPr="008F058D">
        <w:t>De statliga företagen</w:t>
      </w:r>
    </w:p>
    <w:p w:rsidR="00A57E41" w:rsidRPr="008F058D" w:rsidRDefault="00A57E41">
      <w:pPr>
        <w:shd w:val="clear" w:color="000000" w:fill="auto"/>
      </w:pPr>
      <w:r w:rsidRPr="008F058D">
        <w:t xml:space="preserve">Regeringskansliet förvaltar 54 företag eller koncerner, av vilka 40 ägs helt </w:t>
      </w:r>
      <w:r w:rsidR="00003E32" w:rsidRPr="008F058D">
        <w:t xml:space="preserve">av staten </w:t>
      </w:r>
      <w:r w:rsidRPr="008F058D">
        <w:t>och 14 tillsammans med andra. Omkring 190 000 personer är anställda i dessa företag vars värde idag uppskattas till totalt cirka 675 miljarder kr</w:t>
      </w:r>
      <w:r w:rsidRPr="008F058D">
        <w:t>o</w:t>
      </w:r>
      <w:r w:rsidRPr="008F058D">
        <w:t>nor.  Telia</w:t>
      </w:r>
      <w:r w:rsidR="00003E32" w:rsidRPr="008F058D">
        <w:t xml:space="preserve"> </w:t>
      </w:r>
      <w:r w:rsidRPr="008F058D">
        <w:t>Sonera, Nordea, OMX, Vasakronan, SBAB och Vin</w:t>
      </w:r>
      <w:r w:rsidR="00003E32" w:rsidRPr="008F058D">
        <w:t xml:space="preserve"> </w:t>
      </w:r>
      <w:r w:rsidRPr="008F058D">
        <w:t>&amp;</w:t>
      </w:r>
      <w:r w:rsidR="00003E32" w:rsidRPr="008F058D">
        <w:t xml:space="preserve"> </w:t>
      </w:r>
      <w:r w:rsidRPr="008F058D">
        <w:t>Sprit står högst upp på säljlistan och värderas tillsammans till omkring 250 miljarder kronor. Därmed motsvarar de mer än en tredjedel av den statliga bolagsgru</w:t>
      </w:r>
      <w:r w:rsidRPr="008F058D">
        <w:t>p</w:t>
      </w:r>
      <w:r w:rsidRPr="008F058D">
        <w:t>pens samlade värde. Men detta är bara början. Regeringens mål är att alla statliga företag som verkar på konkurrensutsatta marknader, motsvarande ett värde av 600 miljarder kronor eller 90 procent av den statliga bolagsgruppen, på sikt ska säljas ut. Allting tyder dock på att utförsäljningarna är en mycket dålig affär för staten.</w:t>
      </w:r>
    </w:p>
    <w:p w:rsidR="00A57E41" w:rsidRPr="008F058D" w:rsidRDefault="00A57E41">
      <w:pPr>
        <w:pStyle w:val="Rubrik2"/>
        <w:shd w:val="clear" w:color="000000" w:fill="auto"/>
        <w:rPr>
          <w:i/>
        </w:rPr>
      </w:pPr>
      <w:r w:rsidRPr="008F058D">
        <w:t>Utförsäljningarna är en dålig affär för staten</w:t>
      </w:r>
    </w:p>
    <w:p w:rsidR="00A57E41" w:rsidRPr="008F058D" w:rsidRDefault="00A57E41">
      <w:pPr>
        <w:shd w:val="clear" w:color="000000" w:fill="auto"/>
      </w:pPr>
      <w:r w:rsidRPr="008F058D">
        <w:t>Utförsäljningarna ger staten lägre intäkter. Genom att använda de 150 milja</w:t>
      </w:r>
      <w:r w:rsidRPr="008F058D">
        <w:t>r</w:t>
      </w:r>
      <w:r w:rsidRPr="008F058D">
        <w:t>der kronorna till att betala av på statsskulden minskar statens räntekostnader enligt vissa beräkningar med drygt 5 miljarder kronor per år. Men samtidigt går staten också miste om stora utdelningar. Förra året delade bara Telia</w:t>
      </w:r>
      <w:r w:rsidR="00003E32" w:rsidRPr="008F058D">
        <w:t xml:space="preserve"> </w:t>
      </w:r>
      <w:r w:rsidRPr="008F058D">
        <w:t>S</w:t>
      </w:r>
      <w:r w:rsidRPr="008F058D">
        <w:t>o</w:t>
      </w:r>
      <w:r w:rsidRPr="008F058D">
        <w:t>nera, Nordea, OMX, Vasakronan, SBAB och Vin</w:t>
      </w:r>
      <w:r w:rsidR="00003E32" w:rsidRPr="008F058D">
        <w:t xml:space="preserve"> </w:t>
      </w:r>
      <w:r w:rsidRPr="008F058D">
        <w:t>&amp;</w:t>
      </w:r>
      <w:r w:rsidR="00003E32" w:rsidRPr="008F058D">
        <w:t xml:space="preserve"> </w:t>
      </w:r>
      <w:r w:rsidRPr="008F058D">
        <w:t>Sprit ut nästan 10 milja</w:t>
      </w:r>
      <w:r w:rsidRPr="008F058D">
        <w:t>r</w:t>
      </w:r>
      <w:r w:rsidRPr="008F058D">
        <w:t xml:space="preserve">der kronor till staten och i år väntas utdelningarna från dessa sex företag stiga till närmare 16 miljarder kronor. </w:t>
      </w:r>
    </w:p>
    <w:p w:rsidR="00A57E41" w:rsidRPr="008F058D" w:rsidRDefault="00A57E41">
      <w:pPr>
        <w:pStyle w:val="Normaltindrag"/>
        <w:shd w:val="clear" w:color="000000" w:fill="auto"/>
      </w:pPr>
      <w:r w:rsidRPr="008F058D">
        <w:t xml:space="preserve">Det faktum att de statliga företagen är mycket välskötta ger inte heller det några hållbara skäl till varför massiva utförsäljningar nu skyndsamt måste genomföras. Enligt </w:t>
      </w:r>
      <w:r w:rsidR="00003E32" w:rsidRPr="008F058D">
        <w:t xml:space="preserve">riksdagens utredningstjänst </w:t>
      </w:r>
      <w:r w:rsidRPr="008F058D">
        <w:t xml:space="preserve">(RUT) har värderingen av den statliga bolagsportföljen ökat med omkring 300 miljarder kronor sedan 2002, vilket innebär nästan en fördubbling av värdet. Bara under 2006 ökade värdet på statens börsnoterade innehav med 33 procent till 173,9 miljarder kronor. </w:t>
      </w:r>
    </w:p>
    <w:p w:rsidR="00A57E41" w:rsidRPr="008F058D" w:rsidRDefault="00A57E41">
      <w:pPr>
        <w:pStyle w:val="Normaltindrag"/>
        <w:shd w:val="clear" w:color="000000" w:fill="auto"/>
      </w:pPr>
      <w:r w:rsidRPr="008F058D">
        <w:t xml:space="preserve">Från 2001 till 2005 har de statliga företagen delat ut 75,5 miljarder kronor till statskassan och utdelningen för 2006, som betalas ut under 2007, kommer att nå ytterligare en rekordnivå. Enligt </w:t>
      </w:r>
      <w:r w:rsidR="00F36425" w:rsidRPr="008F058D">
        <w:t xml:space="preserve">Näringsdepartementet </w:t>
      </w:r>
      <w:r w:rsidRPr="008F058D">
        <w:t xml:space="preserve">ökar bolagens utdelningar i år </w:t>
      </w:r>
      <w:r w:rsidR="00F36425" w:rsidRPr="008F058D">
        <w:t>med nästan 10</w:t>
      </w:r>
      <w:r w:rsidRPr="008F058D">
        <w:t xml:space="preserve"> miljarder kronor till 36,3 miljarder kronor.</w:t>
      </w:r>
    </w:p>
    <w:p w:rsidR="00A57E41" w:rsidRPr="008F058D" w:rsidRDefault="00A57E41">
      <w:pPr>
        <w:shd w:val="clear" w:color="000000" w:fill="auto"/>
        <w:rPr>
          <w:b/>
          <w:szCs w:val="19"/>
        </w:rPr>
      </w:pPr>
      <w:r w:rsidRPr="008F058D">
        <w:rPr>
          <w:b/>
          <w:szCs w:val="19"/>
        </w:rPr>
        <w:t>Utdelning från företag med statligt ägande (</w:t>
      </w:r>
      <w:r w:rsidR="00F36425" w:rsidRPr="008F058D">
        <w:rPr>
          <w:b/>
          <w:szCs w:val="19"/>
        </w:rPr>
        <w:t>md</w:t>
      </w:r>
      <w:r w:rsidRPr="008F058D">
        <w:rPr>
          <w:b/>
          <w:szCs w:val="19"/>
        </w:rPr>
        <w:t>kr)</w:t>
      </w:r>
    </w:p>
    <w:tbl>
      <w:tblPr>
        <w:tblStyle w:val="Enkeltabell1"/>
        <w:tblW w:w="0" w:type="auto"/>
        <w:tblBorders>
          <w:top w:val="none" w:sz="0" w:space="0" w:color="auto"/>
          <w:bottom w:val="none" w:sz="0" w:space="0" w:color="auto"/>
        </w:tblBorders>
        <w:tblLook w:val="01E0" w:firstRow="1" w:lastRow="1" w:firstColumn="1" w:lastColumn="1" w:noHBand="0" w:noVBand="0"/>
      </w:tblPr>
      <w:tblGrid>
        <w:gridCol w:w="780"/>
        <w:gridCol w:w="863"/>
        <w:gridCol w:w="862"/>
        <w:gridCol w:w="862"/>
        <w:gridCol w:w="862"/>
        <w:gridCol w:w="862"/>
        <w:gridCol w:w="862"/>
      </w:tblGrid>
      <w:tr w:rsidR="00A57E41" w:rsidRPr="008F058D" w:rsidTr="00003E32">
        <w:trPr>
          <w:cnfStyle w:val="100000000000" w:firstRow="1" w:lastRow="0" w:firstColumn="0" w:lastColumn="0" w:oddVBand="0" w:evenVBand="0" w:oddHBand="0" w:evenHBand="0" w:firstRowFirstColumn="0" w:firstRowLastColumn="0" w:lastRowFirstColumn="0" w:lastRowLastColumn="0"/>
        </w:trPr>
        <w:tc>
          <w:tcPr>
            <w:tcW w:w="981" w:type="dxa"/>
            <w:tcBorders>
              <w:top w:val="single" w:sz="4" w:space="0" w:color="auto"/>
              <w:bottom w:val="single" w:sz="4" w:space="0" w:color="auto"/>
            </w:tcBorders>
          </w:tcPr>
          <w:p w:rsidR="00A57E41" w:rsidRPr="008F058D" w:rsidRDefault="00A57E41">
            <w:pPr>
              <w:shd w:val="clear" w:color="000000" w:fill="auto"/>
              <w:spacing w:before="60" w:line="200" w:lineRule="exact"/>
              <w:rPr>
                <w:b/>
                <w:szCs w:val="19"/>
              </w:rPr>
            </w:pPr>
            <w:r w:rsidRPr="008F058D">
              <w:rPr>
                <w:b/>
                <w:szCs w:val="19"/>
              </w:rPr>
              <w:t>År</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b/>
                <w:szCs w:val="19"/>
              </w:rPr>
            </w:pPr>
            <w:r w:rsidRPr="008F058D">
              <w:rPr>
                <w:b/>
                <w:szCs w:val="19"/>
              </w:rPr>
              <w:t>2001</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b/>
                <w:szCs w:val="19"/>
              </w:rPr>
            </w:pPr>
            <w:r w:rsidRPr="008F058D">
              <w:rPr>
                <w:b/>
                <w:szCs w:val="19"/>
              </w:rPr>
              <w:t>2002</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b/>
                <w:szCs w:val="19"/>
              </w:rPr>
            </w:pPr>
            <w:r w:rsidRPr="008F058D">
              <w:rPr>
                <w:b/>
                <w:szCs w:val="19"/>
              </w:rPr>
              <w:t>2003</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b/>
                <w:szCs w:val="19"/>
              </w:rPr>
            </w:pPr>
            <w:r w:rsidRPr="008F058D">
              <w:rPr>
                <w:b/>
                <w:szCs w:val="19"/>
              </w:rPr>
              <w:t>2004</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b/>
                <w:szCs w:val="19"/>
              </w:rPr>
            </w:pPr>
            <w:r w:rsidRPr="008F058D">
              <w:rPr>
                <w:b/>
                <w:szCs w:val="19"/>
              </w:rPr>
              <w:t>2005</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b/>
                <w:szCs w:val="19"/>
              </w:rPr>
            </w:pPr>
            <w:r w:rsidRPr="008F058D">
              <w:rPr>
                <w:b/>
                <w:szCs w:val="19"/>
              </w:rPr>
              <w:t>2006</w:t>
            </w:r>
          </w:p>
        </w:tc>
      </w:tr>
      <w:tr w:rsidR="00A57E41" w:rsidRPr="008F058D" w:rsidTr="00003E32">
        <w:trPr>
          <w:cnfStyle w:val="010000000000" w:firstRow="0" w:lastRow="1" w:firstColumn="0" w:lastColumn="0" w:oddVBand="0" w:evenVBand="0" w:oddHBand="0" w:evenHBand="0" w:firstRowFirstColumn="0" w:firstRowLastColumn="0" w:lastRowFirstColumn="0" w:lastRowLastColumn="0"/>
        </w:trPr>
        <w:tc>
          <w:tcPr>
            <w:tcW w:w="981" w:type="dxa"/>
            <w:tcBorders>
              <w:top w:val="single" w:sz="4" w:space="0" w:color="auto"/>
              <w:bottom w:val="single" w:sz="4" w:space="0" w:color="auto"/>
            </w:tcBorders>
          </w:tcPr>
          <w:p w:rsidR="00A57E41" w:rsidRPr="008F058D" w:rsidRDefault="00A57E41">
            <w:pPr>
              <w:shd w:val="clear" w:color="000000" w:fill="auto"/>
              <w:spacing w:before="60" w:line="200" w:lineRule="exact"/>
              <w:rPr>
                <w:szCs w:val="19"/>
              </w:rPr>
            </w:pPr>
            <w:r w:rsidRPr="008F058D">
              <w:rPr>
                <w:szCs w:val="19"/>
              </w:rPr>
              <w:t>Utdelning</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szCs w:val="19"/>
              </w:rPr>
            </w:pPr>
            <w:r w:rsidRPr="008F058D">
              <w:rPr>
                <w:szCs w:val="19"/>
              </w:rPr>
              <w:t>9,1</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szCs w:val="19"/>
              </w:rPr>
            </w:pPr>
            <w:r w:rsidRPr="008F058D">
              <w:rPr>
                <w:szCs w:val="19"/>
              </w:rPr>
              <w:t>10,0</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szCs w:val="19"/>
              </w:rPr>
            </w:pPr>
            <w:r w:rsidRPr="008F058D">
              <w:rPr>
                <w:szCs w:val="19"/>
              </w:rPr>
              <w:t>12,5</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szCs w:val="19"/>
              </w:rPr>
            </w:pPr>
            <w:r w:rsidRPr="008F058D">
              <w:rPr>
                <w:szCs w:val="19"/>
              </w:rPr>
              <w:t>17,4</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szCs w:val="19"/>
              </w:rPr>
            </w:pPr>
            <w:r w:rsidRPr="008F058D">
              <w:rPr>
                <w:szCs w:val="19"/>
              </w:rPr>
              <w:t>26,5</w:t>
            </w:r>
          </w:p>
        </w:tc>
        <w:tc>
          <w:tcPr>
            <w:tcW w:w="1101"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szCs w:val="19"/>
              </w:rPr>
            </w:pPr>
            <w:r w:rsidRPr="008F058D">
              <w:rPr>
                <w:szCs w:val="19"/>
              </w:rPr>
              <w:t>36,3</w:t>
            </w:r>
          </w:p>
        </w:tc>
      </w:tr>
    </w:tbl>
    <w:p w:rsidR="00A57E41" w:rsidRPr="008F058D" w:rsidRDefault="00A57E41">
      <w:pPr>
        <w:shd w:val="clear" w:color="000000" w:fill="auto"/>
      </w:pPr>
      <w:r w:rsidRPr="008F058D">
        <w:t>Vid årsslutet 2002 uppgick börsvärdet på de noterade statliga företagen till 92,4 miljarder kronor. Sedan dess har värdet stigit med 70,7 miljarder kronor och innehavet noterades i den senaste delårsrapporten i november till 163,1 miljarder kronor. Och sedan dess har värdeökningen fortsatt uppåt. Värdet av statens innehav i Telia</w:t>
      </w:r>
      <w:r w:rsidR="00F36425" w:rsidRPr="008F058D">
        <w:t xml:space="preserve"> </w:t>
      </w:r>
      <w:r w:rsidRPr="008F058D">
        <w:t>Sonera ökade från årsskiftet 2002 med drygt 39 mi</w:t>
      </w:r>
      <w:r w:rsidRPr="008F058D">
        <w:t>l</w:t>
      </w:r>
      <w:r w:rsidRPr="008F058D">
        <w:t xml:space="preserve">jarder kronor till 108,8 miljarder kronor i november 2006. Värdet av statens innehav i Nordea ökade under samma period med nästan 29 miljarder kronor till 49,5 miljarder kronor. </w:t>
      </w:r>
    </w:p>
    <w:p w:rsidR="00A57E41" w:rsidRPr="008F058D" w:rsidRDefault="00A57E41">
      <w:pPr>
        <w:shd w:val="clear" w:color="000000" w:fill="auto"/>
        <w:rPr>
          <w:b/>
          <w:szCs w:val="19"/>
        </w:rPr>
      </w:pPr>
      <w:r w:rsidRPr="008F058D">
        <w:rPr>
          <w:b/>
          <w:szCs w:val="19"/>
        </w:rPr>
        <w:t>Marknadsvärde för delar av statens börsnoterade innehav</w:t>
      </w:r>
      <w:r w:rsidR="00F36425" w:rsidRPr="008F058D">
        <w:rPr>
          <w:b/>
          <w:szCs w:val="19"/>
        </w:rPr>
        <w:t xml:space="preserve"> (mdkr</w:t>
      </w:r>
      <w:r w:rsidRPr="008F058D">
        <w:rPr>
          <w:b/>
          <w:szCs w:val="19"/>
        </w:rPr>
        <w:t>)</w:t>
      </w:r>
    </w:p>
    <w:tbl>
      <w:tblPr>
        <w:tblStyle w:val="Enkeltabell1"/>
        <w:tblW w:w="5954" w:type="dxa"/>
        <w:tblBorders>
          <w:top w:val="none" w:sz="0" w:space="0" w:color="auto"/>
          <w:bottom w:val="none" w:sz="0" w:space="0" w:color="auto"/>
        </w:tblBorders>
        <w:tblLayout w:type="fixed"/>
        <w:tblLook w:val="01A0" w:firstRow="1" w:lastRow="0" w:firstColumn="1" w:lastColumn="1" w:noHBand="0" w:noVBand="0"/>
      </w:tblPr>
      <w:tblGrid>
        <w:gridCol w:w="1487"/>
        <w:gridCol w:w="1489"/>
        <w:gridCol w:w="1489"/>
        <w:gridCol w:w="1489"/>
      </w:tblGrid>
      <w:tr w:rsidR="00A57E41" w:rsidRPr="008F058D" w:rsidTr="00AC030E">
        <w:trPr>
          <w:cnfStyle w:val="100000000000" w:firstRow="1" w:lastRow="0" w:firstColumn="0" w:lastColumn="0" w:oddVBand="0" w:evenVBand="0" w:oddHBand="0" w:evenHBand="0" w:firstRowFirstColumn="0" w:firstRowLastColumn="0" w:lastRowFirstColumn="0" w:lastRowLastColumn="0"/>
        </w:trPr>
        <w:tc>
          <w:tcPr>
            <w:tcW w:w="1877" w:type="dxa"/>
            <w:tcBorders>
              <w:top w:val="single" w:sz="4" w:space="0" w:color="auto"/>
              <w:bottom w:val="single" w:sz="4" w:space="0" w:color="auto"/>
            </w:tcBorders>
          </w:tcPr>
          <w:p w:rsidR="00A57E41" w:rsidRPr="008F058D" w:rsidRDefault="00A57E41">
            <w:pPr>
              <w:shd w:val="clear" w:color="000000" w:fill="auto"/>
              <w:spacing w:before="60" w:line="200" w:lineRule="exact"/>
              <w:rPr>
                <w:b/>
                <w:szCs w:val="19"/>
              </w:rPr>
            </w:pPr>
            <w:r w:rsidRPr="008F058D">
              <w:rPr>
                <w:b/>
                <w:szCs w:val="19"/>
              </w:rPr>
              <w:t>År/Företag</w:t>
            </w:r>
          </w:p>
        </w:tc>
        <w:tc>
          <w:tcPr>
            <w:tcW w:w="1878"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b/>
                <w:szCs w:val="19"/>
              </w:rPr>
            </w:pPr>
            <w:r w:rsidRPr="008F058D">
              <w:rPr>
                <w:b/>
                <w:szCs w:val="19"/>
              </w:rPr>
              <w:t>Nordea</w:t>
            </w:r>
          </w:p>
        </w:tc>
        <w:tc>
          <w:tcPr>
            <w:tcW w:w="1878"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b/>
                <w:szCs w:val="19"/>
              </w:rPr>
            </w:pPr>
            <w:r w:rsidRPr="008F058D">
              <w:rPr>
                <w:b/>
                <w:szCs w:val="19"/>
              </w:rPr>
              <w:t>OMX</w:t>
            </w:r>
          </w:p>
        </w:tc>
        <w:tc>
          <w:tcPr>
            <w:tcW w:w="1878" w:type="dxa"/>
            <w:tcBorders>
              <w:top w:val="single" w:sz="4" w:space="0" w:color="auto"/>
              <w:bottom w:val="single" w:sz="4" w:space="0" w:color="auto"/>
            </w:tcBorders>
          </w:tcPr>
          <w:p w:rsidR="00A57E41" w:rsidRPr="008F058D" w:rsidRDefault="00A57E41">
            <w:pPr>
              <w:shd w:val="clear" w:color="000000" w:fill="auto"/>
              <w:spacing w:before="60" w:line="200" w:lineRule="exact"/>
              <w:jc w:val="center"/>
              <w:rPr>
                <w:b/>
                <w:szCs w:val="19"/>
              </w:rPr>
            </w:pPr>
            <w:r w:rsidRPr="008F058D">
              <w:rPr>
                <w:b/>
                <w:szCs w:val="19"/>
              </w:rPr>
              <w:t>Telia</w:t>
            </w:r>
            <w:r w:rsidR="00F36425" w:rsidRPr="008F058D">
              <w:rPr>
                <w:b/>
                <w:szCs w:val="19"/>
              </w:rPr>
              <w:t xml:space="preserve"> </w:t>
            </w:r>
            <w:r w:rsidRPr="008F058D">
              <w:rPr>
                <w:b/>
                <w:szCs w:val="19"/>
              </w:rPr>
              <w:t>Sonera</w:t>
            </w:r>
          </w:p>
        </w:tc>
      </w:tr>
      <w:tr w:rsidR="00A57E41" w:rsidRPr="008F058D" w:rsidTr="00AC030E">
        <w:tc>
          <w:tcPr>
            <w:tcW w:w="1877" w:type="dxa"/>
            <w:tcBorders>
              <w:top w:val="single" w:sz="4" w:space="0" w:color="auto"/>
            </w:tcBorders>
          </w:tcPr>
          <w:p w:rsidR="00A57E41" w:rsidRPr="008F058D" w:rsidRDefault="00A57E41">
            <w:pPr>
              <w:shd w:val="clear" w:color="000000" w:fill="auto"/>
              <w:spacing w:before="60" w:line="200" w:lineRule="exact"/>
              <w:rPr>
                <w:szCs w:val="19"/>
              </w:rPr>
            </w:pPr>
            <w:r w:rsidRPr="008F058D">
              <w:rPr>
                <w:szCs w:val="19"/>
              </w:rPr>
              <w:t>2006*</w:t>
            </w:r>
          </w:p>
        </w:tc>
        <w:tc>
          <w:tcPr>
            <w:tcW w:w="1878" w:type="dxa"/>
            <w:tcBorders>
              <w:top w:val="single" w:sz="4" w:space="0" w:color="auto"/>
            </w:tcBorders>
          </w:tcPr>
          <w:p w:rsidR="00A57E41" w:rsidRPr="008F058D" w:rsidRDefault="00A57E41">
            <w:pPr>
              <w:shd w:val="clear" w:color="000000" w:fill="auto"/>
              <w:spacing w:before="60" w:line="200" w:lineRule="exact"/>
              <w:ind w:right="453"/>
              <w:jc w:val="right"/>
              <w:rPr>
                <w:szCs w:val="19"/>
              </w:rPr>
            </w:pPr>
            <w:r w:rsidRPr="008F058D">
              <w:rPr>
                <w:szCs w:val="19"/>
              </w:rPr>
              <w:t>49,5</w:t>
            </w:r>
          </w:p>
        </w:tc>
        <w:tc>
          <w:tcPr>
            <w:tcW w:w="1878" w:type="dxa"/>
            <w:tcBorders>
              <w:top w:val="single" w:sz="4" w:space="0" w:color="auto"/>
            </w:tcBorders>
          </w:tcPr>
          <w:p w:rsidR="00A57E41" w:rsidRPr="008F058D" w:rsidRDefault="00A57E41">
            <w:pPr>
              <w:shd w:val="clear" w:color="000000" w:fill="auto"/>
              <w:spacing w:before="60" w:line="200" w:lineRule="exact"/>
              <w:ind w:right="453"/>
              <w:jc w:val="right"/>
              <w:rPr>
                <w:szCs w:val="19"/>
              </w:rPr>
            </w:pPr>
            <w:r w:rsidRPr="008F058D">
              <w:rPr>
                <w:szCs w:val="19"/>
              </w:rPr>
              <w:t>1,1</w:t>
            </w:r>
          </w:p>
        </w:tc>
        <w:tc>
          <w:tcPr>
            <w:tcW w:w="1878" w:type="dxa"/>
            <w:tcBorders>
              <w:top w:val="single" w:sz="4" w:space="0" w:color="auto"/>
            </w:tcBorders>
          </w:tcPr>
          <w:p w:rsidR="00A57E41" w:rsidRPr="008F058D" w:rsidRDefault="00A57E41">
            <w:pPr>
              <w:shd w:val="clear" w:color="000000" w:fill="auto"/>
              <w:spacing w:before="60" w:line="200" w:lineRule="exact"/>
              <w:ind w:right="453"/>
              <w:jc w:val="right"/>
              <w:rPr>
                <w:szCs w:val="19"/>
              </w:rPr>
            </w:pPr>
            <w:r w:rsidRPr="008F058D">
              <w:rPr>
                <w:szCs w:val="19"/>
              </w:rPr>
              <w:t>108,8</w:t>
            </w:r>
          </w:p>
        </w:tc>
      </w:tr>
      <w:tr w:rsidR="00A57E41" w:rsidRPr="008F058D" w:rsidTr="00AC030E">
        <w:tc>
          <w:tcPr>
            <w:tcW w:w="1877" w:type="dxa"/>
          </w:tcPr>
          <w:p w:rsidR="00A57E41" w:rsidRPr="008F058D" w:rsidRDefault="00A57E41">
            <w:pPr>
              <w:shd w:val="clear" w:color="000000" w:fill="auto"/>
              <w:spacing w:before="60" w:line="200" w:lineRule="exact"/>
              <w:rPr>
                <w:szCs w:val="19"/>
              </w:rPr>
            </w:pPr>
            <w:r w:rsidRPr="008F058D">
              <w:rPr>
                <w:szCs w:val="19"/>
              </w:rPr>
              <w:t>2005</w:t>
            </w:r>
          </w:p>
        </w:tc>
        <w:tc>
          <w:tcPr>
            <w:tcW w:w="1878" w:type="dxa"/>
          </w:tcPr>
          <w:p w:rsidR="00A57E41" w:rsidRPr="008F058D" w:rsidRDefault="00A57E41">
            <w:pPr>
              <w:shd w:val="clear" w:color="000000" w:fill="auto"/>
              <w:spacing w:before="60" w:line="200" w:lineRule="exact"/>
              <w:ind w:right="453"/>
              <w:jc w:val="right"/>
              <w:rPr>
                <w:szCs w:val="19"/>
              </w:rPr>
            </w:pPr>
            <w:r w:rsidRPr="008F058D">
              <w:rPr>
                <w:szCs w:val="19"/>
              </w:rPr>
              <w:t>42,5</w:t>
            </w:r>
          </w:p>
        </w:tc>
        <w:tc>
          <w:tcPr>
            <w:tcW w:w="1878" w:type="dxa"/>
          </w:tcPr>
          <w:p w:rsidR="00A57E41" w:rsidRPr="008F058D" w:rsidRDefault="00A57E41">
            <w:pPr>
              <w:shd w:val="clear" w:color="000000" w:fill="auto"/>
              <w:spacing w:before="60" w:line="200" w:lineRule="exact"/>
              <w:ind w:right="453"/>
              <w:jc w:val="right"/>
              <w:rPr>
                <w:szCs w:val="19"/>
              </w:rPr>
            </w:pPr>
            <w:r w:rsidRPr="008F058D">
              <w:rPr>
                <w:szCs w:val="19"/>
              </w:rPr>
              <w:t>0,9</w:t>
            </w:r>
          </w:p>
        </w:tc>
        <w:tc>
          <w:tcPr>
            <w:tcW w:w="1878" w:type="dxa"/>
          </w:tcPr>
          <w:p w:rsidR="00A57E41" w:rsidRPr="008F058D" w:rsidRDefault="00A57E41">
            <w:pPr>
              <w:shd w:val="clear" w:color="000000" w:fill="auto"/>
              <w:spacing w:before="60" w:line="200" w:lineRule="exact"/>
              <w:ind w:right="453"/>
              <w:jc w:val="right"/>
              <w:rPr>
                <w:szCs w:val="19"/>
              </w:rPr>
            </w:pPr>
            <w:r w:rsidRPr="008F058D">
              <w:rPr>
                <w:szCs w:val="19"/>
              </w:rPr>
              <w:t>86,8</w:t>
            </w:r>
          </w:p>
        </w:tc>
      </w:tr>
      <w:tr w:rsidR="00A57E41" w:rsidRPr="008F058D" w:rsidTr="00AC030E">
        <w:tc>
          <w:tcPr>
            <w:tcW w:w="1877" w:type="dxa"/>
          </w:tcPr>
          <w:p w:rsidR="00A57E41" w:rsidRPr="008F058D" w:rsidRDefault="00A57E41">
            <w:pPr>
              <w:shd w:val="clear" w:color="000000" w:fill="auto"/>
              <w:spacing w:before="60" w:line="200" w:lineRule="exact"/>
              <w:rPr>
                <w:szCs w:val="19"/>
              </w:rPr>
            </w:pPr>
            <w:r w:rsidRPr="008F058D">
              <w:rPr>
                <w:szCs w:val="19"/>
              </w:rPr>
              <w:t>2004</w:t>
            </w:r>
          </w:p>
        </w:tc>
        <w:tc>
          <w:tcPr>
            <w:tcW w:w="1878" w:type="dxa"/>
          </w:tcPr>
          <w:p w:rsidR="00A57E41" w:rsidRPr="008F058D" w:rsidRDefault="00A57E41">
            <w:pPr>
              <w:shd w:val="clear" w:color="000000" w:fill="auto"/>
              <w:spacing w:before="60" w:line="200" w:lineRule="exact"/>
              <w:ind w:right="453"/>
              <w:jc w:val="right"/>
              <w:rPr>
                <w:szCs w:val="19"/>
              </w:rPr>
            </w:pPr>
            <w:r w:rsidRPr="008F058D">
              <w:rPr>
                <w:szCs w:val="19"/>
              </w:rPr>
              <w:t>36,3</w:t>
            </w:r>
          </w:p>
        </w:tc>
        <w:tc>
          <w:tcPr>
            <w:tcW w:w="1878" w:type="dxa"/>
          </w:tcPr>
          <w:p w:rsidR="00A57E41" w:rsidRPr="008F058D" w:rsidRDefault="00A57E41">
            <w:pPr>
              <w:shd w:val="clear" w:color="000000" w:fill="auto"/>
              <w:spacing w:before="60" w:line="200" w:lineRule="exact"/>
              <w:ind w:right="453"/>
              <w:jc w:val="right"/>
              <w:rPr>
                <w:szCs w:val="19"/>
              </w:rPr>
            </w:pPr>
            <w:r w:rsidRPr="008F058D">
              <w:rPr>
                <w:szCs w:val="19"/>
              </w:rPr>
              <w:t>0,7</w:t>
            </w:r>
          </w:p>
        </w:tc>
        <w:tc>
          <w:tcPr>
            <w:tcW w:w="1878" w:type="dxa"/>
          </w:tcPr>
          <w:p w:rsidR="00A57E41" w:rsidRPr="008F058D" w:rsidRDefault="00A57E41">
            <w:pPr>
              <w:shd w:val="clear" w:color="000000" w:fill="auto"/>
              <w:spacing w:before="60" w:line="200" w:lineRule="exact"/>
              <w:ind w:right="453"/>
              <w:jc w:val="right"/>
              <w:rPr>
                <w:szCs w:val="19"/>
              </w:rPr>
            </w:pPr>
            <w:r w:rsidRPr="008F058D">
              <w:rPr>
                <w:szCs w:val="19"/>
              </w:rPr>
              <w:t>84,3</w:t>
            </w:r>
          </w:p>
        </w:tc>
      </w:tr>
      <w:tr w:rsidR="00A57E41" w:rsidRPr="008F058D" w:rsidTr="00AC030E">
        <w:tc>
          <w:tcPr>
            <w:tcW w:w="1877" w:type="dxa"/>
          </w:tcPr>
          <w:p w:rsidR="00A57E41" w:rsidRPr="008F058D" w:rsidRDefault="00A57E41">
            <w:pPr>
              <w:shd w:val="clear" w:color="000000" w:fill="auto"/>
              <w:spacing w:before="60" w:line="200" w:lineRule="exact"/>
              <w:rPr>
                <w:szCs w:val="19"/>
              </w:rPr>
            </w:pPr>
            <w:r w:rsidRPr="008F058D">
              <w:rPr>
                <w:szCs w:val="19"/>
              </w:rPr>
              <w:t>2003</w:t>
            </w:r>
          </w:p>
        </w:tc>
        <w:tc>
          <w:tcPr>
            <w:tcW w:w="1878" w:type="dxa"/>
          </w:tcPr>
          <w:p w:rsidR="00A57E41" w:rsidRPr="008F058D" w:rsidRDefault="00A57E41">
            <w:pPr>
              <w:shd w:val="clear" w:color="000000" w:fill="auto"/>
              <w:spacing w:before="60" w:line="200" w:lineRule="exact"/>
              <w:ind w:right="453"/>
              <w:jc w:val="right"/>
              <w:rPr>
                <w:szCs w:val="19"/>
              </w:rPr>
            </w:pPr>
            <w:r w:rsidRPr="008F058D">
              <w:rPr>
                <w:szCs w:val="19"/>
              </w:rPr>
              <w:t>29,3</w:t>
            </w:r>
          </w:p>
        </w:tc>
        <w:tc>
          <w:tcPr>
            <w:tcW w:w="1878" w:type="dxa"/>
          </w:tcPr>
          <w:p w:rsidR="00A57E41" w:rsidRPr="008F058D" w:rsidRDefault="00A57E41">
            <w:pPr>
              <w:shd w:val="clear" w:color="000000" w:fill="auto"/>
              <w:spacing w:before="60" w:line="200" w:lineRule="exact"/>
              <w:ind w:right="453"/>
              <w:jc w:val="right"/>
              <w:rPr>
                <w:szCs w:val="19"/>
              </w:rPr>
            </w:pPr>
            <w:r w:rsidRPr="008F058D">
              <w:rPr>
                <w:szCs w:val="19"/>
              </w:rPr>
              <w:t>0,7</w:t>
            </w:r>
          </w:p>
        </w:tc>
        <w:tc>
          <w:tcPr>
            <w:tcW w:w="1878" w:type="dxa"/>
          </w:tcPr>
          <w:p w:rsidR="00A57E41" w:rsidRPr="008F058D" w:rsidRDefault="00A57E41">
            <w:pPr>
              <w:shd w:val="clear" w:color="000000" w:fill="auto"/>
              <w:spacing w:before="60" w:line="200" w:lineRule="exact"/>
              <w:ind w:right="453"/>
              <w:jc w:val="right"/>
              <w:rPr>
                <w:szCs w:val="19"/>
              </w:rPr>
            </w:pPr>
            <w:r w:rsidRPr="008F058D">
              <w:rPr>
                <w:szCs w:val="19"/>
              </w:rPr>
              <w:t>79,7</w:t>
            </w:r>
          </w:p>
        </w:tc>
      </w:tr>
      <w:tr w:rsidR="00A57E41" w:rsidRPr="008F058D" w:rsidTr="00AC030E">
        <w:tc>
          <w:tcPr>
            <w:tcW w:w="1877" w:type="dxa"/>
            <w:tcBorders>
              <w:bottom w:val="single" w:sz="4" w:space="0" w:color="auto"/>
            </w:tcBorders>
          </w:tcPr>
          <w:p w:rsidR="00A57E41" w:rsidRPr="008F058D" w:rsidRDefault="00A57E41">
            <w:pPr>
              <w:shd w:val="clear" w:color="000000" w:fill="auto"/>
              <w:spacing w:before="60" w:line="200" w:lineRule="exact"/>
              <w:rPr>
                <w:szCs w:val="19"/>
              </w:rPr>
            </w:pPr>
            <w:r w:rsidRPr="008F058D">
              <w:rPr>
                <w:szCs w:val="19"/>
              </w:rPr>
              <w:t>2002</w:t>
            </w:r>
          </w:p>
        </w:tc>
        <w:tc>
          <w:tcPr>
            <w:tcW w:w="1878" w:type="dxa"/>
            <w:tcBorders>
              <w:bottom w:val="single" w:sz="4" w:space="0" w:color="auto"/>
            </w:tcBorders>
          </w:tcPr>
          <w:p w:rsidR="00A57E41" w:rsidRPr="008F058D" w:rsidRDefault="00A57E41">
            <w:pPr>
              <w:shd w:val="clear" w:color="000000" w:fill="auto"/>
              <w:spacing w:before="60" w:line="200" w:lineRule="exact"/>
              <w:ind w:right="453"/>
              <w:jc w:val="right"/>
              <w:rPr>
                <w:szCs w:val="19"/>
              </w:rPr>
            </w:pPr>
            <w:r w:rsidRPr="008F058D">
              <w:rPr>
                <w:szCs w:val="19"/>
              </w:rPr>
              <w:t>20,8</w:t>
            </w:r>
          </w:p>
        </w:tc>
        <w:tc>
          <w:tcPr>
            <w:tcW w:w="1878" w:type="dxa"/>
            <w:tcBorders>
              <w:bottom w:val="single" w:sz="4" w:space="0" w:color="auto"/>
            </w:tcBorders>
          </w:tcPr>
          <w:p w:rsidR="00A57E41" w:rsidRPr="008F058D" w:rsidRDefault="00A57E41">
            <w:pPr>
              <w:shd w:val="clear" w:color="000000" w:fill="auto"/>
              <w:spacing w:before="60" w:line="200" w:lineRule="exact"/>
              <w:ind w:right="453"/>
              <w:jc w:val="right"/>
              <w:rPr>
                <w:szCs w:val="19"/>
              </w:rPr>
            </w:pPr>
            <w:r w:rsidRPr="008F058D">
              <w:rPr>
                <w:szCs w:val="19"/>
              </w:rPr>
              <w:t>0,3</w:t>
            </w:r>
          </w:p>
        </w:tc>
        <w:tc>
          <w:tcPr>
            <w:tcW w:w="1878" w:type="dxa"/>
            <w:tcBorders>
              <w:bottom w:val="single" w:sz="4" w:space="0" w:color="auto"/>
            </w:tcBorders>
          </w:tcPr>
          <w:p w:rsidR="00A57E41" w:rsidRPr="008F058D" w:rsidRDefault="00A57E41">
            <w:pPr>
              <w:shd w:val="clear" w:color="000000" w:fill="auto"/>
              <w:spacing w:before="60" w:line="200" w:lineRule="exact"/>
              <w:ind w:right="453"/>
              <w:jc w:val="right"/>
              <w:rPr>
                <w:szCs w:val="19"/>
              </w:rPr>
            </w:pPr>
            <w:r w:rsidRPr="008F058D">
              <w:rPr>
                <w:szCs w:val="19"/>
              </w:rPr>
              <w:t xml:space="preserve"> 69,5</w:t>
            </w:r>
          </w:p>
        </w:tc>
      </w:tr>
    </w:tbl>
    <w:p w:rsidR="00A57E41" w:rsidRPr="008F058D" w:rsidRDefault="00A57E41">
      <w:pPr>
        <w:shd w:val="clear" w:color="000000" w:fill="auto"/>
        <w:spacing w:before="0"/>
        <w:ind w:left="-120"/>
        <w:rPr>
          <w:sz w:val="16"/>
          <w:szCs w:val="16"/>
        </w:rPr>
      </w:pPr>
      <w:r w:rsidRPr="008F058D">
        <w:rPr>
          <w:sz w:val="16"/>
          <w:szCs w:val="16"/>
        </w:rPr>
        <w:t>* Siffran för 2006 avser 2006-11-10</w:t>
      </w:r>
      <w:r w:rsidR="00F36425" w:rsidRPr="008F058D">
        <w:rPr>
          <w:sz w:val="16"/>
          <w:szCs w:val="16"/>
        </w:rPr>
        <w:t>.</w:t>
      </w:r>
    </w:p>
    <w:p w:rsidR="00A57E41" w:rsidRPr="008F058D" w:rsidRDefault="00A57E41">
      <w:pPr>
        <w:pStyle w:val="Rubrik2"/>
        <w:shd w:val="clear" w:color="000000" w:fill="auto"/>
      </w:pPr>
      <w:r w:rsidRPr="008F058D">
        <w:t>Utförsäljningarna kan påverka bolagen och berörda marknader negativt</w:t>
      </w:r>
    </w:p>
    <w:p w:rsidR="00A57E41" w:rsidRPr="008F058D" w:rsidRDefault="00A57E41">
      <w:pPr>
        <w:shd w:val="clear" w:color="000000" w:fill="auto"/>
      </w:pPr>
      <w:r w:rsidRPr="008F058D">
        <w:t>Telia</w:t>
      </w:r>
      <w:r w:rsidR="00F36425" w:rsidRPr="008F058D">
        <w:t xml:space="preserve"> </w:t>
      </w:r>
      <w:r w:rsidRPr="008F058D">
        <w:t>Sonera och Nordea men även SBAB är goda exempel på hur ett a</w:t>
      </w:r>
      <w:r w:rsidRPr="008F058D">
        <w:t>n</w:t>
      </w:r>
      <w:r w:rsidRPr="008F058D">
        <w:t>svarstagande och långsiktigt statligt ägande kan bidra till att skapa mycket större värden, såväl ekonomiska som samhälleliga, än utförsäljningens e</w:t>
      </w:r>
      <w:r w:rsidRPr="008F058D">
        <w:t>n</w:t>
      </w:r>
      <w:r w:rsidRPr="008F058D">
        <w:t xml:space="preserve">gångsintäkter. </w:t>
      </w:r>
    </w:p>
    <w:p w:rsidR="00A57E41" w:rsidRPr="008F058D" w:rsidRDefault="00A57E41">
      <w:pPr>
        <w:pStyle w:val="Normaltindrag"/>
        <w:shd w:val="clear" w:color="000000" w:fill="auto"/>
      </w:pPr>
      <w:r w:rsidRPr="008F058D">
        <w:t>Nordea har utvecklats mycket starkt genom flera samgåenden mellan no</w:t>
      </w:r>
      <w:r w:rsidRPr="008F058D">
        <w:t>r</w:t>
      </w:r>
      <w:r w:rsidRPr="008F058D">
        <w:t xml:space="preserve">diska banker. Staten har under denna tid varit en aktiv och ansvarstagande ägare. Idag är Nordea ett av Sveriges viktigaste företag, med stor betydelse för Stockholms attraktionskraft som finanscentrum i norra Europa. </w:t>
      </w:r>
    </w:p>
    <w:p w:rsidR="00A57E41" w:rsidRPr="008F058D" w:rsidRDefault="00A57E41">
      <w:pPr>
        <w:pStyle w:val="Normaltindrag"/>
        <w:shd w:val="clear" w:color="000000" w:fill="auto"/>
      </w:pPr>
      <w:r w:rsidRPr="008F058D">
        <w:t>Också för Telia</w:t>
      </w:r>
      <w:r w:rsidR="00F36425" w:rsidRPr="008F058D">
        <w:t xml:space="preserve"> </w:t>
      </w:r>
      <w:r w:rsidRPr="008F058D">
        <w:t>Sonera har det statliga ägandet varit av mycket stor vikt för utvecklingen av bolaget under en period av sammanslagningar och inte</w:t>
      </w:r>
      <w:r w:rsidRPr="008F058D">
        <w:t>r</w:t>
      </w:r>
      <w:r w:rsidRPr="008F058D">
        <w:t>nationell expansion. Och idag spelar företaget en avgörande roll för Sveriges position som ett ledande IT- och telekomland. Huvudkontoret i Stockholm och FoU-verksamheten i Sverige bidrar också väsentligt till Sveriges attra</w:t>
      </w:r>
      <w:r w:rsidRPr="008F058D">
        <w:t>k</w:t>
      </w:r>
      <w:r w:rsidRPr="008F058D">
        <w:t xml:space="preserve">tionskraft. </w:t>
      </w:r>
    </w:p>
    <w:p w:rsidR="00A57E41" w:rsidRPr="008F058D" w:rsidRDefault="00A57E41">
      <w:pPr>
        <w:pStyle w:val="Normaltindrag"/>
        <w:shd w:val="clear" w:color="000000" w:fill="auto"/>
        <w:rPr>
          <w:iCs/>
        </w:rPr>
      </w:pPr>
      <w:r w:rsidRPr="008F058D">
        <w:t>SBAB har bidragit rejält till prispressen på bolånemarknaden. Enligt RUT:s beräkningar har SBAB:s agerande bidragit till att en familj med ett 2-miljonerkronorslån på sin bostadsrätt sparat omkring 14 000 kronor årligen på ökad konkurrens och sänkta räntemarginaler. Det är därför olyckligt att r</w:t>
      </w:r>
      <w:r w:rsidRPr="008F058D">
        <w:rPr>
          <w:iCs/>
        </w:rPr>
        <w:t>ege</w:t>
      </w:r>
      <w:r w:rsidRPr="008F058D">
        <w:rPr>
          <w:iCs/>
        </w:rPr>
        <w:t>r</w:t>
      </w:r>
      <w:r w:rsidRPr="008F058D">
        <w:rPr>
          <w:iCs/>
        </w:rPr>
        <w:t xml:space="preserve">ingen inte presenterar några förslag på hur konkurrensen på bolånemarknaden ska kunna säkerställas efter det att SBAB sålts ut. </w:t>
      </w:r>
    </w:p>
    <w:p w:rsidR="00A57E41" w:rsidRPr="008F058D" w:rsidRDefault="00A57E41">
      <w:pPr>
        <w:pStyle w:val="Normaltindrag"/>
        <w:shd w:val="clear" w:color="000000" w:fill="auto"/>
      </w:pPr>
      <w:r w:rsidRPr="008F058D">
        <w:t>Civitas Holding AB äger Vasakronan AB som är ett kommersiellt fasti</w:t>
      </w:r>
      <w:r w:rsidRPr="008F058D">
        <w:t>g</w:t>
      </w:r>
      <w:r w:rsidRPr="008F058D">
        <w:t>hetsbolag. Fastighetsbolaget utgör i princip dess enda tillgång. Vasakronan äger fastigheter i Stockholm, Göteborg, Malmö, Lund och Uppsala. Inrik</w:t>
      </w:r>
      <w:r w:rsidRPr="008F058D">
        <w:t>t</w:t>
      </w:r>
      <w:r w:rsidRPr="008F058D">
        <w:t xml:space="preserve">ningen är kontorslokaler och butiker, kompletterat med ett stort tjänsteutbud. </w:t>
      </w:r>
      <w:r w:rsidR="006D0650" w:rsidRPr="008F058D">
        <w:t xml:space="preserve">Regeringen redogör inte för några ekonomiska grunder till varför Vasakronan nu bör säljas ut. </w:t>
      </w:r>
    </w:p>
    <w:p w:rsidR="00A57E41" w:rsidRPr="008F058D" w:rsidRDefault="00A57E41">
      <w:pPr>
        <w:pStyle w:val="Normaltindrag"/>
        <w:shd w:val="clear" w:color="000000" w:fill="auto"/>
      </w:pPr>
      <w:r w:rsidRPr="008F058D">
        <w:t>OMX AB äger och driver börser i Köpenhamn, Stockholm, Helsingfors, Reykjavík, Tallinn, Riga och Vilnius. Tillsammans erbjuder de tillgång till cirka 80 procent av den nordiska och baltiska värdepappersmarknaden.</w:t>
      </w:r>
      <w:r w:rsidR="006D0650" w:rsidRPr="008F058D">
        <w:t xml:space="preserve"> R</w:t>
      </w:r>
      <w:r w:rsidR="006D0650" w:rsidRPr="008F058D">
        <w:t>e</w:t>
      </w:r>
      <w:r w:rsidR="006D0650" w:rsidRPr="008F058D">
        <w:t>geringen redogör inte för några ekonomiska grunder till varför OMX nu bör säljas ut.</w:t>
      </w:r>
    </w:p>
    <w:p w:rsidR="00A57E41" w:rsidRPr="008F058D" w:rsidRDefault="00A57E41">
      <w:pPr>
        <w:pStyle w:val="Normaltindrag"/>
        <w:shd w:val="clear" w:color="000000" w:fill="auto"/>
      </w:pPr>
      <w:r w:rsidRPr="008F058D">
        <w:t>V&amp;S Vin &amp; Sprit AB</w:t>
      </w:r>
      <w:r w:rsidR="00F36425" w:rsidRPr="008F058D">
        <w:t>:s</w:t>
      </w:r>
      <w:r w:rsidRPr="008F058D">
        <w:t xml:space="preserve"> verksamhet omfattar inköp, produktion, förpac</w:t>
      </w:r>
      <w:r w:rsidRPr="008F058D">
        <w:t>k</w:t>
      </w:r>
      <w:r w:rsidRPr="008F058D">
        <w:t>ning, distribution och marknadsföring av alkoholhaltiga drycker. V&amp;S är ett av världens tio största internationella alkoholdryckesföretag.</w:t>
      </w:r>
      <w:r w:rsidR="006D0650" w:rsidRPr="008F058D">
        <w:t xml:space="preserve"> Regeringen redogör inte för några ekonomiska grunder till varför V&amp;S nu bör säljas ut och redovisar inte heller </w:t>
      </w:r>
      <w:r w:rsidR="00856B98" w:rsidRPr="008F058D">
        <w:t xml:space="preserve">någon genomgång av de eventuella alkoholpolitiska konsekvenserna av en utförsäljning. </w:t>
      </w:r>
    </w:p>
    <w:p w:rsidR="00A57E41" w:rsidRPr="008F058D" w:rsidRDefault="00A57E41">
      <w:pPr>
        <w:pStyle w:val="Rubrik2"/>
        <w:shd w:val="clear" w:color="000000" w:fill="auto"/>
      </w:pPr>
      <w:r w:rsidRPr="008F058D">
        <w:t>Obefintliga konsekvensanalyser i propositionen</w:t>
      </w:r>
    </w:p>
    <w:p w:rsidR="00A57E41" w:rsidRPr="008F058D" w:rsidRDefault="00A57E41">
      <w:pPr>
        <w:shd w:val="clear" w:color="000000" w:fill="auto"/>
      </w:pPr>
      <w:r w:rsidRPr="008F058D">
        <w:t>Trots att utförsäljningarna kan förmodas få mycket stora följder för de mar</w:t>
      </w:r>
      <w:r w:rsidRPr="008F058D">
        <w:t>k</w:t>
      </w:r>
      <w:r w:rsidRPr="008F058D">
        <w:t>nader där bolagen är verksamma</w:t>
      </w:r>
      <w:r w:rsidR="00E14ECE" w:rsidRPr="008F058D">
        <w:t>, för huvudkontorens placering, företagens forskning och utveckling samt sysselsättningen</w:t>
      </w:r>
      <w:r w:rsidRPr="008F058D">
        <w:t xml:space="preserve"> saknar propositionen helt analyser om utförsäljningarnas konsekvenser. Regeringen redogör dock i propositionen för att den fortsatta försäljningsprocessen kommer att innehålla en analys av förutsättningarna för försäljningen av respektive bolag, en str</w:t>
      </w:r>
      <w:r w:rsidRPr="008F058D">
        <w:t>a</w:t>
      </w:r>
      <w:r w:rsidRPr="008F058D">
        <w:t>tegisk och kommersiell anpassning av företagets affärsidé, struktur och kap</w:t>
      </w:r>
      <w:r w:rsidRPr="008F058D">
        <w:t>i</w:t>
      </w:r>
      <w:r w:rsidRPr="008F058D">
        <w:t>tal, be</w:t>
      </w:r>
      <w:r w:rsidR="00F36425" w:rsidRPr="008F058D">
        <w:t>slut om hur en försäljning ska</w:t>
      </w:r>
      <w:r w:rsidRPr="008F058D">
        <w:t xml:space="preserve"> genomföras, samt en redovisning av intäkter och kostnader. Det är vår uppfattning att de flesta av dessa planerade åtgärder borde ha vidtagits innan regeringen lämnade sin proposition till rik</w:t>
      </w:r>
      <w:r w:rsidRPr="008F058D">
        <w:t>s</w:t>
      </w:r>
      <w:r w:rsidRPr="008F058D">
        <w:t>dagen för beslut. Propositionen ger nu istället en mycket bristfällig grund för ett riksdagsbeslut där hela utförsäljningsprocessen, utan föregående kons</w:t>
      </w:r>
      <w:r w:rsidRPr="008F058D">
        <w:t>e</w:t>
      </w:r>
      <w:r w:rsidRPr="008F058D">
        <w:t>kvensanalys och utan några restriktioner från riksdagen, överlåts till regerin</w:t>
      </w:r>
      <w:r w:rsidRPr="008F058D">
        <w:t>g</w:t>
      </w:r>
      <w:r w:rsidRPr="008F058D">
        <w:t xml:space="preserve">en. </w:t>
      </w:r>
    </w:p>
    <w:p w:rsidR="00A57E41" w:rsidRPr="008F058D" w:rsidRDefault="00A57E41">
      <w:pPr>
        <w:pStyle w:val="Normaltindrag"/>
        <w:shd w:val="clear" w:color="000000" w:fill="auto"/>
      </w:pPr>
      <w:r w:rsidRPr="008F058D">
        <w:t>Regeringen lämnar inte heller några som helst besked vad gäller turor</w:t>
      </w:r>
      <w:r w:rsidRPr="008F058D">
        <w:t>d</w:t>
      </w:r>
      <w:r w:rsidRPr="008F058D">
        <w:t>ning eller tidpunkt för utförsäljningen av respektive bolag samt redogör inte heller för huruvida hänsyn i något fall kommer att tas till sysselsättning, h</w:t>
      </w:r>
      <w:r w:rsidRPr="008F058D">
        <w:t>u</w:t>
      </w:r>
      <w:r w:rsidRPr="008F058D">
        <w:t>vudkontorens placering, forsknings- och utvecklingsresurser med mera. Vid</w:t>
      </w:r>
      <w:r w:rsidRPr="008F058D">
        <w:t>a</w:t>
      </w:r>
      <w:r w:rsidRPr="008F058D">
        <w:t>re argumenterar regeringen för att utförsäljningarna kommer att ge fler jobb i de berörda branscherna, dock utan att redogöra för grunderna till denna b</w:t>
      </w:r>
      <w:r w:rsidRPr="008F058D">
        <w:t>e</w:t>
      </w:r>
      <w:r w:rsidRPr="008F058D">
        <w:t>dömning. Regeringen redogör inte heller för de statsfinansiella konsekvense</w:t>
      </w:r>
      <w:r w:rsidRPr="008F058D">
        <w:t>r</w:t>
      </w:r>
      <w:r w:rsidRPr="008F058D">
        <w:t xml:space="preserve">na av att sälja högavkastande statliga bolag för att betala av på en statsskuld med låg ränta. </w:t>
      </w:r>
    </w:p>
    <w:p w:rsidR="00A57E41" w:rsidRPr="008F058D" w:rsidRDefault="00A57E41">
      <w:pPr>
        <w:pStyle w:val="Normaltindrag"/>
        <w:shd w:val="clear" w:color="000000" w:fill="auto"/>
      </w:pPr>
      <w:r w:rsidRPr="008F058D">
        <w:t>Vad gäller Telia</w:t>
      </w:r>
      <w:r w:rsidR="00F36425" w:rsidRPr="008F058D">
        <w:t xml:space="preserve"> </w:t>
      </w:r>
      <w:r w:rsidRPr="008F058D">
        <w:t>Sonera och det fasta telenätet ger utförsäljningspropos</w:t>
      </w:r>
      <w:r w:rsidRPr="008F058D">
        <w:t>i</w:t>
      </w:r>
      <w:r w:rsidRPr="008F058D">
        <w:t>tionen inte heller på detta område några godtagbara besked om konsekvense</w:t>
      </w:r>
      <w:r w:rsidRPr="008F058D">
        <w:t>r</w:t>
      </w:r>
      <w:r w:rsidRPr="008F058D">
        <w:t>na av olika handlingsalternativ. Regeringen bör därför återkomma till riksd</w:t>
      </w:r>
      <w:r w:rsidRPr="008F058D">
        <w:t>a</w:t>
      </w:r>
      <w:r w:rsidRPr="008F058D">
        <w:t>gen med en redogörelse för olika handlingsalternativ och deras respektive konsekvenser innan en eventuell försäljning av statens innehav i Telia</w:t>
      </w:r>
      <w:r w:rsidR="00F36425" w:rsidRPr="008F058D">
        <w:t xml:space="preserve"> </w:t>
      </w:r>
      <w:r w:rsidRPr="008F058D">
        <w:t>Sonera inleds. Bland annat bör lämpligheten av att på olika sätt separera det fasta telenätet från Teli</w:t>
      </w:r>
      <w:r w:rsidR="009E79FB" w:rsidRPr="008F058D">
        <w:t>a</w:t>
      </w:r>
      <w:r w:rsidR="00F36425" w:rsidRPr="008F058D">
        <w:t xml:space="preserve"> </w:t>
      </w:r>
      <w:r w:rsidRPr="008F058D">
        <w:t>Soneras övriga verksamhet undersökas.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58D">
        <w:trPr>
          <w:cantSplit/>
        </w:trPr>
        <w:tc>
          <w:tcPr>
            <w:tcW w:w="3046" w:type="dxa"/>
          </w:tcPr>
          <w:p w:rsidR="009D7D56" w:rsidRPr="008F058D" w:rsidRDefault="009D7D56">
            <w:pPr>
              <w:pStyle w:val="UnderskriftDatum"/>
              <w:shd w:val="clear" w:color="000000" w:fill="auto"/>
              <w:spacing w:before="240"/>
            </w:pPr>
            <w:r w:rsidRPr="008F058D">
              <w:t>Stockholm den 14 mars 2007</w:t>
            </w:r>
          </w:p>
        </w:tc>
        <w:tc>
          <w:tcPr>
            <w:tcW w:w="3047" w:type="dxa"/>
          </w:tcPr>
          <w:p w:rsidR="009D7D56" w:rsidRPr="008F058D" w:rsidRDefault="009D7D56">
            <w:pPr>
              <w:pStyle w:val="Underskrifter"/>
              <w:shd w:val="clear" w:color="000000" w:fill="auto"/>
              <w:spacing w:before="240"/>
            </w:pPr>
          </w:p>
        </w:tc>
      </w:tr>
      <w:tr w:rsidR="00000000" w:rsidRPr="008F058D">
        <w:trPr>
          <w:cantSplit/>
        </w:trPr>
        <w:tc>
          <w:tcPr>
            <w:tcW w:w="3046" w:type="dxa"/>
          </w:tcPr>
          <w:p w:rsidR="009D7D56" w:rsidRPr="008F058D" w:rsidRDefault="009D7D56">
            <w:pPr>
              <w:pStyle w:val="Underskrifter"/>
              <w:shd w:val="clear" w:color="000000" w:fill="auto"/>
            </w:pPr>
            <w:r w:rsidRPr="008F058D">
              <w:t>Thomas Östros (s)</w:t>
            </w:r>
          </w:p>
        </w:tc>
        <w:tc>
          <w:tcPr>
            <w:tcW w:w="3046" w:type="dxa"/>
          </w:tcPr>
          <w:p w:rsidR="009D7D56" w:rsidRPr="008F058D" w:rsidRDefault="009D7D56">
            <w:pPr>
              <w:pStyle w:val="Underskrifter"/>
              <w:shd w:val="clear" w:color="000000" w:fill="auto"/>
            </w:pPr>
          </w:p>
        </w:tc>
      </w:tr>
      <w:tr w:rsidR="00000000" w:rsidRPr="008F058D">
        <w:trPr>
          <w:cantSplit/>
        </w:trPr>
        <w:tc>
          <w:tcPr>
            <w:tcW w:w="3046" w:type="dxa"/>
          </w:tcPr>
          <w:p w:rsidR="009D7D56" w:rsidRPr="008F058D" w:rsidRDefault="009D7D56">
            <w:pPr>
              <w:pStyle w:val="Underskrifter"/>
              <w:shd w:val="clear" w:color="000000" w:fill="auto"/>
            </w:pPr>
            <w:r w:rsidRPr="008F058D">
              <w:t>Carina Adolfsson Elgestam (s)</w:t>
            </w:r>
          </w:p>
        </w:tc>
        <w:tc>
          <w:tcPr>
            <w:tcW w:w="3046" w:type="dxa"/>
          </w:tcPr>
          <w:p w:rsidR="009D7D56" w:rsidRPr="008F058D" w:rsidRDefault="009D7D56">
            <w:pPr>
              <w:pStyle w:val="Underskrifter"/>
              <w:shd w:val="clear" w:color="000000" w:fill="auto"/>
            </w:pPr>
            <w:r w:rsidRPr="008F058D">
              <w:t>Alf Eriksson (s)</w:t>
            </w:r>
          </w:p>
        </w:tc>
      </w:tr>
      <w:tr w:rsidR="00000000" w:rsidRPr="008F058D">
        <w:trPr>
          <w:cantSplit/>
        </w:trPr>
        <w:tc>
          <w:tcPr>
            <w:tcW w:w="3046" w:type="dxa"/>
          </w:tcPr>
          <w:p w:rsidR="009D7D56" w:rsidRPr="008F058D" w:rsidRDefault="009D7D56">
            <w:pPr>
              <w:pStyle w:val="Underskrifter"/>
              <w:shd w:val="clear" w:color="000000" w:fill="auto"/>
            </w:pPr>
            <w:r w:rsidRPr="008F058D">
              <w:t>Berit Högman (s)</w:t>
            </w:r>
          </w:p>
        </w:tc>
        <w:tc>
          <w:tcPr>
            <w:tcW w:w="3046" w:type="dxa"/>
          </w:tcPr>
          <w:p w:rsidR="009D7D56" w:rsidRPr="008F058D" w:rsidRDefault="009D7D56">
            <w:pPr>
              <w:pStyle w:val="Underskrifter"/>
              <w:shd w:val="clear" w:color="000000" w:fill="auto"/>
            </w:pPr>
            <w:r w:rsidRPr="008F058D">
              <w:t>Krister Örnfjäder (s)</w:t>
            </w:r>
          </w:p>
        </w:tc>
      </w:tr>
      <w:tr w:rsidR="00000000" w:rsidRPr="008F058D">
        <w:trPr>
          <w:cantSplit/>
        </w:trPr>
        <w:tc>
          <w:tcPr>
            <w:tcW w:w="3046" w:type="dxa"/>
          </w:tcPr>
          <w:p w:rsidR="009D7D56" w:rsidRPr="008F058D" w:rsidRDefault="009D7D56">
            <w:pPr>
              <w:pStyle w:val="Underskrifter"/>
              <w:shd w:val="clear" w:color="000000" w:fill="auto"/>
            </w:pPr>
            <w:r w:rsidRPr="008F058D">
              <w:t>Karin Åström (s)</w:t>
            </w:r>
          </w:p>
        </w:tc>
        <w:tc>
          <w:tcPr>
            <w:tcW w:w="3046" w:type="dxa"/>
          </w:tcPr>
          <w:p w:rsidR="009D7D56" w:rsidRPr="008F058D" w:rsidRDefault="009D7D56">
            <w:pPr>
              <w:pStyle w:val="Underskrifter"/>
              <w:shd w:val="clear" w:color="000000" w:fill="auto"/>
            </w:pPr>
            <w:r w:rsidRPr="008F058D">
              <w:t>Börje Vestlund (s)</w:t>
            </w:r>
          </w:p>
        </w:tc>
      </w:tr>
      <w:tr w:rsidR="00000000" w:rsidRPr="008F058D">
        <w:trPr>
          <w:cantSplit/>
        </w:trPr>
        <w:tc>
          <w:tcPr>
            <w:tcW w:w="3046" w:type="dxa"/>
          </w:tcPr>
          <w:p w:rsidR="009D7D56" w:rsidRPr="008F058D" w:rsidRDefault="009D7D56">
            <w:pPr>
              <w:pStyle w:val="Underskrifter"/>
              <w:shd w:val="clear" w:color="000000" w:fill="auto"/>
            </w:pPr>
            <w:r w:rsidRPr="008F058D">
              <w:t>Eva-Lena Jansson (s)</w:t>
            </w:r>
          </w:p>
        </w:tc>
        <w:tc>
          <w:tcPr>
            <w:tcW w:w="3046" w:type="dxa"/>
          </w:tcPr>
          <w:p w:rsidR="009D7D56" w:rsidRPr="008F058D" w:rsidRDefault="009D7D56">
            <w:pPr>
              <w:pStyle w:val="Underskrifter"/>
              <w:shd w:val="clear" w:color="000000" w:fill="auto"/>
            </w:pPr>
          </w:p>
        </w:tc>
      </w:tr>
    </w:tbl>
    <w:p w:rsidR="00A57E41" w:rsidRPr="008F058D" w:rsidRDefault="00A57E41">
      <w:pPr>
        <w:pStyle w:val="Normaltindrag"/>
        <w:shd w:val="clear" w:color="000000" w:fill="auto"/>
      </w:pPr>
    </w:p>
    <w:sectPr w:rsidR="00A57E41" w:rsidRPr="008F058D" w:rsidSect="00F364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D56" w:rsidRPr="008F058D" w:rsidRDefault="009D7D56">
      <w:r w:rsidRPr="008F058D">
        <w:separator/>
      </w:r>
    </w:p>
  </w:endnote>
  <w:endnote w:type="continuationSeparator" w:id="0">
    <w:p w:rsidR="009D7D56" w:rsidRPr="008F058D" w:rsidRDefault="009D7D56">
      <w:r w:rsidRPr="008F0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9" w:rsidRPr="008F058D" w:rsidRDefault="008F058D" w:rsidP="00F36425">
    <w:pPr>
      <w:pStyle w:val="Sidfot"/>
    </w:pPr>
    <w:r w:rsidRPr="008F05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922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425" w:rsidRDefault="009D7D56">
                          <w:pPr>
                            <w:pStyle w:val="NormalS5sidnrV"/>
                          </w:pPr>
                          <w:r>
                            <w:fldChar w:fldCharType="begin"/>
                          </w:r>
                          <w:r w:rsidR="00F3642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6425" w:rsidRDefault="009D7D56">
                    <w:pPr>
                      <w:pStyle w:val="NormalS5sidnrV"/>
                    </w:pPr>
                    <w:r>
                      <w:fldChar w:fldCharType="begin"/>
                    </w:r>
                    <w:r w:rsidR="00F3642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9" w:rsidRPr="008F058D" w:rsidRDefault="008F058D" w:rsidP="00F36425">
    <w:pPr>
      <w:pStyle w:val="Sidfot"/>
    </w:pPr>
    <w:r w:rsidRPr="008F05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1427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425" w:rsidRDefault="009D7D56">
                          <w:pPr>
                            <w:pStyle w:val="NormalS5sidnrH"/>
                            <w:ind w:right="0"/>
                          </w:pPr>
                          <w:r>
                            <w:fldChar w:fldCharType="begin"/>
                          </w:r>
                          <w:r w:rsidR="00F36425">
                            <w:instrText xml:space="preserve"> PAGE *\charformat</w:instrText>
                          </w:r>
                          <w:r>
                            <w:fldChar w:fldCharType="separate"/>
                          </w:r>
                          <w:r w:rsidR="00633C8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6425" w:rsidRDefault="009D7D56">
                    <w:pPr>
                      <w:pStyle w:val="NormalS5sidnrH"/>
                      <w:ind w:right="0"/>
                    </w:pPr>
                    <w:r>
                      <w:fldChar w:fldCharType="begin"/>
                    </w:r>
                    <w:r w:rsidR="00F36425">
                      <w:instrText xml:space="preserve"> PAGE *\charformat</w:instrText>
                    </w:r>
                    <w:r>
                      <w:fldChar w:fldCharType="separate"/>
                    </w:r>
                    <w:r w:rsidR="00633C8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9" w:rsidRPr="008F058D" w:rsidRDefault="008F058D" w:rsidP="00F36425">
    <w:pPr>
      <w:pStyle w:val="Sidfot"/>
    </w:pPr>
    <w:r w:rsidRPr="008F05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404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425" w:rsidRDefault="009D7D56">
                          <w:pPr>
                            <w:pStyle w:val="NormalS5sidnrH"/>
                            <w:ind w:right="0"/>
                          </w:pPr>
                          <w:r>
                            <w:fldChar w:fldCharType="begin"/>
                          </w:r>
                          <w:r w:rsidR="00F3642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6425" w:rsidRDefault="009D7D56">
                    <w:pPr>
                      <w:pStyle w:val="NormalS5sidnrH"/>
                      <w:ind w:right="0"/>
                    </w:pPr>
                    <w:r>
                      <w:fldChar w:fldCharType="begin"/>
                    </w:r>
                    <w:r w:rsidR="00F3642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D56" w:rsidRPr="008F058D" w:rsidRDefault="009D7D56">
      <w:r w:rsidRPr="008F058D">
        <w:separator/>
      </w:r>
    </w:p>
  </w:footnote>
  <w:footnote w:type="continuationSeparator" w:id="0">
    <w:p w:rsidR="009D7D56" w:rsidRPr="008F058D" w:rsidRDefault="009D7D56">
      <w:r w:rsidRPr="008F0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9" w:rsidRPr="008F058D" w:rsidRDefault="008F058D" w:rsidP="00F36425">
    <w:pPr>
      <w:pStyle w:val="Sidhuvud"/>
    </w:pPr>
    <w:r w:rsidRPr="008F05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865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425" w:rsidRDefault="009D7D56">
                          <w:pPr>
                            <w:pStyle w:val="KantRubrikS5V"/>
                          </w:pPr>
                          <w:r>
                            <w:fldChar w:fldCharType="begin"/>
                          </w:r>
                          <w:r w:rsidR="00F36425">
                            <w:instrText xml:space="preserve"> DOCPROPERTY "YearUser" *\charformat </w:instrText>
                          </w:r>
                          <w:r>
                            <w:fldChar w:fldCharType="separate"/>
                          </w:r>
                          <w:r w:rsidR="00633C8A">
                            <w:t>2006/07</w:t>
                          </w:r>
                          <w:r>
                            <w:fldChar w:fldCharType="end"/>
                          </w:r>
                          <w:r w:rsidR="00F36425">
                            <w:t>:</w:t>
                          </w:r>
                          <w:r>
                            <w:fldChar w:fldCharType="begin"/>
                          </w:r>
                          <w:r w:rsidR="00F36425">
                            <w:instrText xml:space="preserve"> DOCPROPERTY "Motionsnummer" *\charformat </w:instrText>
                          </w:r>
                          <w:r>
                            <w:fldChar w:fldCharType="separate"/>
                          </w:r>
                          <w:r w:rsidR="00633C8A">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6425" w:rsidRDefault="009D7D56">
                    <w:pPr>
                      <w:pStyle w:val="KantRubrikS5V"/>
                    </w:pPr>
                    <w:r>
                      <w:fldChar w:fldCharType="begin"/>
                    </w:r>
                    <w:r w:rsidR="00F36425">
                      <w:instrText xml:space="preserve"> DOCPROPERTY "YearUser" *\charformat </w:instrText>
                    </w:r>
                    <w:r>
                      <w:fldChar w:fldCharType="separate"/>
                    </w:r>
                    <w:r w:rsidR="00633C8A">
                      <w:t>2006/07</w:t>
                    </w:r>
                    <w:r>
                      <w:fldChar w:fldCharType="end"/>
                    </w:r>
                    <w:r w:rsidR="00F36425">
                      <w:t>:</w:t>
                    </w:r>
                    <w:r>
                      <w:fldChar w:fldCharType="begin"/>
                    </w:r>
                    <w:r w:rsidR="00F36425">
                      <w:instrText xml:space="preserve"> DOCPROPERTY "Motionsnummer" *\charformat </w:instrText>
                    </w:r>
                    <w:r>
                      <w:fldChar w:fldCharType="separate"/>
                    </w:r>
                    <w:r w:rsidR="00633C8A">
                      <w:t>N10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9" w:rsidRPr="008F058D" w:rsidRDefault="008F058D" w:rsidP="00F36425">
    <w:pPr>
      <w:pStyle w:val="Sidhuvud"/>
    </w:pPr>
    <w:r w:rsidRPr="008F05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2762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425" w:rsidRDefault="009D7D56">
                          <w:pPr>
                            <w:pStyle w:val="KantRubrikS5H"/>
                            <w:ind w:right="0"/>
                          </w:pPr>
                          <w:r>
                            <w:fldChar w:fldCharType="begin"/>
                          </w:r>
                          <w:r w:rsidR="00F36425">
                            <w:instrText xml:space="preserve"> DOCPROPERTY "YearUser" *\charformat </w:instrText>
                          </w:r>
                          <w:r>
                            <w:fldChar w:fldCharType="separate"/>
                          </w:r>
                          <w:r w:rsidR="00633C8A">
                            <w:t>2006/07</w:t>
                          </w:r>
                          <w:r>
                            <w:fldChar w:fldCharType="end"/>
                          </w:r>
                          <w:r w:rsidR="00F36425">
                            <w:t>:</w:t>
                          </w:r>
                          <w:r>
                            <w:fldChar w:fldCharType="begin"/>
                          </w:r>
                          <w:r w:rsidR="00F36425">
                            <w:instrText xml:space="preserve"> DOCPROPERTY "Motionsnummer" *\charformat </w:instrText>
                          </w:r>
                          <w:r>
                            <w:fldChar w:fldCharType="separate"/>
                          </w:r>
                          <w:r w:rsidR="00633C8A">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6425" w:rsidRDefault="009D7D56">
                    <w:pPr>
                      <w:pStyle w:val="KantRubrikS5H"/>
                      <w:ind w:right="0"/>
                    </w:pPr>
                    <w:r>
                      <w:fldChar w:fldCharType="begin"/>
                    </w:r>
                    <w:r w:rsidR="00F36425">
                      <w:instrText xml:space="preserve"> DOCPROPERTY "YearUser" *\charformat </w:instrText>
                    </w:r>
                    <w:r>
                      <w:fldChar w:fldCharType="separate"/>
                    </w:r>
                    <w:r w:rsidR="00633C8A">
                      <w:t>2006/07</w:t>
                    </w:r>
                    <w:r>
                      <w:fldChar w:fldCharType="end"/>
                    </w:r>
                    <w:r w:rsidR="00F36425">
                      <w:t>:</w:t>
                    </w:r>
                    <w:r>
                      <w:fldChar w:fldCharType="begin"/>
                    </w:r>
                    <w:r w:rsidR="00F36425">
                      <w:instrText xml:space="preserve"> DOCPROPERTY "Motionsnummer" *\charformat </w:instrText>
                    </w:r>
                    <w:r>
                      <w:fldChar w:fldCharType="separate"/>
                    </w:r>
                    <w:r w:rsidR="00633C8A">
                      <w:t>N10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D56" w:rsidRPr="008F058D" w:rsidRDefault="009D7D56">
    <w:pPr>
      <w:pStyle w:val="FSHNormal"/>
      <w:tabs>
        <w:tab w:val="right" w:pos="5840"/>
      </w:tabs>
    </w:pPr>
    <w:r w:rsidRPr="008F058D">
      <w:br/>
    </w:r>
    <w:r w:rsidRPr="008F058D">
      <w:fldChar w:fldCharType="begin" w:fldLock="1"/>
    </w:r>
    <w:r w:rsidRPr="008F058D">
      <w:instrText xml:space="preserve"> DOCPROPERTY</w:instrText>
    </w:r>
    <w:r w:rsidRPr="008F058D">
      <w:rPr>
        <w:sz w:val="18"/>
      </w:rPr>
      <w:instrText xml:space="preserve"> "YearUser" *\charformat </w:instrText>
    </w:r>
    <w:r w:rsidRPr="008F058D">
      <w:fldChar w:fldCharType="separate"/>
    </w:r>
    <w:r w:rsidRPr="008F058D">
      <w:t>2006/07</w:t>
    </w:r>
    <w:r w:rsidRPr="008F058D">
      <w:fldChar w:fldCharType="end"/>
    </w:r>
    <w:r w:rsidRPr="008F058D">
      <w:t xml:space="preserve"> </w:t>
    </w:r>
    <w:r w:rsidRPr="008F058D">
      <w:tab/>
      <w:t xml:space="preserve">mnr: </w:t>
    </w:r>
    <w:r w:rsidRPr="008F058D">
      <w:fldChar w:fldCharType="begin" w:fldLock="1"/>
    </w:r>
    <w:r w:rsidRPr="008F058D">
      <w:instrText xml:space="preserve"> DOCPROPERTY</w:instrText>
    </w:r>
    <w:r w:rsidRPr="008F058D">
      <w:rPr>
        <w:sz w:val="18"/>
      </w:rPr>
      <w:instrText xml:space="preserve"> "Motionsnummer" *\charformat </w:instrText>
    </w:r>
    <w:r w:rsidRPr="008F058D">
      <w:fldChar w:fldCharType="separate"/>
    </w:r>
    <w:r w:rsidRPr="008F058D">
      <w:t>N10</w:t>
    </w:r>
    <w:r w:rsidRPr="008F058D">
      <w:fldChar w:fldCharType="end"/>
    </w:r>
    <w:r w:rsidRPr="008F058D">
      <w:br/>
    </w:r>
    <w:r w:rsidRPr="008F058D">
      <w:fldChar w:fldCharType="begin" w:fldLock="1"/>
    </w:r>
    <w:r w:rsidRPr="008F058D">
      <w:instrText xml:space="preserve"> DOCPROPERTY</w:instrText>
    </w:r>
    <w:r w:rsidRPr="008F058D">
      <w:rPr>
        <w:sz w:val="18"/>
      </w:rPr>
      <w:instrText xml:space="preserve"> "Samling" *\charformat </w:instrText>
    </w:r>
    <w:r w:rsidRPr="008F058D">
      <w:fldChar w:fldCharType="end"/>
    </w:r>
    <w:r w:rsidRPr="008F058D">
      <w:tab/>
      <w:t xml:space="preserve">pnr: </w:t>
    </w:r>
    <w:r w:rsidRPr="008F058D">
      <w:fldChar w:fldCharType="begin" w:fldLock="1"/>
    </w:r>
    <w:r w:rsidRPr="008F058D">
      <w:instrText xml:space="preserve"> DOCPROPERTY</w:instrText>
    </w:r>
    <w:r w:rsidRPr="008F058D">
      <w:rPr>
        <w:sz w:val="18"/>
      </w:rPr>
      <w:instrText xml:space="preserve"> "Partinummer" *\charformat </w:instrText>
    </w:r>
    <w:r w:rsidRPr="008F058D">
      <w:fldChar w:fldCharType="separate"/>
    </w:r>
    <w:r w:rsidRPr="008F058D">
      <w:t>s81002</w:t>
    </w:r>
    <w:r w:rsidRPr="008F058D">
      <w:fldChar w:fldCharType="end"/>
    </w:r>
  </w:p>
  <w:p w:rsidR="009D7D56" w:rsidRPr="008F058D" w:rsidRDefault="009D7D56">
    <w:pPr>
      <w:pStyle w:val="FSHRub1"/>
    </w:pPr>
    <w:r w:rsidRPr="008F058D">
      <w:t>Motion till riksdagen</w:t>
    </w:r>
    <w:r w:rsidRPr="008F058D">
      <w:br/>
    </w:r>
    <w:r w:rsidRPr="008F058D">
      <w:fldChar w:fldCharType="begin" w:fldLock="1"/>
    </w:r>
    <w:r w:rsidRPr="008F058D">
      <w:instrText xml:space="preserve"> DOCPROPERTY "YearUser" *\charformat </w:instrText>
    </w:r>
    <w:r w:rsidRPr="008F058D">
      <w:fldChar w:fldCharType="separate"/>
    </w:r>
    <w:r w:rsidRPr="008F058D">
      <w:t>2006/07</w:t>
    </w:r>
    <w:r w:rsidRPr="008F058D">
      <w:fldChar w:fldCharType="end"/>
    </w:r>
    <w:r w:rsidRPr="008F058D">
      <w:t>:</w:t>
    </w:r>
    <w:r w:rsidRPr="008F058D">
      <w:fldChar w:fldCharType="begin" w:fldLock="1"/>
    </w:r>
    <w:r w:rsidRPr="008F058D">
      <w:instrText xml:space="preserve"> DOCPROPERTY "Motionsnummer" *\charformat </w:instrText>
    </w:r>
    <w:r w:rsidRPr="008F058D">
      <w:fldChar w:fldCharType="separate"/>
    </w:r>
    <w:r w:rsidRPr="008F058D">
      <w:t>N10</w:t>
    </w:r>
    <w:r w:rsidRPr="008F058D">
      <w:fldChar w:fldCharType="end"/>
    </w:r>
  </w:p>
  <w:p w:rsidR="009D7D56" w:rsidRPr="008F058D" w:rsidRDefault="009D7D56">
    <w:pPr>
      <w:pStyle w:val="FSHNormalS5"/>
    </w:pPr>
    <w:r w:rsidRPr="008F058D">
      <w:fldChar w:fldCharType="begin" w:fldLock="1"/>
    </w:r>
    <w:r w:rsidRPr="008F058D">
      <w:instrText xml:space="preserve"> DOCPROPERTY "MotionarText" *\charformat </w:instrText>
    </w:r>
    <w:r w:rsidRPr="008F058D">
      <w:fldChar w:fldCharType="separate"/>
    </w:r>
    <w:r w:rsidRPr="008F058D">
      <w:t>av Thomas Östros m.fl. (s)</w:t>
    </w:r>
    <w:r w:rsidRPr="008F058D">
      <w:fldChar w:fldCharType="end"/>
    </w:r>
    <w:r w:rsidRPr="008F058D">
      <w:br/>
    </w:r>
    <w:r w:rsidRPr="008F058D">
      <w:fldChar w:fldCharType="begin" w:fldLock="1"/>
    </w:r>
    <w:r w:rsidRPr="008F058D">
      <w:instrText xml:space="preserve"> DOCPROPERTY "SvarFrasKort" *\charformat </w:instrText>
    </w:r>
    <w:r w:rsidRPr="008F058D">
      <w:fldChar w:fldCharType="separate"/>
    </w:r>
    <w:r w:rsidRPr="008F058D">
      <w:t>med anledning av prop. 2006/07:57</w:t>
    </w:r>
    <w:r w:rsidRPr="008F058D">
      <w:fldChar w:fldCharType="end"/>
    </w:r>
  </w:p>
  <w:p w:rsidR="009D7D56" w:rsidRPr="008F058D" w:rsidRDefault="009D7D56">
    <w:pPr>
      <w:pStyle w:val="FSHTitel"/>
    </w:pPr>
    <w:r w:rsidRPr="008F058D">
      <w:fldChar w:fldCharType="begin" w:fldLock="1"/>
    </w:r>
    <w:r w:rsidRPr="008F058D">
      <w:instrText xml:space="preserve"> DOCPROPERTY</w:instrText>
    </w:r>
    <w:r w:rsidRPr="008F058D">
      <w:rPr>
        <w:sz w:val="18"/>
      </w:rPr>
      <w:instrText xml:space="preserve"> "RubrikSvar" *\charformat </w:instrText>
    </w:r>
    <w:r w:rsidRPr="008F058D">
      <w:fldChar w:fldCharType="separate"/>
    </w:r>
    <w:r w:rsidRPr="008F058D">
      <w:t>Försäljning av vissa statligt ägda företag</w:t>
    </w:r>
    <w:r w:rsidRPr="008F058D">
      <w:fldChar w:fldCharType="end"/>
    </w:r>
  </w:p>
  <w:p w:rsidR="009D7D56" w:rsidRPr="008F058D" w:rsidRDefault="009D7D56">
    <w:pPr>
      <w:pStyle w:val="Normal00"/>
    </w:pPr>
  </w:p>
  <w:p w:rsidR="00F36425" w:rsidRPr="008F058D" w:rsidRDefault="00F36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856051"/>
    <w:multiLevelType w:val="hybridMultilevel"/>
    <w:tmpl w:val="299C956C"/>
    <w:lvl w:ilvl="0" w:tplc="273219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03A2C72"/>
    <w:multiLevelType w:val="hybridMultilevel"/>
    <w:tmpl w:val="A4CCBF8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7781089">
    <w:abstractNumId w:val="8"/>
  </w:num>
  <w:num w:numId="2" w16cid:durableId="1484588615">
    <w:abstractNumId w:val="9"/>
  </w:num>
  <w:num w:numId="3" w16cid:durableId="2065712280">
    <w:abstractNumId w:val="8"/>
  </w:num>
  <w:num w:numId="4" w16cid:durableId="945115771">
    <w:abstractNumId w:val="9"/>
  </w:num>
  <w:num w:numId="5" w16cid:durableId="305815454">
    <w:abstractNumId w:val="15"/>
  </w:num>
  <w:num w:numId="6" w16cid:durableId="220406181">
    <w:abstractNumId w:val="10"/>
  </w:num>
  <w:num w:numId="7" w16cid:durableId="1604799811">
    <w:abstractNumId w:val="11"/>
  </w:num>
  <w:num w:numId="8" w16cid:durableId="1464271617">
    <w:abstractNumId w:val="14"/>
  </w:num>
  <w:num w:numId="9" w16cid:durableId="1702896697">
    <w:abstractNumId w:val="8"/>
  </w:num>
  <w:num w:numId="10" w16cid:durableId="1389648698">
    <w:abstractNumId w:val="3"/>
  </w:num>
  <w:num w:numId="11" w16cid:durableId="242447021">
    <w:abstractNumId w:val="2"/>
  </w:num>
  <w:num w:numId="12" w16cid:durableId="340203024">
    <w:abstractNumId w:val="1"/>
  </w:num>
  <w:num w:numId="13" w16cid:durableId="713503978">
    <w:abstractNumId w:val="0"/>
  </w:num>
  <w:num w:numId="14" w16cid:durableId="762068007">
    <w:abstractNumId w:val="9"/>
  </w:num>
  <w:num w:numId="15" w16cid:durableId="1422413715">
    <w:abstractNumId w:val="7"/>
  </w:num>
  <w:num w:numId="16" w16cid:durableId="1903519472">
    <w:abstractNumId w:val="6"/>
  </w:num>
  <w:num w:numId="17" w16cid:durableId="1429347749">
    <w:abstractNumId w:val="5"/>
  </w:num>
  <w:num w:numId="18" w16cid:durableId="201870350">
    <w:abstractNumId w:val="4"/>
  </w:num>
  <w:num w:numId="19" w16cid:durableId="1825774450">
    <w:abstractNumId w:val="13"/>
  </w:num>
  <w:num w:numId="20" w16cid:durableId="766578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7_2007-03-14"/>
    <w:docVar w:name="PersonGUIDs" w:val="{8174F5EC-2C19-47A7-8116-E29AECD635DD},{B5A71645-7CE9-4CF2-9B0D-B8EF37E8CE0F},{622BAC93-598F-4CA9-AD94-75479E0DCA7F},{A193B297-6B98-437B-A6FB-B6A494C4671C},{D13B8A42-4E53-4123-8AC8-76C1986C47BF},{B3C0004F-CA55-4619-AE3B-5B534EAD0297},{F862D198-27F7-48B9-A0E6-F542C19DBB78},{B956ED79-82BF-4E87-9D1C-0C5F8EC760E3}"/>
  </w:docVars>
  <w:rsids>
    <w:rsidRoot w:val="008F058D"/>
    <w:rsid w:val="00002742"/>
    <w:rsid w:val="00003E3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931"/>
    <w:rsid w:val="00107AF5"/>
    <w:rsid w:val="001313E9"/>
    <w:rsid w:val="001407E9"/>
    <w:rsid w:val="001447B3"/>
    <w:rsid w:val="00166D90"/>
    <w:rsid w:val="00170803"/>
    <w:rsid w:val="00177CC2"/>
    <w:rsid w:val="00186829"/>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66803"/>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57DCD"/>
    <w:rsid w:val="0036065A"/>
    <w:rsid w:val="003866EC"/>
    <w:rsid w:val="00391AF5"/>
    <w:rsid w:val="00395F5D"/>
    <w:rsid w:val="003A2568"/>
    <w:rsid w:val="003B418B"/>
    <w:rsid w:val="003F100A"/>
    <w:rsid w:val="00445271"/>
    <w:rsid w:val="00447A04"/>
    <w:rsid w:val="004527C3"/>
    <w:rsid w:val="00487F7A"/>
    <w:rsid w:val="004971B2"/>
    <w:rsid w:val="004A0504"/>
    <w:rsid w:val="004A2B89"/>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D3F50"/>
    <w:rsid w:val="005D72CF"/>
    <w:rsid w:val="00601C6D"/>
    <w:rsid w:val="00603CD4"/>
    <w:rsid w:val="00633C8A"/>
    <w:rsid w:val="006346C1"/>
    <w:rsid w:val="00641960"/>
    <w:rsid w:val="006443A4"/>
    <w:rsid w:val="0064771D"/>
    <w:rsid w:val="0065264A"/>
    <w:rsid w:val="00653DD0"/>
    <w:rsid w:val="00677B63"/>
    <w:rsid w:val="00680338"/>
    <w:rsid w:val="00692511"/>
    <w:rsid w:val="006A1005"/>
    <w:rsid w:val="006B6262"/>
    <w:rsid w:val="006D0650"/>
    <w:rsid w:val="00705DBF"/>
    <w:rsid w:val="00727C6F"/>
    <w:rsid w:val="0074086B"/>
    <w:rsid w:val="00740D6D"/>
    <w:rsid w:val="00743F76"/>
    <w:rsid w:val="00754053"/>
    <w:rsid w:val="00770030"/>
    <w:rsid w:val="00774959"/>
    <w:rsid w:val="007852B2"/>
    <w:rsid w:val="00794149"/>
    <w:rsid w:val="007B67A7"/>
    <w:rsid w:val="007C6092"/>
    <w:rsid w:val="007E119E"/>
    <w:rsid w:val="00840433"/>
    <w:rsid w:val="00846903"/>
    <w:rsid w:val="00856B98"/>
    <w:rsid w:val="00857EC2"/>
    <w:rsid w:val="00892562"/>
    <w:rsid w:val="008F058D"/>
    <w:rsid w:val="008F0A96"/>
    <w:rsid w:val="009062A0"/>
    <w:rsid w:val="009451E7"/>
    <w:rsid w:val="00956E7F"/>
    <w:rsid w:val="00963118"/>
    <w:rsid w:val="00970D4F"/>
    <w:rsid w:val="00971D70"/>
    <w:rsid w:val="009A4377"/>
    <w:rsid w:val="009A6043"/>
    <w:rsid w:val="009D0673"/>
    <w:rsid w:val="009D7D56"/>
    <w:rsid w:val="009E79FB"/>
    <w:rsid w:val="00A053C6"/>
    <w:rsid w:val="00A055B3"/>
    <w:rsid w:val="00A15D71"/>
    <w:rsid w:val="00A21BC5"/>
    <w:rsid w:val="00A477E9"/>
    <w:rsid w:val="00A47FAF"/>
    <w:rsid w:val="00A57E41"/>
    <w:rsid w:val="00A736FF"/>
    <w:rsid w:val="00AA1434"/>
    <w:rsid w:val="00AB5000"/>
    <w:rsid w:val="00AC030E"/>
    <w:rsid w:val="00AC4310"/>
    <w:rsid w:val="00AC63D9"/>
    <w:rsid w:val="00AE2EF8"/>
    <w:rsid w:val="00AF5881"/>
    <w:rsid w:val="00B13BF0"/>
    <w:rsid w:val="00B25BC7"/>
    <w:rsid w:val="00B33C81"/>
    <w:rsid w:val="00B34666"/>
    <w:rsid w:val="00B67E5B"/>
    <w:rsid w:val="00B84A97"/>
    <w:rsid w:val="00BA4894"/>
    <w:rsid w:val="00BA6BE0"/>
    <w:rsid w:val="00BB6D75"/>
    <w:rsid w:val="00BD43A8"/>
    <w:rsid w:val="00BF7E00"/>
    <w:rsid w:val="00C1285C"/>
    <w:rsid w:val="00C27B7D"/>
    <w:rsid w:val="00C27D67"/>
    <w:rsid w:val="00C32A06"/>
    <w:rsid w:val="00C44394"/>
    <w:rsid w:val="00C533BA"/>
    <w:rsid w:val="00C822A8"/>
    <w:rsid w:val="00C902E9"/>
    <w:rsid w:val="00C92208"/>
    <w:rsid w:val="00C96A90"/>
    <w:rsid w:val="00C971A3"/>
    <w:rsid w:val="00CB5B24"/>
    <w:rsid w:val="00CC3AB6"/>
    <w:rsid w:val="00CD4B2B"/>
    <w:rsid w:val="00CE3037"/>
    <w:rsid w:val="00CF7A43"/>
    <w:rsid w:val="00CF7F71"/>
    <w:rsid w:val="00D01775"/>
    <w:rsid w:val="00D1174F"/>
    <w:rsid w:val="00D1289C"/>
    <w:rsid w:val="00D372C4"/>
    <w:rsid w:val="00D44527"/>
    <w:rsid w:val="00D52681"/>
    <w:rsid w:val="00D53D04"/>
    <w:rsid w:val="00D55EF7"/>
    <w:rsid w:val="00D666A2"/>
    <w:rsid w:val="00D97778"/>
    <w:rsid w:val="00DC0DF0"/>
    <w:rsid w:val="00DC6C70"/>
    <w:rsid w:val="00DF454D"/>
    <w:rsid w:val="00DF5ACD"/>
    <w:rsid w:val="00E14ECE"/>
    <w:rsid w:val="00E2060E"/>
    <w:rsid w:val="00E22893"/>
    <w:rsid w:val="00E3019F"/>
    <w:rsid w:val="00E307DD"/>
    <w:rsid w:val="00E349C2"/>
    <w:rsid w:val="00E360DE"/>
    <w:rsid w:val="00E5074A"/>
    <w:rsid w:val="00E521CB"/>
    <w:rsid w:val="00E728F6"/>
    <w:rsid w:val="00E75D28"/>
    <w:rsid w:val="00E84F25"/>
    <w:rsid w:val="00EC007B"/>
    <w:rsid w:val="00EC2D35"/>
    <w:rsid w:val="00ED0EE7"/>
    <w:rsid w:val="00EE7A8E"/>
    <w:rsid w:val="00F21B30"/>
    <w:rsid w:val="00F273EA"/>
    <w:rsid w:val="00F36425"/>
    <w:rsid w:val="00F42CB9"/>
    <w:rsid w:val="00F42FFE"/>
    <w:rsid w:val="00F73E9E"/>
    <w:rsid w:val="00F87D14"/>
    <w:rsid w:val="00F95725"/>
    <w:rsid w:val="00FA3374"/>
    <w:rsid w:val="00FB100C"/>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15CA8D-F6C0-450C-8D56-111C7560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1"/>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C2D35"/>
    <w:rPr>
      <w:sz w:val="32"/>
      <w:lang w:val="sv-SE" w:eastAsia="sv-SE" w:bidi="ar-SA"/>
    </w:rPr>
  </w:style>
  <w:style w:type="character" w:customStyle="1" w:styleId="Rubrik2Char">
    <w:name w:val="Rubrik 2 Char"/>
    <w:aliases w:val="Beslutrubrik Char"/>
    <w:basedOn w:val="Standardstycketeckensnitt"/>
    <w:link w:val="Rubrik2"/>
    <w:semiHidden/>
    <w:locked/>
    <w:rsid w:val="00EC2D35"/>
    <w:rPr>
      <w:sz w:val="27"/>
      <w:lang w:val="sv-SE" w:eastAsia="sv-SE" w:bidi="ar-SA"/>
    </w:rPr>
  </w:style>
  <w:style w:type="character" w:customStyle="1" w:styleId="Rubrik3Char1">
    <w:name w:val="Rubrik 3 Char1"/>
    <w:aliases w:val="Mellanrubrik Char"/>
    <w:basedOn w:val="Standardstycketeckensnitt"/>
    <w:link w:val="Rubrik3"/>
    <w:semiHidden/>
    <w:locked/>
    <w:rsid w:val="00EC2D35"/>
    <w:rPr>
      <w:b/>
      <w:sz w:val="21"/>
      <w:lang w:val="sv-SE" w:eastAsia="sv-SE" w:bidi="ar-SA"/>
    </w:rPr>
  </w:style>
  <w:style w:type="character" w:customStyle="1" w:styleId="Rubrik4Char">
    <w:name w:val="Rubrik 4 Char"/>
    <w:aliases w:val="KursivRubrik Char"/>
    <w:basedOn w:val="Standardstycketeckensnitt"/>
    <w:link w:val="Rubrik4"/>
    <w:semiHidden/>
    <w:locked/>
    <w:rsid w:val="00EC2D3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C2D35"/>
    <w:rPr>
      <w:sz w:val="19"/>
      <w:lang w:val="sv-SE" w:eastAsia="sv-SE" w:bidi="ar-SA"/>
    </w:rPr>
  </w:style>
  <w:style w:type="character" w:customStyle="1" w:styleId="Rubrik6Char">
    <w:name w:val="Rubrik 6 Char"/>
    <w:basedOn w:val="Standardstycketeckensnitt"/>
    <w:link w:val="Rubrik6"/>
    <w:semiHidden/>
    <w:locked/>
    <w:rsid w:val="00EC2D35"/>
    <w:rPr>
      <w:caps/>
      <w:sz w:val="14"/>
      <w:lang w:val="sv-SE" w:eastAsia="sv-SE" w:bidi="ar-SA"/>
    </w:rPr>
  </w:style>
  <w:style w:type="character" w:customStyle="1" w:styleId="Rubrik7Char">
    <w:name w:val="Rubrik 7 Char"/>
    <w:basedOn w:val="Standardstycketeckensnitt"/>
    <w:link w:val="Rubrik7"/>
    <w:semiHidden/>
    <w:locked/>
    <w:rsid w:val="00EC2D35"/>
    <w:rPr>
      <w:caps/>
      <w:sz w:val="14"/>
      <w:lang w:val="sv-SE" w:eastAsia="sv-SE" w:bidi="ar-SA"/>
    </w:rPr>
  </w:style>
  <w:style w:type="character" w:customStyle="1" w:styleId="Rubrik8Char">
    <w:name w:val="Rubrik 8 Char"/>
    <w:basedOn w:val="Standardstycketeckensnitt"/>
    <w:link w:val="Rubrik8"/>
    <w:semiHidden/>
    <w:locked/>
    <w:rsid w:val="00EC2D35"/>
    <w:rPr>
      <w:caps/>
      <w:sz w:val="14"/>
      <w:lang w:val="sv-SE" w:eastAsia="sv-SE" w:bidi="ar-SA"/>
    </w:rPr>
  </w:style>
  <w:style w:type="character" w:customStyle="1" w:styleId="Rubrik9Char">
    <w:name w:val="Rubrik 9 Char"/>
    <w:basedOn w:val="Standardstycketeckensnitt"/>
    <w:link w:val="Rubrik9"/>
    <w:semiHidden/>
    <w:locked/>
    <w:rsid w:val="00EC2D3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C2D3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C2D3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36425"/>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C2D3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C2D3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C2D35"/>
    <w:rPr>
      <w:rFonts w:ascii="Cambria" w:hAnsi="Cambria" w:cs="Times New Roman"/>
      <w:sz w:val="24"/>
      <w:szCs w:val="24"/>
    </w:rPr>
  </w:style>
  <w:style w:type="table" w:styleId="Enkeltabell1">
    <w:name w:val="Table Simple 1"/>
    <w:basedOn w:val="Normaltabell"/>
    <w:rsid w:val="00A57E41"/>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Rubrik3Char">
    <w:name w:val="Rubrik 3 Char"/>
    <w:basedOn w:val="Standardstycketeckensnitt"/>
    <w:rsid w:val="00A57E41"/>
    <w:rPr>
      <w:rFonts w:ascii="GillSans" w:hAnsi="GillSans" w:cs="Arial"/>
      <w:b/>
      <w:bCs/>
      <w:i/>
      <w:kern w:val="28"/>
      <w:sz w:val="23"/>
      <w:szCs w:val="2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1386</Words>
  <Characters>8306</Characters>
  <Application>Microsoft Office Word</Application>
  <DocSecurity>4</DocSecurity>
  <Lines>193</Lines>
  <Paragraphs>88</Paragraphs>
  <ScaleCrop>false</ScaleCrop>
  <HeadingPairs>
    <vt:vector size="2" baseType="variant">
      <vt:variant>
        <vt:lpstr>Rubrik</vt:lpstr>
      </vt:variant>
      <vt:variant>
        <vt:i4>1</vt:i4>
      </vt:variant>
    </vt:vector>
  </HeadingPairs>
  <TitlesOfParts>
    <vt:vector size="1" baseType="lpstr">
      <vt:lpstr>s81002</vt:lpstr>
    </vt:vector>
  </TitlesOfParts>
  <Company>Riksdagen</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s81002</dc:title>
  <dc:subject>s81002</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2007-03-22T10:15:00Z</cp:lastPrinted>
  <dcterms:created xsi:type="dcterms:W3CDTF">2025-12-17T00:50:00Z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mot2000_477_2007-03-14</vt:lpwstr>
  </property>
  <property fmtid="{D5CDD505-2E9C-101B-9397-08002B2CF9AE}" pid="3" name="version">
    <vt:lpwstr>mot2000_477_2007-03-14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Försäljning av vissa statligt ägda företag</vt:lpwstr>
  </property>
  <property fmtid="{D5CDD505-2E9C-101B-9397-08002B2CF9AE}" pid="11" name="SvarFrasKort">
    <vt:lpwstr>med anledning av prop. 2006/07:57</vt:lpwstr>
  </property>
  <property fmtid="{D5CDD505-2E9C-101B-9397-08002B2CF9AE}" pid="12" name="Svar">
    <vt:lpwstr>Proposition</vt:lpwstr>
  </property>
  <property fmtid="{D5CDD505-2E9C-101B-9397-08002B2CF9AE}" pid="13" name="SvarNr">
    <vt:lpwstr>2006/07:57</vt:lpwstr>
  </property>
  <property fmtid="{D5CDD505-2E9C-101B-9397-08002B2CF9AE}" pid="14" name="RubrikSvar">
    <vt:lpwstr>Försäljning av vissa statligt ägda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(s)\Adolfsson Elgestam, Carina (s)\Eriksson, Alf (s)\Högman, Berit (s)\Örnfjäder, Krister (s)\Åström, Karin (s)\Vestlund, Börje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Carina Adolfsson Elgestam (s), Alf Eriksson (s), Berit Högman (s), Krister Örnfjäder (s), Karin Åström (s), Börje Vestlund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mars 2007</vt:lpwstr>
  </property>
  <property fmtid="{D5CDD505-2E9C-101B-9397-08002B2CF9AE}" pid="44" name="NotesUID">
    <vt:lpwstr/>
  </property>
  <property fmtid="{D5CDD505-2E9C-101B-9397-08002B2CF9AE}" pid="45" name="ReservUID">
    <vt:lpwstr>jm0808aa</vt:lpwstr>
  </property>
  <property fmtid="{D5CDD505-2E9C-101B-9397-08002B2CF9AE}" pid="46" name="MotionID">
    <vt:lpwstr>20062007000000000115000810020075</vt:lpwstr>
  </property>
  <property fmtid="{D5CDD505-2E9C-101B-9397-08002B2CF9AE}" pid="47" name="datum">
    <vt:lpwstr>070314</vt:lpwstr>
  </property>
  <property fmtid="{D5CDD505-2E9C-101B-9397-08002B2CF9AE}" pid="48" name="avsändar-e-post">
    <vt:lpwstr/>
  </property>
  <property fmtid="{D5CDD505-2E9C-101B-9397-08002B2CF9AE}" pid="49" name="id">
    <vt:lpwstr>20062007000000000115000810020075</vt:lpwstr>
  </property>
  <property fmtid="{D5CDD505-2E9C-101B-9397-08002B2CF9AE}" pid="50" name="nummer">
    <vt:lpwstr>10</vt:lpwstr>
  </property>
  <property fmtid="{D5CDD505-2E9C-101B-9397-08002B2CF9AE}" pid="51" name="utskottsbeteckning">
    <vt:lpwstr>N</vt:lpwstr>
  </property>
  <property fmtid="{D5CDD505-2E9C-101B-9397-08002B2CF9AE}" pid="52" name="GlobalUID">
    <vt:lpwstr>{04355F41-8AE5-4512-AEE0-3EC7DF87E7B7}</vt:lpwstr>
  </property>
  <property fmtid="{D5CDD505-2E9C-101B-9397-08002B2CF9AE}" pid="53" name="Överföringar">
    <vt:i4>0</vt:i4>
  </property>
  <property fmtid="{D5CDD505-2E9C-101B-9397-08002B2CF9AE}" pid="54" name="Checksum">
    <vt:lpwstr>*0008052218718*</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070322 11:16:02.643</vt:lpwstr>
  </property>
  <property fmtid="{D5CDD505-2E9C-101B-9397-08002B2CF9AE}" pid="58" name="urixGuid">
    <vt:lpwstr>{16F2D1E2-523C-4C19-80AC-94CBD58173A5}</vt:lpwstr>
  </property>
</Properties>
</file>