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4CE" w:rsidRPr="00CA54CE" w:rsidRDefault="00CA54CE">
      <w:pPr>
        <w:pStyle w:val="Frslagsrubrik"/>
      </w:pPr>
      <w:r w:rsidRPr="00CA54CE">
        <w:t>Förslag till riksdagsbeslut</w:t>
      </w:r>
    </w:p>
    <w:p w:rsidR="00CA54CE" w:rsidRPr="00CA54CE" w:rsidRDefault="00CA54CE">
      <w:pPr>
        <w:pStyle w:val="Hemstlatt"/>
      </w:pPr>
      <w:r w:rsidRPr="00CA54CE">
        <w:t xml:space="preserve">Riksdagen tillkännager för regeringen som sin mening vad som anförs i motionen om </w:t>
      </w:r>
      <w:r w:rsidRPr="00CA54CE">
        <w:rPr>
          <w:color w:val="000000"/>
          <w:szCs w:val="24"/>
        </w:rPr>
        <w:t>ett regelverk som förenklar förutsättningarna för småskalig elproduktion inom denna mandatperiod.</w:t>
      </w:r>
    </w:p>
    <w:p w:rsidR="00CA54CE" w:rsidRPr="00CA54CE" w:rsidRDefault="00CA54CE">
      <w:pPr>
        <w:pStyle w:val="Rubrik1"/>
      </w:pPr>
      <w:r w:rsidRPr="00CA54CE">
        <w:t>Motivering</w:t>
      </w:r>
    </w:p>
    <w:p w:rsidR="00CA54CE" w:rsidRPr="00CA54CE" w:rsidRDefault="00CA54CE">
      <w:r w:rsidRPr="00CA54CE">
        <w:t>Från och med hösten 2010 skall EU:s direktiv om främjande av förnybar energi vara implementerat. Enligt direktivet skall tillträde till elnätet för fö</w:t>
      </w:r>
      <w:r w:rsidRPr="00CA54CE">
        <w:t>r</w:t>
      </w:r>
      <w:r w:rsidRPr="00CA54CE">
        <w:t>nybara energikällor garanteras eller prioriteras. Direktivet innehåller förslag till åtgärder som ska främja en ökad användning av förnybar energi. Till dessa hör att förenkla tillståndsprocesser, anpassa byggregler, öka informationen om teknik och stödsystem samt underlätta tillträdet till el- och gasnät för förnybar energi. Direktivet ålägger transmissions- och distributionsansvariga att utarbeta och offentliggöra standardregler för hur kostnaderna för teknisk anpassning ska bäras och fördelas samt ge ny</w:t>
      </w:r>
      <w:r w:rsidRPr="00CA54CE">
        <w:t>a producenter som vill ansluta sig de uppgifter som krävs, däribland detaljerade uppskattningar av anslu</w:t>
      </w:r>
      <w:r w:rsidRPr="00CA54CE">
        <w:t>t</w:t>
      </w:r>
      <w:r w:rsidRPr="00CA54CE">
        <w:t>ningskostnaderna och en rimlig tidsplan för anslutning till nätet.</w:t>
      </w:r>
    </w:p>
    <w:p w:rsidR="00CA54CE" w:rsidRPr="00CA54CE" w:rsidRDefault="00CA54CE">
      <w:pPr>
        <w:pStyle w:val="Normaltindrag"/>
        <w:rPr>
          <w:szCs w:val="24"/>
        </w:rPr>
      </w:pPr>
      <w:r w:rsidRPr="00CA54CE">
        <w:t>Den statliga Nätanslutningsutredningen, som presenterade sitt betänkande i början av 2008, föreslog olika åtgärder för att öka anslutningen av förnybar elproduktion. Dessa förslag återfanns i huvudsak i regeringens energipropos</w:t>
      </w:r>
      <w:r w:rsidRPr="00CA54CE">
        <w:t>i</w:t>
      </w:r>
      <w:r w:rsidRPr="00CA54CE">
        <w:t xml:space="preserve">tion (prop. 2008/09:163) i mars 2009. En av de mest angelägna åtgärderna är möjligheten att leverera el till elnätet utan att betala nätavgift för den som tar ut mer el från nätet än vad han eller hon matar in. </w:t>
      </w:r>
      <w:r w:rsidRPr="00CA54CE">
        <w:rPr>
          <w:color w:val="000000"/>
          <w:szCs w:val="19"/>
        </w:rPr>
        <w:t xml:space="preserve">Den </w:t>
      </w:r>
      <w:r w:rsidRPr="00CA54CE">
        <w:rPr>
          <w:color w:val="000000"/>
          <w:szCs w:val="24"/>
        </w:rPr>
        <w:t>småskaliga elprodu</w:t>
      </w:r>
      <w:r w:rsidRPr="00CA54CE">
        <w:rPr>
          <w:color w:val="000000"/>
          <w:szCs w:val="24"/>
        </w:rPr>
        <w:t>k</w:t>
      </w:r>
      <w:r w:rsidRPr="00CA54CE">
        <w:rPr>
          <w:color w:val="000000"/>
          <w:szCs w:val="24"/>
        </w:rPr>
        <w:t>tionen där villaägare installerar solceller eller det småskaliga jordbruket som anordnar vindkraft i mindre skala är därför steg i rätt riktning som skall up</w:t>
      </w:r>
      <w:r w:rsidRPr="00CA54CE">
        <w:rPr>
          <w:color w:val="000000"/>
          <w:szCs w:val="24"/>
        </w:rPr>
        <w:t>p</w:t>
      </w:r>
      <w:r w:rsidRPr="00CA54CE">
        <w:rPr>
          <w:color w:val="000000"/>
          <w:szCs w:val="24"/>
        </w:rPr>
        <w:t>muntras. Det är därför uppmuntrande att följa regeringens arbete med att göra förenklingar för elproducenters nätanslut</w:t>
      </w:r>
      <w:r w:rsidRPr="00CA54CE">
        <w:rPr>
          <w:color w:val="000000"/>
          <w:szCs w:val="24"/>
        </w:rPr>
        <w:t>ningar.</w:t>
      </w:r>
    </w:p>
    <w:p w:rsidR="00CA54CE" w:rsidRPr="00CA54CE" w:rsidRDefault="00CA54CE">
      <w:pPr>
        <w:pStyle w:val="Normaltindrag"/>
        <w:rPr>
          <w:szCs w:val="24"/>
        </w:rPr>
      </w:pPr>
      <w:r w:rsidRPr="00CA54CE">
        <w:rPr>
          <w:color w:val="000000"/>
          <w:szCs w:val="24"/>
        </w:rPr>
        <w:lastRenderedPageBreak/>
        <w:t>Bland annat har uppdrag getts till Energimarknadsinspektionen att ta fram ett regelverk för hur krav kan formuleras på transmissions- och distribution</w:t>
      </w:r>
      <w:r w:rsidRPr="00CA54CE">
        <w:rPr>
          <w:color w:val="000000"/>
          <w:szCs w:val="24"/>
        </w:rPr>
        <w:t>s</w:t>
      </w:r>
      <w:r w:rsidRPr="00CA54CE">
        <w:rPr>
          <w:color w:val="000000"/>
          <w:szCs w:val="24"/>
        </w:rPr>
        <w:t>ansvariga att ge nya producenter som vill ansluta sig till systemet de uppgifter som krävs, däribland detaljerade uppskattningar av anslutningskostnaderna och en rimlig ungefärlig tidsplan för föreslagen anslutning till nätet. När fa</w:t>
      </w:r>
      <w:r w:rsidRPr="00CA54CE">
        <w:rPr>
          <w:color w:val="000000"/>
          <w:szCs w:val="24"/>
        </w:rPr>
        <w:t>s</w:t>
      </w:r>
      <w:r w:rsidRPr="00CA54CE">
        <w:rPr>
          <w:color w:val="000000"/>
          <w:szCs w:val="24"/>
        </w:rPr>
        <w:t>tighetsägare och småskaliga företag kan bli elproducenter och få intäkter från överproduktion kommer vi att se en snabb utveckling som gynnar både miljö och företagsanda. Därför bör anslutningskostnaderna hållas nere för att u</w:t>
      </w:r>
      <w:r w:rsidRPr="00CA54CE">
        <w:rPr>
          <w:color w:val="000000"/>
          <w:szCs w:val="24"/>
        </w:rPr>
        <w:t>t</w:t>
      </w:r>
      <w:r w:rsidRPr="00CA54CE">
        <w:rPr>
          <w:color w:val="000000"/>
          <w:szCs w:val="24"/>
        </w:rPr>
        <w:t>vecklingen med småskalig elproduktion snabbare ska</w:t>
      </w:r>
      <w:r w:rsidRPr="00CA54CE">
        <w:rPr>
          <w:color w:val="000000"/>
          <w:szCs w:val="24"/>
        </w:rPr>
        <w:t xml:space="preserve"> expandera.</w:t>
      </w:r>
      <w:r w:rsidRPr="00CA54CE">
        <w:rPr>
          <w:szCs w:val="24"/>
        </w:rPr>
        <w:t xml:space="preserve"> Det är vi</w:t>
      </w:r>
      <w:r w:rsidRPr="00CA54CE">
        <w:rPr>
          <w:szCs w:val="24"/>
        </w:rPr>
        <w:t>k</w:t>
      </w:r>
      <w:r w:rsidRPr="00CA54CE">
        <w:rPr>
          <w:szCs w:val="24"/>
        </w:rPr>
        <w:t>tigt att regeringen nu går vidare med sitt arbete att förenkla förutsättningarna för småskalig elproduktion, inte minst när det gäller regelförenklingar.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54CE">
        <w:trPr>
          <w:cantSplit/>
        </w:trPr>
        <w:tc>
          <w:tcPr>
            <w:tcW w:w="3046" w:type="dxa"/>
          </w:tcPr>
          <w:p w:rsidR="00CA54CE" w:rsidRPr="00CA54CE" w:rsidRDefault="00CA54CE">
            <w:pPr>
              <w:pStyle w:val="UnderskriftDatum"/>
              <w:spacing w:before="240"/>
            </w:pPr>
            <w:r w:rsidRPr="00CA54CE">
              <w:t>Stockholm den 26 oktober 2010</w:t>
            </w:r>
          </w:p>
        </w:tc>
        <w:tc>
          <w:tcPr>
            <w:tcW w:w="3047" w:type="dxa"/>
          </w:tcPr>
          <w:p w:rsidR="00CA54CE" w:rsidRPr="00CA54CE" w:rsidRDefault="00CA54CE">
            <w:pPr>
              <w:pStyle w:val="Underskrifter"/>
              <w:spacing w:before="240"/>
            </w:pPr>
          </w:p>
        </w:tc>
      </w:tr>
      <w:tr w:rsidR="00000000" w:rsidRPr="00CA54CE">
        <w:trPr>
          <w:cantSplit/>
        </w:trPr>
        <w:tc>
          <w:tcPr>
            <w:tcW w:w="3046" w:type="dxa"/>
          </w:tcPr>
          <w:p w:rsidR="00CA54CE" w:rsidRPr="00CA54CE" w:rsidRDefault="00CA54CE">
            <w:pPr>
              <w:pStyle w:val="Underskrifter"/>
            </w:pPr>
            <w:r w:rsidRPr="00CA54CE">
              <w:t>Lars-Axel Nordell (KD)</w:t>
            </w:r>
          </w:p>
        </w:tc>
        <w:tc>
          <w:tcPr>
            <w:tcW w:w="3046" w:type="dxa"/>
          </w:tcPr>
          <w:p w:rsidR="00CA54CE" w:rsidRPr="00CA54CE" w:rsidRDefault="00CA54CE">
            <w:pPr>
              <w:pStyle w:val="Underskrifter"/>
            </w:pPr>
          </w:p>
        </w:tc>
      </w:tr>
    </w:tbl>
    <w:p w:rsidR="00CA54CE" w:rsidRPr="00CA54CE" w:rsidRDefault="00CA54CE">
      <w:pPr>
        <w:pStyle w:val="Normaltindrag"/>
      </w:pPr>
    </w:p>
    <w:sectPr w:rsidR="00000000" w:rsidRPr="00CA54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4CE" w:rsidRPr="00CA54CE" w:rsidRDefault="00CA54CE">
      <w:r w:rsidRPr="00CA54CE">
        <w:separator/>
      </w:r>
    </w:p>
  </w:endnote>
  <w:endnote w:type="continuationSeparator" w:id="0">
    <w:p w:rsidR="00CA54CE" w:rsidRPr="00CA54CE" w:rsidRDefault="00CA54CE">
      <w:r w:rsidRPr="00CA54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4CE" w:rsidRPr="00CA54CE" w:rsidRDefault="00CA54CE">
    <w:pPr>
      <w:pStyle w:val="Sidfot"/>
    </w:pPr>
    <w:r w:rsidRPr="00CA54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7388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4CE" w:rsidRDefault="00CA54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54CE" w:rsidRDefault="00CA54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4CE" w:rsidRPr="00CA54CE" w:rsidRDefault="00CA54CE">
    <w:pPr>
      <w:pStyle w:val="Sidfot"/>
    </w:pPr>
    <w:r w:rsidRPr="00CA54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0255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4CE" w:rsidRDefault="00CA54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54CE" w:rsidRDefault="00CA54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4CE" w:rsidRPr="00CA54CE" w:rsidRDefault="00CA54CE">
    <w:pPr>
      <w:pStyle w:val="Sidfot"/>
    </w:pPr>
    <w:r w:rsidRPr="00CA54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006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4CE" w:rsidRDefault="00CA54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54CE" w:rsidRDefault="00CA54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4CE" w:rsidRPr="00CA54CE" w:rsidRDefault="00CA54CE">
      <w:r w:rsidRPr="00CA54CE">
        <w:separator/>
      </w:r>
    </w:p>
  </w:footnote>
  <w:footnote w:type="continuationSeparator" w:id="0">
    <w:p w:rsidR="00CA54CE" w:rsidRPr="00CA54CE" w:rsidRDefault="00CA54CE">
      <w:r w:rsidRPr="00CA54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4CE" w:rsidRPr="00CA54CE" w:rsidRDefault="00CA54CE">
    <w:pPr>
      <w:pStyle w:val="Sidhuvud"/>
    </w:pPr>
    <w:r w:rsidRPr="00CA54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873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4CE" w:rsidRDefault="00CA54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54CE" w:rsidRDefault="00CA54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4CE" w:rsidRPr="00CA54CE" w:rsidRDefault="00CA54CE">
    <w:pPr>
      <w:pStyle w:val="Sidhuvud"/>
    </w:pPr>
    <w:r w:rsidRPr="00CA54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77415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4CE" w:rsidRDefault="00CA54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54CE" w:rsidRDefault="00CA54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4CE" w:rsidRPr="00CA54CE" w:rsidRDefault="00CA54CE">
    <w:pPr>
      <w:pStyle w:val="FSHNormal"/>
      <w:tabs>
        <w:tab w:val="right" w:pos="5840"/>
      </w:tabs>
    </w:pPr>
    <w:r w:rsidRPr="00CA54CE">
      <w:br/>
    </w:r>
    <w:r w:rsidRPr="00CA54CE">
      <w:fldChar w:fldCharType="begin" w:fldLock="1"/>
    </w:r>
    <w:r w:rsidRPr="00CA54CE">
      <w:instrText xml:space="preserve"> DOCPROPERTY</w:instrText>
    </w:r>
    <w:r w:rsidRPr="00CA54CE">
      <w:rPr>
        <w:sz w:val="18"/>
      </w:rPr>
      <w:instrText xml:space="preserve"> "YearUser" *\charformat </w:instrText>
    </w:r>
    <w:r w:rsidRPr="00CA54CE">
      <w:fldChar w:fldCharType="separate"/>
    </w:r>
    <w:r w:rsidRPr="00CA54CE">
      <w:t>2010/11</w:t>
    </w:r>
    <w:r w:rsidRPr="00CA54CE">
      <w:fldChar w:fldCharType="end"/>
    </w:r>
    <w:r w:rsidRPr="00CA54CE">
      <w:t xml:space="preserve"> </w:t>
    </w:r>
    <w:r w:rsidRPr="00CA54CE">
      <w:tab/>
      <w:t xml:space="preserve">mnr: </w:t>
    </w:r>
    <w:r w:rsidRPr="00CA54CE">
      <w:fldChar w:fldCharType="begin" w:fldLock="1"/>
    </w:r>
    <w:r w:rsidRPr="00CA54CE">
      <w:instrText xml:space="preserve"> DOCPROPERTY</w:instrText>
    </w:r>
    <w:r w:rsidRPr="00CA54CE">
      <w:rPr>
        <w:sz w:val="18"/>
      </w:rPr>
      <w:instrText xml:space="preserve"> "Motionsnummer" *\charformat </w:instrText>
    </w:r>
    <w:r w:rsidRPr="00CA54CE">
      <w:fldChar w:fldCharType="separate"/>
    </w:r>
    <w:r w:rsidRPr="00CA54CE">
      <w:t>N351</w:t>
    </w:r>
    <w:r w:rsidRPr="00CA54CE">
      <w:fldChar w:fldCharType="end"/>
    </w:r>
    <w:r w:rsidRPr="00CA54CE">
      <w:br/>
    </w:r>
    <w:r w:rsidRPr="00CA54CE">
      <w:fldChar w:fldCharType="begin" w:fldLock="1"/>
    </w:r>
    <w:r w:rsidRPr="00CA54CE">
      <w:instrText xml:space="preserve"> DOCPROPERTY</w:instrText>
    </w:r>
    <w:r w:rsidRPr="00CA54CE">
      <w:rPr>
        <w:sz w:val="18"/>
      </w:rPr>
      <w:instrText xml:space="preserve"> "Samling" *\charformat </w:instrText>
    </w:r>
    <w:r w:rsidRPr="00CA54CE">
      <w:fldChar w:fldCharType="end"/>
    </w:r>
    <w:r w:rsidRPr="00CA54CE">
      <w:tab/>
      <w:t xml:space="preserve">pnr: </w:t>
    </w:r>
    <w:r w:rsidRPr="00CA54CE">
      <w:fldChar w:fldCharType="begin" w:fldLock="1"/>
    </w:r>
    <w:r w:rsidRPr="00CA54CE">
      <w:instrText xml:space="preserve"> DOCPROPERTY</w:instrText>
    </w:r>
    <w:r w:rsidRPr="00CA54CE">
      <w:rPr>
        <w:sz w:val="18"/>
      </w:rPr>
      <w:instrText xml:space="preserve"> "Partinummer" *\charformat </w:instrText>
    </w:r>
    <w:r w:rsidRPr="00CA54CE">
      <w:fldChar w:fldCharType="separate"/>
    </w:r>
    <w:r w:rsidRPr="00CA54CE">
      <w:t>KD626</w:t>
    </w:r>
    <w:r w:rsidRPr="00CA54CE">
      <w:fldChar w:fldCharType="end"/>
    </w:r>
  </w:p>
  <w:p w:rsidR="00CA54CE" w:rsidRPr="00CA54CE" w:rsidRDefault="00CA54CE">
    <w:pPr>
      <w:pStyle w:val="FSHRub1"/>
    </w:pPr>
    <w:r w:rsidRPr="00CA54CE">
      <w:t>Motion till riksdagen</w:t>
    </w:r>
    <w:r w:rsidRPr="00CA54CE">
      <w:br/>
    </w:r>
    <w:r w:rsidRPr="00CA54CE">
      <w:fldChar w:fldCharType="begin" w:fldLock="1"/>
    </w:r>
    <w:r w:rsidRPr="00CA54CE">
      <w:instrText xml:space="preserve"> DOCPROPERTY "YearUser" *\charformat </w:instrText>
    </w:r>
    <w:r w:rsidRPr="00CA54CE">
      <w:fldChar w:fldCharType="separate"/>
    </w:r>
    <w:r w:rsidRPr="00CA54CE">
      <w:t>2010/11</w:t>
    </w:r>
    <w:r w:rsidRPr="00CA54CE">
      <w:fldChar w:fldCharType="end"/>
    </w:r>
    <w:r w:rsidRPr="00CA54CE">
      <w:t>:</w:t>
    </w:r>
    <w:r w:rsidRPr="00CA54CE">
      <w:fldChar w:fldCharType="begin" w:fldLock="1"/>
    </w:r>
    <w:r w:rsidRPr="00CA54CE">
      <w:instrText xml:space="preserve"> DOCPROPERTY "Motionsnummer" *\charformat </w:instrText>
    </w:r>
    <w:r w:rsidRPr="00CA54CE">
      <w:fldChar w:fldCharType="separate"/>
    </w:r>
    <w:r w:rsidRPr="00CA54CE">
      <w:t>N351</w:t>
    </w:r>
    <w:r w:rsidRPr="00CA54CE">
      <w:fldChar w:fldCharType="end"/>
    </w:r>
  </w:p>
  <w:p w:rsidR="00CA54CE" w:rsidRPr="00CA54CE" w:rsidRDefault="00CA54CE">
    <w:pPr>
      <w:pStyle w:val="FSHNormalS5"/>
    </w:pPr>
    <w:r w:rsidRPr="00CA54CE">
      <w:fldChar w:fldCharType="begin" w:fldLock="1"/>
    </w:r>
    <w:r w:rsidRPr="00CA54CE">
      <w:instrText xml:space="preserve"> DOCPROPERTY "MotionarText" *\charformat </w:instrText>
    </w:r>
    <w:r w:rsidRPr="00CA54CE">
      <w:fldChar w:fldCharType="separate"/>
    </w:r>
    <w:r w:rsidRPr="00CA54CE">
      <w:t>av Lars-Axel Nordell (KD)</w:t>
    </w:r>
    <w:r w:rsidRPr="00CA54CE">
      <w:fldChar w:fldCharType="end"/>
    </w:r>
    <w:r w:rsidRPr="00CA54CE">
      <w:br/>
    </w:r>
    <w:r w:rsidRPr="00CA54CE">
      <w:fldChar w:fldCharType="begin" w:fldLock="1"/>
    </w:r>
    <w:r w:rsidRPr="00CA54CE">
      <w:instrText xml:space="preserve"> DOCPROPERTY "SvarFrasKort" *\charformat </w:instrText>
    </w:r>
    <w:r w:rsidRPr="00CA54CE">
      <w:fldChar w:fldCharType="end"/>
    </w:r>
  </w:p>
  <w:p w:rsidR="00CA54CE" w:rsidRPr="00CA54CE" w:rsidRDefault="00CA54CE">
    <w:pPr>
      <w:pStyle w:val="FSHTitel"/>
    </w:pPr>
    <w:r w:rsidRPr="00CA54CE">
      <w:fldChar w:fldCharType="begin" w:fldLock="1"/>
    </w:r>
    <w:r w:rsidRPr="00CA54CE">
      <w:instrText xml:space="preserve"> DOCPROPERTY</w:instrText>
    </w:r>
    <w:r w:rsidRPr="00CA54CE">
      <w:rPr>
        <w:sz w:val="18"/>
      </w:rPr>
      <w:instrText xml:space="preserve"> "RubrikSvar" *\charformat </w:instrText>
    </w:r>
    <w:r w:rsidRPr="00CA54CE">
      <w:fldChar w:fldCharType="separate"/>
    </w:r>
    <w:r w:rsidRPr="00CA54CE">
      <w:t>Småskalig elproduktion</w:t>
    </w:r>
    <w:r w:rsidRPr="00CA54CE">
      <w:fldChar w:fldCharType="end"/>
    </w:r>
  </w:p>
  <w:p w:rsidR="00CA54CE" w:rsidRPr="00CA54CE" w:rsidRDefault="00CA54CE">
    <w:pPr>
      <w:pStyle w:val="Normal00"/>
    </w:pPr>
  </w:p>
  <w:p w:rsidR="00CA54CE" w:rsidRPr="00CA54CE" w:rsidRDefault="00CA54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3955945">
    <w:abstractNumId w:val="3"/>
  </w:num>
  <w:num w:numId="2" w16cid:durableId="678196296">
    <w:abstractNumId w:val="2"/>
  </w:num>
  <w:num w:numId="3" w16cid:durableId="1058629468">
    <w:abstractNumId w:val="1"/>
  </w:num>
  <w:num w:numId="4" w16cid:durableId="316302895">
    <w:abstractNumId w:val="0"/>
  </w:num>
  <w:num w:numId="5" w16cid:durableId="1876847531">
    <w:abstractNumId w:val="7"/>
  </w:num>
  <w:num w:numId="6" w16cid:durableId="1116295630">
    <w:abstractNumId w:val="6"/>
  </w:num>
  <w:num w:numId="7" w16cid:durableId="556597300">
    <w:abstractNumId w:val="5"/>
  </w:num>
  <w:num w:numId="8" w16cid:durableId="2067334849">
    <w:abstractNumId w:val="4"/>
  </w:num>
  <w:num w:numId="9" w16cid:durableId="1545748992">
    <w:abstractNumId w:val="8"/>
  </w:num>
  <w:num w:numId="10" w16cid:durableId="1014068671">
    <w:abstractNumId w:val="9"/>
  </w:num>
  <w:num w:numId="11" w16cid:durableId="1963923751">
    <w:abstractNumId w:val="10"/>
  </w:num>
  <w:num w:numId="12" w16cid:durableId="577055972">
    <w:abstractNumId w:val="13"/>
  </w:num>
  <w:num w:numId="13" w16cid:durableId="1598636891">
    <w:abstractNumId w:val="15"/>
  </w:num>
  <w:num w:numId="14" w16cid:durableId="801574962">
    <w:abstractNumId w:val="16"/>
  </w:num>
  <w:num w:numId="15" w16cid:durableId="280308801">
    <w:abstractNumId w:val="11"/>
  </w:num>
  <w:num w:numId="16" w16cid:durableId="1771310690">
    <w:abstractNumId w:val="18"/>
  </w:num>
  <w:num w:numId="17" w16cid:durableId="1730108951">
    <w:abstractNumId w:val="17"/>
  </w:num>
  <w:num w:numId="18" w16cid:durableId="1396588560">
    <w:abstractNumId w:val="14"/>
  </w:num>
  <w:num w:numId="19" w16cid:durableId="1689529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95646CD8-EE96-4B4D-B76D-C476B3FDD006}"/>
  </w:docVars>
  <w:rsids>
    <w:rsidRoot w:val="00874F5A"/>
    <w:rsid w:val="00874F5A"/>
    <w:rsid w:val="00CA54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7CB9F5C-9753-4EBD-A168-8FB6F2B3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4979">
      <w:bodyDiv w:val="1"/>
      <w:marLeft w:val="0"/>
      <w:marRight w:val="0"/>
      <w:marTop w:val="0"/>
      <w:marBottom w:val="0"/>
      <w:divBdr>
        <w:top w:val="none" w:sz="0" w:space="0" w:color="auto"/>
        <w:left w:val="none" w:sz="0" w:space="0" w:color="auto"/>
        <w:bottom w:val="none" w:sz="0" w:space="0" w:color="auto"/>
        <w:right w:val="none" w:sz="0" w:space="0" w:color="auto"/>
      </w:divBdr>
      <w:divsChild>
        <w:div w:id="1078134858">
          <w:marLeft w:val="-15"/>
          <w:marRight w:val="-15"/>
          <w:marTop w:val="0"/>
          <w:marBottom w:val="0"/>
          <w:divBdr>
            <w:top w:val="none" w:sz="0" w:space="0" w:color="auto"/>
            <w:left w:val="single" w:sz="6" w:space="0" w:color="DADADA"/>
            <w:bottom w:val="none" w:sz="0" w:space="0" w:color="auto"/>
            <w:right w:val="single" w:sz="6" w:space="0" w:color="DADADA"/>
          </w:divBdr>
          <w:divsChild>
            <w:div w:id="2026324057">
              <w:marLeft w:val="0"/>
              <w:marRight w:val="0"/>
              <w:marTop w:val="0"/>
              <w:marBottom w:val="0"/>
              <w:divBdr>
                <w:top w:val="none" w:sz="0" w:space="0" w:color="auto"/>
                <w:left w:val="single" w:sz="48" w:space="0" w:color="FFFFFF"/>
                <w:bottom w:val="none" w:sz="0" w:space="0" w:color="auto"/>
                <w:right w:val="none" w:sz="0" w:space="0" w:color="auto"/>
              </w:divBdr>
              <w:divsChild>
                <w:div w:id="1725564248">
                  <w:marLeft w:val="-15"/>
                  <w:marRight w:val="-15"/>
                  <w:marTop w:val="0"/>
                  <w:marBottom w:val="0"/>
                  <w:divBdr>
                    <w:top w:val="none" w:sz="0" w:space="0" w:color="auto"/>
                    <w:left w:val="single" w:sz="6" w:space="0" w:color="F9C661"/>
                    <w:bottom w:val="none" w:sz="0" w:space="0" w:color="auto"/>
                    <w:right w:val="single" w:sz="6" w:space="0" w:color="DADADA"/>
                  </w:divBdr>
                  <w:divsChild>
                    <w:div w:id="661273577">
                      <w:marLeft w:val="-30"/>
                      <w:marRight w:val="-45"/>
                      <w:marTop w:val="0"/>
                      <w:marBottom w:val="0"/>
                      <w:divBdr>
                        <w:top w:val="none" w:sz="0" w:space="0" w:color="auto"/>
                        <w:left w:val="none" w:sz="0" w:space="0" w:color="auto"/>
                        <w:bottom w:val="none" w:sz="0" w:space="0" w:color="auto"/>
                        <w:right w:val="none" w:sz="0" w:space="0" w:color="auto"/>
                      </w:divBdr>
                      <w:divsChild>
                        <w:div w:id="14108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2329</Characters>
  <Application>Microsoft Office Word</Application>
  <DocSecurity>4</DocSecurity>
  <Lines>41</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2010-12-05T08:28:00Z</cp:lastPrinted>
  <dcterms:created xsi:type="dcterms:W3CDTF">2025-12-18T01:48:00Z</dcterms:created>
  <dcterms:modified xsi:type="dcterms:W3CDTF">2025-12-18T01:48:00Z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Småskalig elproduktion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Småskalig elproduktion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20102011000001070100000006260069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20102011000001070100000006260069</vt:lpwstr>
  </property>
  <property fmtid="{D5CDD505-2E9C-101B-9397-08002B2CF9AE}" pid="50" name="nummer">
    <vt:lpwstr>351</vt:lpwstr>
  </property>
  <property fmtid="{D5CDD505-2E9C-101B-9397-08002B2CF9AE}" pid="51" name="utskottsbeteckning">
    <vt:lpwstr>N</vt:lpwstr>
  </property>
  <property fmtid="{D5CDD505-2E9C-101B-9397-08002B2CF9AE}" pid="52" name="GlobalUID">
    <vt:lpwstr>{D705BEC4-49BD-41E6-B042-E9E1F57494F5}</vt:lpwstr>
  </property>
  <property fmtid="{D5CDD505-2E9C-101B-9397-08002B2CF9AE}" pid="53" name="Överföringar">
    <vt:i4>0</vt:i4>
  </property>
  <property fmtid="{D5CDD505-2E9C-101B-9397-08002B2CF9AE}" pid="54" name="Checksum">
    <vt:lpwstr>*0009502991984*</vt:lpwstr>
  </property>
  <property fmtid="{D5CDD505-2E9C-101B-9397-08002B2CF9AE}" pid="55" name="skuggnummer">
    <vt:lpwstr>2230</vt:lpwstr>
  </property>
  <property fmtid="{D5CDD505-2E9C-101B-9397-08002B2CF9AE}" pid="56" name="urixVersion">
    <vt:lpwstr>4.3.2.0</vt:lpwstr>
  </property>
  <property fmtid="{D5CDD505-2E9C-101B-9397-08002B2CF9AE}" pid="57" name="urixOrigin">
    <vt:lpwstr>101205 09:28:55.253</vt:lpwstr>
  </property>
  <property fmtid="{D5CDD505-2E9C-101B-9397-08002B2CF9AE}" pid="58" name="urixGuid">
    <vt:lpwstr>{250A6DC4-68F0-4E60-8177-0B7EE2532DC9}</vt:lpwstr>
  </property>
</Properties>
</file>