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76FB" w:rsidRPr="00CF76FB" w:rsidRDefault="00CF76FB">
      <w:pPr>
        <w:pStyle w:val="Frslagsrubrik"/>
      </w:pPr>
      <w:r w:rsidRPr="00CF76FB">
        <w:t>Förslag till riksdagsbeslut</w:t>
      </w:r>
    </w:p>
    <w:p w:rsidR="00CF76FB" w:rsidRPr="00CF76FB" w:rsidRDefault="00CF76FB">
      <w:pPr>
        <w:pStyle w:val="Hemstlatt"/>
      </w:pPr>
      <w:r w:rsidRPr="00CF76FB">
        <w:t>Riksdagen tillkännager för regeringen som sin mening vad som anförs i motionen om att en höjd kvalitet i utbildningen av tecke</w:t>
      </w:r>
      <w:r w:rsidRPr="00CF76FB">
        <w:t>n</w:t>
      </w:r>
      <w:r w:rsidRPr="00CF76FB">
        <w:t>språkstolkar förutsätter en samverkan mellan högskola och folkbil</w:t>
      </w:r>
      <w:r w:rsidRPr="00CF76FB">
        <w:t>d</w:t>
      </w:r>
      <w:r w:rsidRPr="00CF76FB">
        <w:t>ning.</w:t>
      </w:r>
    </w:p>
    <w:p w:rsidR="00CF76FB" w:rsidRPr="00CF76FB" w:rsidRDefault="00CF76FB">
      <w:pPr>
        <w:pStyle w:val="Rubrik1"/>
      </w:pPr>
      <w:r w:rsidRPr="00CF76FB">
        <w:t>Motivering</w:t>
      </w:r>
    </w:p>
    <w:p w:rsidR="00CF76FB" w:rsidRPr="00CF76FB" w:rsidRDefault="00CF76FB">
      <w:r w:rsidRPr="00CF76FB">
        <w:t>Tillgången till välutbildade tolkar över hela landet är en grundläggande d</w:t>
      </w:r>
      <w:r w:rsidRPr="00CF76FB">
        <w:t>e</w:t>
      </w:r>
      <w:r w:rsidRPr="00CF76FB">
        <w:t>mokratisk fråga för gruppen döva, dövblinda och hörselskadade. Utbildningen ges idag vid sju folkhögskolor och finansieras dels genom folkbildningsa</w:t>
      </w:r>
      <w:r w:rsidRPr="00CF76FB">
        <w:t>n</w:t>
      </w:r>
      <w:r w:rsidRPr="00CF76FB">
        <w:t>slag som fördelas av Folkbildningsrådet, dels genom särskilda anslag som fördelas av Tolk- och översättarinstitutet (TÖI) vid Stockolms universitet. TÖI har ett nationellt tillsynsansvar för denna utbildning.</w:t>
      </w:r>
    </w:p>
    <w:p w:rsidR="00CF76FB" w:rsidRPr="00CF76FB" w:rsidRDefault="00CF76FB">
      <w:pPr>
        <w:pStyle w:val="Normaltindrag"/>
      </w:pPr>
      <w:r w:rsidRPr="00CF76FB">
        <w:t>I proposition 2010/11:100 föreslår regeringen att de ändamål och ver</w:t>
      </w:r>
      <w:r w:rsidRPr="00CF76FB">
        <w:t>k</w:t>
      </w:r>
      <w:r w:rsidRPr="00CF76FB">
        <w:t>samh</w:t>
      </w:r>
      <w:r w:rsidRPr="00CF76FB">
        <w:t>e</w:t>
      </w:r>
      <w:r w:rsidRPr="00CF76FB">
        <w:t xml:space="preserve">ter som finansieras från anslaget 14:2 </w:t>
      </w:r>
      <w:r w:rsidRPr="00CF76FB">
        <w:rPr>
          <w:i/>
        </w:rPr>
        <w:t>Bidrag till tolkutbildning och teckenspråkslärarutbildning</w:t>
      </w:r>
      <w:r w:rsidRPr="00CF76FB">
        <w:t xml:space="preserve"> under utgiftsområde 17 Kultur, medier, trossa</w:t>
      </w:r>
      <w:r w:rsidRPr="00CF76FB">
        <w:t>m</w:t>
      </w:r>
      <w:r w:rsidRPr="00CF76FB">
        <w:t>fund och fritid flyttas till utgiftsområde 16 Utbildning och universitetsfors</w:t>
      </w:r>
      <w:r w:rsidRPr="00CF76FB">
        <w:t>k</w:t>
      </w:r>
      <w:r w:rsidRPr="00CF76FB">
        <w:t>ning. I klartext handlar det om de medel som nu fördelas av Tolk- och öve</w:t>
      </w:r>
      <w:r w:rsidRPr="00CF76FB">
        <w:t>r</w:t>
      </w:r>
      <w:r w:rsidRPr="00CF76FB">
        <w:t>sättari</w:t>
      </w:r>
      <w:r w:rsidRPr="00CF76FB">
        <w:t>n</w:t>
      </w:r>
      <w:r w:rsidRPr="00CF76FB">
        <w:t>stitutet. Därmed avvecklas TÖI från den 1 januari 2012 i enlighet med synen att särskilda inrättningar vid universiteten inte är i linje med den ak</w:t>
      </w:r>
      <w:r w:rsidRPr="00CF76FB">
        <w:t>a</w:t>
      </w:r>
      <w:r w:rsidRPr="00CF76FB">
        <w:t>demiska friheten.</w:t>
      </w:r>
    </w:p>
    <w:p w:rsidR="00CF76FB" w:rsidRPr="00CF76FB" w:rsidRDefault="00CF76FB">
      <w:pPr>
        <w:pStyle w:val="Normaltindrag"/>
      </w:pPr>
      <w:r w:rsidRPr="00CF76FB">
        <w:t>Men till detta förslag kopplas en fr</w:t>
      </w:r>
      <w:r w:rsidRPr="00CF76FB">
        <w:t>åga som inte hänger samman med fr</w:t>
      </w:r>
      <w:r w:rsidRPr="00CF76FB">
        <w:t>å</w:t>
      </w:r>
      <w:r w:rsidRPr="00CF76FB">
        <w:t>gan om särskilda inrättningar vid universiteten, nämligen att möjliggöra att tolkutbildningarna kan genomföras som högskoleutbildningar. Frågeko</w:t>
      </w:r>
      <w:r w:rsidRPr="00CF76FB">
        <w:t>m</w:t>
      </w:r>
      <w:r w:rsidRPr="00CF76FB">
        <w:t>plexet är inte nytt och har tidigare berörts i skolmyndighetsutredningens b</w:t>
      </w:r>
      <w:r w:rsidRPr="00CF76FB">
        <w:t>e</w:t>
      </w:r>
      <w:r w:rsidRPr="00CF76FB">
        <w:t xml:space="preserve">tänkande SOU 2007:79, som låg till grund för proposition 2007/08:50 </w:t>
      </w:r>
      <w:r w:rsidRPr="00CF76FB">
        <w:rPr>
          <w:i/>
        </w:rPr>
        <w:t>Nya skolmyndi</w:t>
      </w:r>
      <w:r w:rsidRPr="00CF76FB">
        <w:rPr>
          <w:i/>
        </w:rPr>
        <w:t>g</w:t>
      </w:r>
      <w:r w:rsidRPr="00CF76FB">
        <w:rPr>
          <w:i/>
        </w:rPr>
        <w:t>heter</w:t>
      </w:r>
      <w:r w:rsidRPr="00CF76FB">
        <w:t>. Regeringen valde då att inte gå fram med utredningens förslag om en avveckling av TÖI och att överföra ansvaret för utbildningen av tecke</w:t>
      </w:r>
      <w:r w:rsidRPr="00CF76FB">
        <w:t>n</w:t>
      </w:r>
      <w:r w:rsidRPr="00CF76FB">
        <w:t>språkstolkar och kontakttolkar</w:t>
      </w:r>
      <w:r w:rsidRPr="00CF76FB">
        <w:t xml:space="preserve"> till Folkbildningsrådet.</w:t>
      </w:r>
    </w:p>
    <w:p w:rsidR="00CF76FB" w:rsidRPr="00CF76FB" w:rsidRDefault="00CF76FB">
      <w:pPr>
        <w:pStyle w:val="Normaltindrag"/>
      </w:pPr>
      <w:r w:rsidRPr="00CF76FB">
        <w:lastRenderedPageBreak/>
        <w:t>I det kortfattade förslaget heter det nu att regeringen avser att återkomma i budgetpropositionen för 2012 med förslag till ändringar av utgiftsramar och anslag.</w:t>
      </w:r>
    </w:p>
    <w:p w:rsidR="00CF76FB" w:rsidRPr="00CF76FB" w:rsidRDefault="00CF76FB">
      <w:pPr>
        <w:pStyle w:val="Rubrik2"/>
      </w:pPr>
      <w:r w:rsidRPr="00CF76FB">
        <w:t>Utbildning av teckenspråkstolkar på folkhögskola</w:t>
      </w:r>
    </w:p>
    <w:p w:rsidR="00CF76FB" w:rsidRPr="00CF76FB" w:rsidRDefault="00CF76FB">
      <w:r w:rsidRPr="00CF76FB">
        <w:t xml:space="preserve">Utbildningen av teckenspråkstolkar och dövblindtolkar är idag en fyraårig utbildning på sex folkhögskolor, och det pågår ett utvecklingsarbete med en treårig variant på en folkhögskola. Frågan om tolkutbildningen har tidigare berörts i SOU 2006:54 </w:t>
      </w:r>
      <w:r w:rsidRPr="00CF76FB">
        <w:rPr>
          <w:i/>
        </w:rPr>
        <w:t>Teckenspråk och teckenspråkiga</w:t>
      </w:r>
      <w:r w:rsidRPr="00CF76FB">
        <w:t>, där utredaren i a</w:t>
      </w:r>
      <w:r w:rsidRPr="00CF76FB">
        <w:t>v</w:t>
      </w:r>
      <w:r w:rsidRPr="00CF76FB">
        <w:t>snitt 13.3 förordade en återgång till en tidigare modell med en tvåårig tecke</w:t>
      </w:r>
      <w:r w:rsidRPr="00CF76FB">
        <w:t>n</w:t>
      </w:r>
      <w:r w:rsidRPr="00CF76FB">
        <w:t>språkslinje och en tvåårig tolkutbildning men inte förordade ett ändrat h</w:t>
      </w:r>
      <w:r w:rsidRPr="00CF76FB">
        <w:t>u</w:t>
      </w:r>
      <w:r w:rsidRPr="00CF76FB">
        <w:t>vudmannaskap: ”Båda utbildningarna bör även i fortsättningen erbjudas av folkhögskolan och på sikt bör de utformas som högskoleutbildning på fol</w:t>
      </w:r>
      <w:r w:rsidRPr="00CF76FB">
        <w:t>k</w:t>
      </w:r>
      <w:r w:rsidRPr="00CF76FB">
        <w:t>högskola” (s. 300).</w:t>
      </w:r>
    </w:p>
    <w:p w:rsidR="00CF76FB" w:rsidRPr="00CF76FB" w:rsidRDefault="00CF76FB">
      <w:pPr>
        <w:pStyle w:val="Normaltindrag"/>
      </w:pPr>
      <w:r w:rsidRPr="00CF76FB">
        <w:t>Med sin höga lärartäthet, med sitt stora mått av färdighetsträning och med möjligheten till möten med olika människor har folkhögskolan ansetts v</w:t>
      </w:r>
      <w:r w:rsidRPr="00CF76FB">
        <w:t>ara en gynnsam miljö för den som ska utbildas för tolkyrkets kommunikativa sa</w:t>
      </w:r>
      <w:r w:rsidRPr="00CF76FB">
        <w:t>m</w:t>
      </w:r>
      <w:r w:rsidRPr="00CF76FB">
        <w:t>spel.</w:t>
      </w:r>
    </w:p>
    <w:p w:rsidR="00CF76FB" w:rsidRPr="00CF76FB" w:rsidRDefault="00CF76FB">
      <w:pPr>
        <w:pStyle w:val="Rubrik2"/>
      </w:pPr>
      <w:r w:rsidRPr="00CF76FB">
        <w:t>Högskolepoäng fr.o.m. ht 2011</w:t>
      </w:r>
    </w:p>
    <w:p w:rsidR="00CF76FB" w:rsidRPr="00CF76FB" w:rsidRDefault="00CF76FB">
      <w:r w:rsidRPr="00CF76FB">
        <w:t>Frågan om högskoleanknytning har under det senaste decenniet varit aktuell både för utbildningsanordnarna och för brukarorganisationerna. Efter ett fle</w:t>
      </w:r>
      <w:r w:rsidRPr="00CF76FB">
        <w:t>r</w:t>
      </w:r>
      <w:r w:rsidRPr="00CF76FB">
        <w:t>årigt utvecklingsarbete är det från höstterminen 2012 möjligt för studerande på folkhögskolornas tolkutbildning att antas till kurser på sammanlagt 60 hp, vilka till största delen ges på folkhögskolorna och examineras av Stockholms universitet.</w:t>
      </w:r>
    </w:p>
    <w:p w:rsidR="00CF76FB" w:rsidRPr="00CF76FB" w:rsidRDefault="00CF76FB">
      <w:pPr>
        <w:pStyle w:val="Normaltindrag"/>
      </w:pPr>
      <w:r w:rsidRPr="00CF76FB">
        <w:t>Det är lovvärt att tolkutbildningar ges högskolestatus, men vi konstaterar samtidigt att denna utveckling redan har inletts. Vi önskar därför en tydlig markering av att den föreslagna omfördelningen av medel från utgiftsområde 17 till utgiftsområde 16 inte medför at</w:t>
      </w:r>
      <w:r w:rsidRPr="00CF76FB">
        <w:t>t folkhögskolornas samverkan med högskolan omintetgörs.</w:t>
      </w:r>
    </w:p>
    <w:p w:rsidR="00CF76FB" w:rsidRPr="00CF76FB" w:rsidRDefault="00CF76FB">
      <w:pPr>
        <w:pStyle w:val="Normaltindrag"/>
      </w:pPr>
      <w:r w:rsidRPr="00CF76FB">
        <w:t>För att säkerställa en god tolkförsörjning över hela landet får inte resurser koncentreras till en utbildningsform och en enda ort. Här behövs fler komple</w:t>
      </w:r>
      <w:r w:rsidRPr="00CF76FB">
        <w:t>t</w:t>
      </w:r>
      <w:r w:rsidRPr="00CF76FB">
        <w:t>terande aktörer även fortsättningsvis, och det ligger i statens intresse att finna former för både finansiering och kvalitetssäkring om nu Tolk- och översätta</w:t>
      </w:r>
      <w:r w:rsidRPr="00CF76FB">
        <w:t>r</w:t>
      </w:r>
      <w:r w:rsidRPr="00CF76FB">
        <w:t>institutet upphör som särskild inrättning vid Stockholms universitet.</w:t>
      </w:r>
    </w:p>
    <w:p w:rsidR="00CF76FB" w:rsidRPr="00CF76FB" w:rsidRDefault="00CF76FB">
      <w:pPr>
        <w:pStyle w:val="Rubrik2"/>
      </w:pPr>
      <w:r w:rsidRPr="00CF76FB">
        <w:t>Utbildning av kontakttolkar</w:t>
      </w:r>
    </w:p>
    <w:p w:rsidR="00CF76FB" w:rsidRPr="00CF76FB" w:rsidRDefault="00CF76FB">
      <w:r w:rsidRPr="00CF76FB">
        <w:t>Det som ovan sagts om utbildningen av teckenspråkstolkar gäller i tillämpliga delar även utbildningen av kontakttolkar, där TÖI idag fördelar medel till folkhögskolor och studieförbund. Förutsättningarna för denna angelägna verksamhet berörs inte alls i proposition 2010/11:100, vilket vi finner synne</w:t>
      </w:r>
      <w:r w:rsidRPr="00CF76FB">
        <w:t>r</w:t>
      </w:r>
      <w:r w:rsidRPr="00CF76FB">
        <w:t>ligen anmärkningsvärt.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76FB">
        <w:trPr>
          <w:cantSplit/>
        </w:trPr>
        <w:tc>
          <w:tcPr>
            <w:tcW w:w="3046" w:type="dxa"/>
          </w:tcPr>
          <w:p w:rsidR="00CF76FB" w:rsidRPr="00CF76FB" w:rsidRDefault="00CF76FB">
            <w:pPr>
              <w:pStyle w:val="UnderskriftDatum"/>
              <w:spacing w:before="240"/>
            </w:pPr>
            <w:r w:rsidRPr="00CF76FB">
              <w:t>Stockholm den 4 maj 2011</w:t>
            </w:r>
          </w:p>
        </w:tc>
        <w:tc>
          <w:tcPr>
            <w:tcW w:w="3047" w:type="dxa"/>
          </w:tcPr>
          <w:p w:rsidR="00CF76FB" w:rsidRPr="00CF76FB" w:rsidRDefault="00CF76FB">
            <w:pPr>
              <w:pStyle w:val="Underskrifter"/>
              <w:spacing w:before="240"/>
            </w:pPr>
          </w:p>
        </w:tc>
      </w:tr>
      <w:tr w:rsidR="00000000" w:rsidRPr="00CF76FB">
        <w:trPr>
          <w:cantSplit/>
        </w:trPr>
        <w:tc>
          <w:tcPr>
            <w:tcW w:w="3046" w:type="dxa"/>
          </w:tcPr>
          <w:p w:rsidR="00CF76FB" w:rsidRPr="00CF76FB" w:rsidRDefault="00CF76FB">
            <w:pPr>
              <w:pStyle w:val="Underskrifter"/>
            </w:pPr>
            <w:r w:rsidRPr="00CF76FB">
              <w:t>Kurt Kvarnström (S)</w:t>
            </w:r>
          </w:p>
        </w:tc>
        <w:tc>
          <w:tcPr>
            <w:tcW w:w="3046" w:type="dxa"/>
          </w:tcPr>
          <w:p w:rsidR="00CF76FB" w:rsidRPr="00CF76FB" w:rsidRDefault="00CF76FB">
            <w:pPr>
              <w:pStyle w:val="Underskrifter"/>
            </w:pPr>
          </w:p>
        </w:tc>
      </w:tr>
      <w:tr w:rsidR="00000000" w:rsidRPr="00CF76FB">
        <w:trPr>
          <w:cantSplit/>
        </w:trPr>
        <w:tc>
          <w:tcPr>
            <w:tcW w:w="3046" w:type="dxa"/>
          </w:tcPr>
          <w:p w:rsidR="00CF76FB" w:rsidRPr="00CF76FB" w:rsidRDefault="00CF76FB">
            <w:pPr>
              <w:pStyle w:val="Underskrifter"/>
            </w:pPr>
            <w:r w:rsidRPr="00CF76FB">
              <w:t>Carin Runeson (S)</w:t>
            </w:r>
          </w:p>
        </w:tc>
        <w:tc>
          <w:tcPr>
            <w:tcW w:w="3046" w:type="dxa"/>
          </w:tcPr>
          <w:p w:rsidR="00CF76FB" w:rsidRPr="00CF76FB" w:rsidRDefault="00CF76FB">
            <w:pPr>
              <w:pStyle w:val="Underskrifter"/>
            </w:pPr>
            <w:r w:rsidRPr="00CF76FB">
              <w:t>Roza Güclü Hedin (S)</w:t>
            </w:r>
          </w:p>
        </w:tc>
      </w:tr>
    </w:tbl>
    <w:p w:rsidR="00CF76FB" w:rsidRPr="00CF76FB" w:rsidRDefault="00CF76FB">
      <w:pPr>
        <w:pStyle w:val="Normaltindrag"/>
      </w:pPr>
    </w:p>
    <w:sectPr w:rsidR="00000000" w:rsidRPr="00CF76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6FB" w:rsidRPr="00CF76FB" w:rsidRDefault="00CF76FB">
      <w:r w:rsidRPr="00CF76FB">
        <w:separator/>
      </w:r>
    </w:p>
  </w:endnote>
  <w:endnote w:type="continuationSeparator" w:id="0">
    <w:p w:rsidR="00CF76FB" w:rsidRPr="00CF76FB" w:rsidRDefault="00CF76FB">
      <w:r w:rsidRPr="00CF76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6FB" w:rsidRPr="00CF76FB" w:rsidRDefault="00CF76FB">
    <w:pPr>
      <w:pStyle w:val="Sidfot"/>
    </w:pPr>
    <w:r w:rsidRPr="00CF76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87625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6FB" w:rsidRDefault="00CF76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76FB" w:rsidRDefault="00CF76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6FB" w:rsidRPr="00CF76FB" w:rsidRDefault="00CF76FB">
    <w:pPr>
      <w:pStyle w:val="Sidfot"/>
    </w:pPr>
    <w:r w:rsidRPr="00CF76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74610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6FB" w:rsidRDefault="00CF76F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76FB" w:rsidRDefault="00CF76F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6FB" w:rsidRPr="00CF76FB" w:rsidRDefault="00CF76FB">
    <w:pPr>
      <w:pStyle w:val="Sidfot"/>
    </w:pPr>
    <w:r w:rsidRPr="00CF76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28213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6FB" w:rsidRDefault="00CF76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76FB" w:rsidRDefault="00CF76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6FB" w:rsidRPr="00CF76FB" w:rsidRDefault="00CF76FB">
      <w:r w:rsidRPr="00CF76FB">
        <w:separator/>
      </w:r>
    </w:p>
  </w:footnote>
  <w:footnote w:type="continuationSeparator" w:id="0">
    <w:p w:rsidR="00CF76FB" w:rsidRPr="00CF76FB" w:rsidRDefault="00CF76FB">
      <w:r w:rsidRPr="00CF76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6FB" w:rsidRPr="00CF76FB" w:rsidRDefault="00CF76FB">
    <w:pPr>
      <w:pStyle w:val="Sidhuvud"/>
    </w:pPr>
    <w:r w:rsidRPr="00CF76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2166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6FB" w:rsidRDefault="00CF76F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76FB" w:rsidRDefault="00CF76F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6FB" w:rsidRPr="00CF76FB" w:rsidRDefault="00CF76FB">
    <w:pPr>
      <w:pStyle w:val="Sidhuvud"/>
    </w:pPr>
    <w:r w:rsidRPr="00CF76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83570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6FB" w:rsidRDefault="00CF76F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76FB" w:rsidRDefault="00CF76F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6FB" w:rsidRPr="00CF76FB" w:rsidRDefault="00CF76FB">
    <w:pPr>
      <w:pStyle w:val="FSHNormal"/>
      <w:tabs>
        <w:tab w:val="right" w:pos="5840"/>
      </w:tabs>
    </w:pPr>
    <w:r w:rsidRPr="00CF76FB">
      <w:br/>
    </w:r>
    <w:r w:rsidRPr="00CF76FB">
      <w:fldChar w:fldCharType="begin" w:fldLock="1"/>
    </w:r>
    <w:r w:rsidRPr="00CF76FB">
      <w:instrText xml:space="preserve"> DOCPROPERTY</w:instrText>
    </w:r>
    <w:r w:rsidRPr="00CF76FB">
      <w:rPr>
        <w:sz w:val="18"/>
      </w:rPr>
      <w:instrText xml:space="preserve"> "YearUser" *\charformat </w:instrText>
    </w:r>
    <w:r w:rsidRPr="00CF76FB">
      <w:fldChar w:fldCharType="separate"/>
    </w:r>
    <w:r w:rsidRPr="00CF76FB">
      <w:t>2010/11</w:t>
    </w:r>
    <w:r w:rsidRPr="00CF76FB">
      <w:fldChar w:fldCharType="end"/>
    </w:r>
    <w:r w:rsidRPr="00CF76FB">
      <w:t xml:space="preserve"> </w:t>
    </w:r>
    <w:r w:rsidRPr="00CF76FB">
      <w:tab/>
      <w:t xml:space="preserve">mnr: </w:t>
    </w:r>
    <w:r w:rsidRPr="00CF76FB">
      <w:fldChar w:fldCharType="begin" w:fldLock="1"/>
    </w:r>
    <w:r w:rsidRPr="00CF76FB">
      <w:instrText xml:space="preserve"> DOCPROPERTY</w:instrText>
    </w:r>
    <w:r w:rsidRPr="00CF76FB">
      <w:rPr>
        <w:sz w:val="18"/>
      </w:rPr>
      <w:instrText xml:space="preserve"> "Motionsnummer" *\charformat </w:instrText>
    </w:r>
    <w:r w:rsidRPr="00CF76FB">
      <w:fldChar w:fldCharType="separate"/>
    </w:r>
    <w:r w:rsidRPr="00CF76FB">
      <w:t>K2</w:t>
    </w:r>
    <w:r w:rsidRPr="00CF76FB">
      <w:fldChar w:fldCharType="end"/>
    </w:r>
    <w:r w:rsidRPr="00CF76FB">
      <w:br/>
    </w:r>
    <w:r w:rsidRPr="00CF76FB">
      <w:fldChar w:fldCharType="begin" w:fldLock="1"/>
    </w:r>
    <w:r w:rsidRPr="00CF76FB">
      <w:instrText xml:space="preserve"> DOCPROPERTY</w:instrText>
    </w:r>
    <w:r w:rsidRPr="00CF76FB">
      <w:rPr>
        <w:sz w:val="18"/>
      </w:rPr>
      <w:instrText xml:space="preserve"> "Samling" *\charformat </w:instrText>
    </w:r>
    <w:r w:rsidRPr="00CF76FB">
      <w:fldChar w:fldCharType="end"/>
    </w:r>
    <w:r w:rsidRPr="00CF76FB">
      <w:tab/>
      <w:t xml:space="preserve">pnr: </w:t>
    </w:r>
    <w:r w:rsidRPr="00CF76FB">
      <w:fldChar w:fldCharType="begin" w:fldLock="1"/>
    </w:r>
    <w:r w:rsidRPr="00CF76FB">
      <w:instrText xml:space="preserve"> DOCPROPERTY</w:instrText>
    </w:r>
    <w:r w:rsidRPr="00CF76FB">
      <w:rPr>
        <w:sz w:val="18"/>
      </w:rPr>
      <w:instrText xml:space="preserve"> "Partinummer" *\charformat </w:instrText>
    </w:r>
    <w:r w:rsidRPr="00CF76FB">
      <w:fldChar w:fldCharType="separate"/>
    </w:r>
    <w:r w:rsidRPr="00CF76FB">
      <w:t>S64050</w:t>
    </w:r>
    <w:r w:rsidRPr="00CF76FB">
      <w:fldChar w:fldCharType="end"/>
    </w:r>
  </w:p>
  <w:p w:rsidR="00CF76FB" w:rsidRPr="00CF76FB" w:rsidRDefault="00CF76FB">
    <w:pPr>
      <w:pStyle w:val="FSHRub1"/>
    </w:pPr>
    <w:r w:rsidRPr="00CF76FB">
      <w:t>Motion till riksdagen</w:t>
    </w:r>
    <w:r w:rsidRPr="00CF76FB">
      <w:br/>
    </w:r>
    <w:r w:rsidRPr="00CF76FB">
      <w:fldChar w:fldCharType="begin" w:fldLock="1"/>
    </w:r>
    <w:r w:rsidRPr="00CF76FB">
      <w:instrText xml:space="preserve"> DOCPROPERTY "YearUser" *\charformat </w:instrText>
    </w:r>
    <w:r w:rsidRPr="00CF76FB">
      <w:fldChar w:fldCharType="separate"/>
    </w:r>
    <w:r w:rsidRPr="00CF76FB">
      <w:t>2010/11</w:t>
    </w:r>
    <w:r w:rsidRPr="00CF76FB">
      <w:fldChar w:fldCharType="end"/>
    </w:r>
    <w:r w:rsidRPr="00CF76FB">
      <w:t>:</w:t>
    </w:r>
    <w:r w:rsidRPr="00CF76FB">
      <w:fldChar w:fldCharType="begin" w:fldLock="1"/>
    </w:r>
    <w:r w:rsidRPr="00CF76FB">
      <w:instrText xml:space="preserve"> DOCPROPERTY "Motionsnummer" *\charformat </w:instrText>
    </w:r>
    <w:r w:rsidRPr="00CF76FB">
      <w:fldChar w:fldCharType="separate"/>
    </w:r>
    <w:r w:rsidRPr="00CF76FB">
      <w:t>K2</w:t>
    </w:r>
    <w:r w:rsidRPr="00CF76FB">
      <w:fldChar w:fldCharType="end"/>
    </w:r>
  </w:p>
  <w:p w:rsidR="00CF76FB" w:rsidRPr="00CF76FB" w:rsidRDefault="00CF76FB">
    <w:pPr>
      <w:pStyle w:val="FSHNormalS5"/>
    </w:pPr>
    <w:r w:rsidRPr="00CF76FB">
      <w:fldChar w:fldCharType="begin" w:fldLock="1"/>
    </w:r>
    <w:r w:rsidRPr="00CF76FB">
      <w:instrText xml:space="preserve"> DOCPROPERTY "MotionarText" *\charformat </w:instrText>
    </w:r>
    <w:r w:rsidRPr="00CF76FB">
      <w:fldChar w:fldCharType="separate"/>
    </w:r>
    <w:r w:rsidRPr="00CF76FB">
      <w:t>av Kurt Kvarnström m.fl. (S)</w:t>
    </w:r>
    <w:r w:rsidRPr="00CF76FB">
      <w:fldChar w:fldCharType="end"/>
    </w:r>
    <w:r w:rsidRPr="00CF76FB">
      <w:br/>
    </w:r>
    <w:r w:rsidRPr="00CF76FB">
      <w:fldChar w:fldCharType="begin" w:fldLock="1"/>
    </w:r>
    <w:r w:rsidRPr="00CF76FB">
      <w:instrText xml:space="preserve"> DOCPROPERTY "SvarFrasKort" *\charformat </w:instrText>
    </w:r>
    <w:r w:rsidRPr="00CF76FB">
      <w:fldChar w:fldCharType="separate"/>
    </w:r>
    <w:r w:rsidRPr="00CF76FB">
      <w:t>med anledning av prop. 2010/11:100</w:t>
    </w:r>
    <w:r w:rsidRPr="00CF76FB">
      <w:fldChar w:fldCharType="end"/>
    </w:r>
  </w:p>
  <w:p w:rsidR="00CF76FB" w:rsidRPr="00CF76FB" w:rsidRDefault="00CF76FB">
    <w:pPr>
      <w:pStyle w:val="FSHTitel"/>
    </w:pPr>
    <w:r w:rsidRPr="00CF76FB">
      <w:fldChar w:fldCharType="begin" w:fldLock="1"/>
    </w:r>
    <w:r w:rsidRPr="00CF76FB">
      <w:instrText xml:space="preserve"> DOCPROPERTY</w:instrText>
    </w:r>
    <w:r w:rsidRPr="00CF76FB">
      <w:rPr>
        <w:sz w:val="18"/>
      </w:rPr>
      <w:instrText xml:space="preserve"> "RubrikSvar" *\charformat </w:instrText>
    </w:r>
    <w:r w:rsidRPr="00CF76FB">
      <w:fldChar w:fldCharType="separate"/>
    </w:r>
    <w:r w:rsidRPr="00CF76FB">
      <w:t>2011 års ekonomiska vårproposition</w:t>
    </w:r>
    <w:r w:rsidRPr="00CF76FB">
      <w:fldChar w:fldCharType="end"/>
    </w:r>
  </w:p>
  <w:p w:rsidR="00CF76FB" w:rsidRPr="00CF76FB" w:rsidRDefault="00CF76FB">
    <w:pPr>
      <w:pStyle w:val="Normal00"/>
    </w:pPr>
  </w:p>
  <w:p w:rsidR="00CF76FB" w:rsidRPr="00CF76FB" w:rsidRDefault="00CF76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5848522">
    <w:abstractNumId w:val="3"/>
  </w:num>
  <w:num w:numId="2" w16cid:durableId="950549702">
    <w:abstractNumId w:val="2"/>
  </w:num>
  <w:num w:numId="3" w16cid:durableId="659773497">
    <w:abstractNumId w:val="1"/>
  </w:num>
  <w:num w:numId="4" w16cid:durableId="1045370775">
    <w:abstractNumId w:val="0"/>
  </w:num>
  <w:num w:numId="5" w16cid:durableId="1002968458">
    <w:abstractNumId w:val="7"/>
  </w:num>
  <w:num w:numId="6" w16cid:durableId="32849459">
    <w:abstractNumId w:val="6"/>
  </w:num>
  <w:num w:numId="7" w16cid:durableId="1504474578">
    <w:abstractNumId w:val="5"/>
  </w:num>
  <w:num w:numId="8" w16cid:durableId="1039817980">
    <w:abstractNumId w:val="4"/>
  </w:num>
  <w:num w:numId="9" w16cid:durableId="2100639547">
    <w:abstractNumId w:val="8"/>
  </w:num>
  <w:num w:numId="10" w16cid:durableId="189033800">
    <w:abstractNumId w:val="9"/>
  </w:num>
  <w:num w:numId="11" w16cid:durableId="1141845026">
    <w:abstractNumId w:val="10"/>
  </w:num>
  <w:num w:numId="12" w16cid:durableId="1137381240">
    <w:abstractNumId w:val="13"/>
  </w:num>
  <w:num w:numId="13" w16cid:durableId="359673344">
    <w:abstractNumId w:val="15"/>
  </w:num>
  <w:num w:numId="14" w16cid:durableId="82142147">
    <w:abstractNumId w:val="16"/>
  </w:num>
  <w:num w:numId="15" w16cid:durableId="2009095649">
    <w:abstractNumId w:val="11"/>
  </w:num>
  <w:num w:numId="16" w16cid:durableId="1228607417">
    <w:abstractNumId w:val="18"/>
  </w:num>
  <w:num w:numId="17" w16cid:durableId="1529368713">
    <w:abstractNumId w:val="17"/>
  </w:num>
  <w:num w:numId="18" w16cid:durableId="1396472646">
    <w:abstractNumId w:val="14"/>
  </w:num>
  <w:num w:numId="19" w16cid:durableId="1007330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6"/>
    <w:docVar w:name="PersonGUIDs" w:val="{1FAB1011-E67A-4183-95E5-15A14406083A},{56D55535-ACDA-45DF-AC61-E5947427103D},{27B2C0DC-CD61-4DFF-952A-D56FEFE8CCFB}"/>
  </w:docVars>
  <w:rsids>
    <w:rsidRoot w:val="00A10A1F"/>
    <w:rsid w:val="00A10A1F"/>
    <w:rsid w:val="00CF76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2D124E7-87AE-4D8B-97F4-F8129DB0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3824</Characters>
  <Application>Microsoft Office Word</Application>
  <DocSecurity>4</DocSecurity>
  <Lines>73</Lines>
  <Paragraphs>23</Paragraphs>
  <ScaleCrop>false</ScaleCrop>
  <HeadingPairs>
    <vt:vector size="2" baseType="variant">
      <vt:variant>
        <vt:lpstr>Rubrik</vt:lpstr>
      </vt:variant>
      <vt:variant>
        <vt:i4>1</vt:i4>
      </vt:variant>
    </vt:vector>
  </HeadingPairs>
  <TitlesOfParts>
    <vt:vector size="1" baseType="lpstr">
      <vt:lpstr>s64050</vt:lpstr>
    </vt:vector>
  </TitlesOfParts>
  <Company>Riksdagen</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s64050</dc:title>
  <dc:subject>s64050</dc:subject>
  <dc:creator>Riksdagen</dc:creator>
  <cp:keywords>Riksdagen</cp:keywords>
  <dc:description>Versal/gemen i partibeteckning. Gemen i tryck för 0910, versal för 1011 och nyare</dc:description>
  <cp:lastModifiedBy>Lars Brink</cp:lastModifiedBy>
  <cp:revision>2</cp:revision>
  <cp:lastPrinted>2011-05-06T11:25:00Z</cp:lastPrinted>
  <dcterms:created xsi:type="dcterms:W3CDTF">2025-12-18T01:07:00Z</dcterms:created>
  <dcterms:modified xsi:type="dcterms:W3CDTF">2025-12-18T01:07:00Z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mot2000_532_2011-05-06</vt:lpwstr>
  </property>
  <property fmtid="{D5CDD505-2E9C-101B-9397-08002B2CF9AE}" pid="3" name="version">
    <vt:lpwstr>mot2000_524_2011-05-04</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2010/11:100 2011 års ekonomiska vårproposition</vt:lpwstr>
  </property>
  <property fmtid="{D5CDD505-2E9C-101B-9397-08002B2CF9AE}" pid="11" name="SvarFrasKort">
    <vt:lpwstr>med anledning av prop. 2010/11:100</vt:lpwstr>
  </property>
  <property fmtid="{D5CDD505-2E9C-101B-9397-08002B2CF9AE}" pid="12" name="Svar">
    <vt:lpwstr>Proposition</vt:lpwstr>
  </property>
  <property fmtid="{D5CDD505-2E9C-101B-9397-08002B2CF9AE}" pid="13" name="SvarNr">
    <vt:lpwstr>2010/11:100</vt:lpwstr>
  </property>
  <property fmtid="{D5CDD505-2E9C-101B-9397-08002B2CF9AE}" pid="14" name="RubrikSvar">
    <vt:lpwstr>2011 års ekonomiska vårproposition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S64050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Kurt Kvarnström m.fl. (S)</vt:lpwstr>
  </property>
  <property fmtid="{D5CDD505-2E9C-101B-9397-08002B2CF9AE}" pid="26" name="MotionarLista">
    <vt:lpwstr>Kvarnström, Kurt (S)\Runeson, Carin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113</vt:lpwstr>
  </property>
  <property fmtid="{D5CDD505-2E9C-101B-9397-08002B2CF9AE}" pid="35" name="Samling">
    <vt:lpwstr/>
  </property>
  <property fmtid="{D5CDD505-2E9C-101B-9397-08002B2CF9AE}" pid="36" name="SamlingPrint">
    <vt:lpwstr/>
  </property>
  <property fmtid="{D5CDD505-2E9C-101B-9397-08002B2CF9AE}" pid="37" name="Motionsnummer">
    <vt:lpwstr>K2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maj 2011</vt:lpwstr>
  </property>
  <property fmtid="{D5CDD505-2E9C-101B-9397-08002B2CF9AE}" pid="44" name="NotesUID">
    <vt:lpwstr>christina.bolin@riksdagen.se</vt:lpwstr>
  </property>
  <property fmtid="{D5CDD505-2E9C-101B-9397-08002B2CF9AE}" pid="45" name="ReservUID">
    <vt:lpwstr>ca0511aa</vt:lpwstr>
  </property>
  <property fmtid="{D5CDD505-2E9C-101B-9397-08002B2CF9AE}" pid="46" name="MotionID">
    <vt:lpwstr>20102011000000000115000640500069</vt:lpwstr>
  </property>
  <property fmtid="{D5CDD505-2E9C-101B-9397-08002B2CF9AE}" pid="47" name="datum">
    <vt:lpwstr>110504</vt:lpwstr>
  </property>
  <property fmtid="{D5CDD505-2E9C-101B-9397-08002B2CF9AE}" pid="48" name="avsändar-e-post">
    <vt:lpwstr>christina.bolin@riksdagen.se</vt:lpwstr>
  </property>
  <property fmtid="{D5CDD505-2E9C-101B-9397-08002B2CF9AE}" pid="49" name="id">
    <vt:lpwstr>20102011000000000115000640500069</vt:lpwstr>
  </property>
  <property fmtid="{D5CDD505-2E9C-101B-9397-08002B2CF9AE}" pid="50" name="nummer">
    <vt:lpwstr>2</vt:lpwstr>
  </property>
  <property fmtid="{D5CDD505-2E9C-101B-9397-08002B2CF9AE}" pid="51" name="utskottsbeteckning">
    <vt:lpwstr>K</vt:lpwstr>
  </property>
  <property fmtid="{D5CDD505-2E9C-101B-9397-08002B2CF9AE}" pid="52" name="GlobalUID">
    <vt:lpwstr>{77C3E647-3341-4442-8F1A-26E364EB8E2C}</vt:lpwstr>
  </property>
  <property fmtid="{D5CDD505-2E9C-101B-9397-08002B2CF9AE}" pid="53" name="Överföringar">
    <vt:i4>1</vt:i4>
  </property>
  <property fmtid="{D5CDD505-2E9C-101B-9397-08002B2CF9AE}" pid="54" name="Checksum">
    <vt:lpwstr>*0008366831450*</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110506 13:26:09.359</vt:lpwstr>
  </property>
  <property fmtid="{D5CDD505-2E9C-101B-9397-08002B2CF9AE}" pid="58" name="urixGuid">
    <vt:lpwstr>{083171DA-EBDE-412B-8E8C-7E0086520DE0}</vt:lpwstr>
  </property>
</Properties>
</file>