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5F59DF">
        <w:tc>
          <w:tcPr>
            <w:tcW w:w="2268" w:type="dxa"/>
          </w:tcPr>
          <w:p w:rsidR="005F59DF" w:rsidRDefault="005F59DF">
            <w:pPr>
              <w:framePr w:w="4400" w:h="1644" w:wrap="notBeside" w:vAnchor="page" w:hAnchor="page" w:x="6573" w:y="721"/>
              <w:rPr>
                <w:rFonts w:ascii="TradeGothic" w:hAnsi="TradeGothic"/>
                <w:i/>
                <w:sz w:val="18"/>
              </w:rPr>
            </w:pPr>
          </w:p>
        </w:tc>
        <w:tc>
          <w:tcPr>
            <w:tcW w:w="2347" w:type="dxa"/>
            <w:gridSpan w:val="2"/>
          </w:tcPr>
          <w:p w:rsidR="005F59DF" w:rsidRDefault="005F59DF">
            <w:pPr>
              <w:framePr w:w="4400" w:h="1644" w:wrap="notBeside" w:vAnchor="page" w:hAnchor="page" w:x="6573" w:y="721"/>
              <w:rPr>
                <w:rFonts w:ascii="TradeGothic" w:hAnsi="TradeGothic"/>
                <w:i/>
                <w:sz w:val="18"/>
              </w:rPr>
            </w:pPr>
          </w:p>
        </w:tc>
      </w:tr>
      <w:tr w:rsidR="005F59DF">
        <w:tc>
          <w:tcPr>
            <w:tcW w:w="2268" w:type="dxa"/>
          </w:tcPr>
          <w:p w:rsidR="005F59DF" w:rsidRDefault="005F59DF">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5F59DF" w:rsidRDefault="005F59DF">
            <w:pPr>
              <w:framePr w:w="4400" w:h="1644" w:wrap="notBeside" w:vAnchor="page" w:hAnchor="page" w:x="6573" w:y="721"/>
              <w:rPr>
                <w:rFonts w:ascii="TradeGothic" w:hAnsi="TradeGothic"/>
                <w:b/>
                <w:sz w:val="22"/>
              </w:rPr>
            </w:pPr>
          </w:p>
        </w:tc>
      </w:tr>
      <w:tr w:rsidR="005F59DF">
        <w:trPr>
          <w:trHeight w:val="343"/>
        </w:trPr>
        <w:tc>
          <w:tcPr>
            <w:tcW w:w="3402" w:type="dxa"/>
            <w:gridSpan w:val="2"/>
          </w:tcPr>
          <w:p w:rsidR="005F59DF" w:rsidRDefault="005F59DF">
            <w:pPr>
              <w:framePr w:w="4400" w:h="1644" w:wrap="notBeside" w:vAnchor="page" w:hAnchor="page" w:x="6573" w:y="721"/>
            </w:pPr>
          </w:p>
        </w:tc>
        <w:tc>
          <w:tcPr>
            <w:tcW w:w="1213" w:type="dxa"/>
          </w:tcPr>
          <w:p w:rsidR="005F59DF" w:rsidRDefault="005F59DF">
            <w:pPr>
              <w:framePr w:w="4400" w:h="1644" w:wrap="notBeside" w:vAnchor="page" w:hAnchor="page" w:x="6573" w:y="721"/>
            </w:pPr>
          </w:p>
        </w:tc>
      </w:tr>
      <w:tr w:rsidR="005F59DF">
        <w:tc>
          <w:tcPr>
            <w:tcW w:w="2268" w:type="dxa"/>
          </w:tcPr>
          <w:p w:rsidR="005F59DF" w:rsidRDefault="005F59DF">
            <w:pPr>
              <w:framePr w:w="4400" w:h="1644" w:wrap="notBeside" w:vAnchor="page" w:hAnchor="page" w:x="6573" w:y="721"/>
            </w:pPr>
            <w:fldSimple w:instr=" CREATEDATE  \@ &quot;yyyy-MM-dd&quot;  \* MERGEFORMAT ">
              <w:r>
                <w:rPr>
                  <w:noProof/>
                </w:rPr>
                <w:t>2013-03-15</w:t>
              </w:r>
            </w:fldSimple>
          </w:p>
        </w:tc>
        <w:tc>
          <w:tcPr>
            <w:tcW w:w="2347" w:type="dxa"/>
            <w:gridSpan w:val="2"/>
          </w:tcPr>
          <w:p w:rsidR="005F59DF" w:rsidRDefault="005F59DF">
            <w:pPr>
              <w:framePr w:w="4400" w:h="1644" w:wrap="notBeside" w:vAnchor="page" w:hAnchor="page" w:x="6573" w:y="721"/>
            </w:pPr>
          </w:p>
        </w:tc>
      </w:tr>
      <w:tr w:rsidR="005F59DF">
        <w:tc>
          <w:tcPr>
            <w:tcW w:w="2268" w:type="dxa"/>
          </w:tcPr>
          <w:p w:rsidR="005F59DF" w:rsidRDefault="005F59DF">
            <w:pPr>
              <w:framePr w:w="4400" w:h="1644" w:wrap="notBeside" w:vAnchor="page" w:hAnchor="page" w:x="6573" w:y="721"/>
            </w:pPr>
          </w:p>
        </w:tc>
        <w:tc>
          <w:tcPr>
            <w:tcW w:w="2347" w:type="dxa"/>
            <w:gridSpan w:val="2"/>
          </w:tcPr>
          <w:p w:rsidR="005F59DF" w:rsidRDefault="005F59DF">
            <w:pPr>
              <w:framePr w:w="4400" w:h="1644" w:wrap="notBeside" w:vAnchor="page" w:hAnchor="page" w:x="6573" w:y="721"/>
            </w:pPr>
          </w:p>
        </w:tc>
      </w:tr>
    </w:tbl>
    <w:tbl>
      <w:tblPr>
        <w:tblW w:w="0" w:type="auto"/>
        <w:tblLayout w:type="fixed"/>
        <w:tblLook w:val="0000"/>
      </w:tblPr>
      <w:tblGrid>
        <w:gridCol w:w="4911"/>
      </w:tblGrid>
      <w:tr w:rsidR="005F59DF">
        <w:trPr>
          <w:trHeight w:val="2400"/>
        </w:trPr>
        <w:tc>
          <w:tcPr>
            <w:tcW w:w="4911" w:type="dxa"/>
          </w:tcPr>
          <w:p w:rsidR="005F59DF" w:rsidRDefault="005F59DF">
            <w:pPr>
              <w:pStyle w:val="Avsndare"/>
              <w:framePr w:h="2483" w:wrap="notBeside" w:x="1504"/>
              <w:rPr>
                <w:b/>
                <w:i w:val="0"/>
                <w:sz w:val="22"/>
              </w:rPr>
            </w:pPr>
            <w:r>
              <w:rPr>
                <w:b/>
                <w:i w:val="0"/>
                <w:sz w:val="22"/>
              </w:rPr>
              <w:t>Statsrådsberedningen</w:t>
            </w:r>
          </w:p>
          <w:p w:rsidR="005F59DF" w:rsidRDefault="005F59DF">
            <w:pPr>
              <w:pStyle w:val="Avsndare"/>
              <w:framePr w:h="2483" w:wrap="notBeside" w:x="1504"/>
            </w:pPr>
          </w:p>
          <w:p w:rsidR="005F59DF" w:rsidRDefault="005F59DF">
            <w:pPr>
              <w:pStyle w:val="Avsndare"/>
              <w:framePr w:h="2483" w:wrap="notBeside" w:x="1504"/>
            </w:pPr>
            <w:r>
              <w:t>EU-kansliet</w:t>
            </w:r>
          </w:p>
          <w:p w:rsidR="005F59DF" w:rsidRDefault="005F59DF">
            <w:pPr>
              <w:pStyle w:val="Avsndare"/>
              <w:framePr w:h="2483" w:wrap="notBeside" w:x="1504"/>
            </w:pPr>
          </w:p>
          <w:p w:rsidR="005F59DF" w:rsidRDefault="005F59DF">
            <w:pPr>
              <w:pStyle w:val="Avsndare"/>
              <w:framePr w:h="2483" w:wrap="notBeside" w:x="1504"/>
            </w:pPr>
          </w:p>
          <w:p w:rsidR="005F59DF" w:rsidRDefault="005F59DF">
            <w:pPr>
              <w:pStyle w:val="Avsndare"/>
              <w:framePr w:h="2483" w:wrap="notBeside" w:x="1504"/>
            </w:pPr>
          </w:p>
          <w:p w:rsidR="005F59DF" w:rsidRDefault="005F59DF">
            <w:pPr>
              <w:pStyle w:val="Avsndare"/>
              <w:framePr w:h="2483" w:wrap="notBeside" w:x="1504"/>
              <w:rPr>
                <w:b/>
                <w:i w:val="0"/>
                <w:sz w:val="22"/>
              </w:rPr>
            </w:pPr>
          </w:p>
        </w:tc>
      </w:tr>
    </w:tbl>
    <w:p w:rsidR="005F59DF" w:rsidRDefault="005F59DF">
      <w:pPr>
        <w:framePr w:w="4400" w:h="2523" w:wrap="notBeside" w:vAnchor="page" w:hAnchor="page" w:x="6453" w:y="2445"/>
        <w:ind w:left="142"/>
      </w:pPr>
    </w:p>
    <w:p w:rsidR="005F59DF" w:rsidRDefault="005F59DF">
      <w:pPr>
        <w:pStyle w:val="UDrubrik"/>
        <w:tabs>
          <w:tab w:val="left" w:pos="1701"/>
          <w:tab w:val="left" w:pos="1985"/>
        </w:tabs>
        <w:rPr>
          <w:rFonts w:cs="Arial"/>
          <w:sz w:val="28"/>
        </w:rPr>
      </w:pPr>
      <w:bookmarkStart w:id="0" w:name="_Toc67391946"/>
      <w:bookmarkStart w:id="1" w:name="_Toc70473239"/>
      <w:r>
        <w:rPr>
          <w:rFonts w:cs="Arial"/>
          <w:sz w:val="28"/>
        </w:rPr>
        <w:t>Komplettering nr 2 Troliga A-punkter inför kommande rådsmöten som godkändes vid Coreper II vecka 11.</w:t>
      </w:r>
    </w:p>
    <w:p w:rsidR="005F59DF" w:rsidRDefault="005F59DF">
      <w:pPr>
        <w:pStyle w:val="UDrubrik"/>
        <w:tabs>
          <w:tab w:val="left" w:pos="1701"/>
          <w:tab w:val="left" w:pos="1985"/>
        </w:tabs>
        <w:rPr>
          <w:rFonts w:cs="Arial"/>
          <w:sz w:val="28"/>
        </w:rPr>
      </w:pPr>
    </w:p>
    <w:p w:rsidR="005F59DF" w:rsidRDefault="005F59DF">
      <w:pPr>
        <w:pStyle w:val="UDrubrik"/>
        <w:tabs>
          <w:tab w:val="left" w:pos="1701"/>
          <w:tab w:val="left" w:pos="1985"/>
        </w:tabs>
      </w:pPr>
      <w:r w:rsidRPr="00862C40">
        <w:rPr>
          <w:rFonts w:cs="Arial"/>
          <w:b w:val="0"/>
          <w:sz w:val="24"/>
          <w:szCs w:val="24"/>
        </w:rPr>
        <w:t>Överlämnas för skriftligt samråd till måndagen den 18 mars 2013, kl. 08.30</w:t>
      </w:r>
      <w:r>
        <w:rPr>
          <w:rFonts w:cs="Arial"/>
          <w:sz w:val="28"/>
        </w:rPr>
        <w:br w:type="page"/>
        <w:t xml:space="preserve"> Troliga A-punkter inför kommande rådsmöten som godkändes vid Coreper II</w:t>
      </w:r>
      <w:bookmarkEnd w:id="0"/>
      <w:bookmarkEnd w:id="1"/>
    </w:p>
    <w:p w:rsidR="005F59DF" w:rsidRDefault="005F59DF">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5F59DF" w:rsidRDefault="005F59DF">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51124533" w:history="1">
        <w:r w:rsidRPr="00E35906">
          <w:rPr>
            <w:rStyle w:val="Hyperlink"/>
            <w:noProof/>
          </w:rPr>
          <w:t>Frågor som lösts i förberedande instanser</w:t>
        </w:r>
        <w:r>
          <w:rPr>
            <w:noProof/>
            <w:webHidden/>
          </w:rPr>
          <w:tab/>
        </w:r>
        <w:r>
          <w:rPr>
            <w:noProof/>
            <w:webHidden/>
          </w:rPr>
          <w:fldChar w:fldCharType="begin"/>
        </w:r>
        <w:r>
          <w:rPr>
            <w:noProof/>
            <w:webHidden/>
          </w:rPr>
          <w:instrText xml:space="preserve"> PAGEREF _Toc351124533 \h </w:instrText>
        </w:r>
        <w:r>
          <w:rPr>
            <w:noProof/>
            <w:webHidden/>
          </w:rPr>
        </w:r>
        <w:r>
          <w:rPr>
            <w:noProof/>
            <w:webHidden/>
          </w:rPr>
          <w:fldChar w:fldCharType="separate"/>
        </w:r>
        <w:r>
          <w:rPr>
            <w:noProof/>
            <w:webHidden/>
          </w:rPr>
          <w:t>4</w:t>
        </w:r>
        <w:r>
          <w:rPr>
            <w:noProof/>
            <w:webHidden/>
          </w:rPr>
          <w:fldChar w:fldCharType="end"/>
        </w:r>
      </w:hyperlink>
    </w:p>
    <w:p w:rsidR="005F59DF" w:rsidRDefault="005F59DF">
      <w:pPr>
        <w:pStyle w:val="TOC1"/>
        <w:tabs>
          <w:tab w:val="right" w:leader="dot" w:pos="7644"/>
        </w:tabs>
        <w:rPr>
          <w:rFonts w:ascii="Calibri" w:hAnsi="Calibri"/>
          <w:b w:val="0"/>
          <w:bCs w:val="0"/>
          <w:caps w:val="0"/>
          <w:noProof/>
          <w:sz w:val="22"/>
          <w:szCs w:val="22"/>
          <w:lang w:eastAsia="sv-SE"/>
        </w:rPr>
      </w:pPr>
      <w:hyperlink w:anchor="_Toc351124534" w:history="1">
        <w:r w:rsidRPr="00E35906">
          <w:rPr>
            <w:rStyle w:val="Hyperlink"/>
            <w:noProof/>
          </w:rPr>
          <w:t>Troliga A-punkter inför kommande rådsmöten som godkändes vid Coreper II</w:t>
        </w:r>
        <w:r>
          <w:rPr>
            <w:noProof/>
            <w:webHidden/>
          </w:rPr>
          <w:tab/>
        </w:r>
        <w:r>
          <w:rPr>
            <w:noProof/>
            <w:webHidden/>
          </w:rPr>
          <w:fldChar w:fldCharType="begin"/>
        </w:r>
        <w:r>
          <w:rPr>
            <w:noProof/>
            <w:webHidden/>
          </w:rPr>
          <w:instrText xml:space="preserve"> PAGEREF _Toc351124534 \h </w:instrText>
        </w:r>
        <w:r>
          <w:rPr>
            <w:noProof/>
            <w:webHidden/>
          </w:rPr>
        </w:r>
        <w:r>
          <w:rPr>
            <w:noProof/>
            <w:webHidden/>
          </w:rPr>
          <w:fldChar w:fldCharType="separate"/>
        </w:r>
        <w:r>
          <w:rPr>
            <w:noProof/>
            <w:webHidden/>
          </w:rPr>
          <w:t>4</w:t>
        </w:r>
        <w:r>
          <w:rPr>
            <w:noProof/>
            <w:webHidden/>
          </w:rPr>
          <w:fldChar w:fldCharType="end"/>
        </w:r>
      </w:hyperlink>
    </w:p>
    <w:p w:rsidR="005F59DF" w:rsidRDefault="005F59DF">
      <w:pPr>
        <w:pStyle w:val="TOC2"/>
        <w:tabs>
          <w:tab w:val="right" w:leader="dot" w:pos="7644"/>
        </w:tabs>
        <w:rPr>
          <w:rFonts w:ascii="Calibri" w:hAnsi="Calibri"/>
          <w:b w:val="0"/>
          <w:bCs w:val="0"/>
          <w:noProof/>
          <w:sz w:val="22"/>
          <w:szCs w:val="22"/>
          <w:lang w:eastAsia="sv-SE"/>
        </w:rPr>
      </w:pPr>
      <w:hyperlink w:anchor="_Toc351124535" w:history="1">
        <w:r w:rsidRPr="00E35906">
          <w:rPr>
            <w:rStyle w:val="Hyperlink"/>
            <w:noProof/>
            <w:lang w:val="en-US"/>
          </w:rPr>
          <w:t>1. Case before the General Court of the European Union = Case T-558/12 (Changshu City Standard Parts Factory v.Council)</w:t>
        </w:r>
        <w:r>
          <w:rPr>
            <w:noProof/>
            <w:webHidden/>
          </w:rPr>
          <w:tab/>
        </w:r>
        <w:r>
          <w:rPr>
            <w:noProof/>
            <w:webHidden/>
          </w:rPr>
          <w:fldChar w:fldCharType="begin"/>
        </w:r>
        <w:r>
          <w:rPr>
            <w:noProof/>
            <w:webHidden/>
          </w:rPr>
          <w:instrText xml:space="preserve"> PAGEREF _Toc351124535 \h </w:instrText>
        </w:r>
        <w:r>
          <w:rPr>
            <w:noProof/>
            <w:webHidden/>
          </w:rPr>
        </w:r>
        <w:r>
          <w:rPr>
            <w:noProof/>
            <w:webHidden/>
          </w:rPr>
          <w:fldChar w:fldCharType="separate"/>
        </w:r>
        <w:r>
          <w:rPr>
            <w:noProof/>
            <w:webHidden/>
          </w:rPr>
          <w:t>4</w:t>
        </w:r>
        <w:r>
          <w:rPr>
            <w:noProof/>
            <w:webHidden/>
          </w:rPr>
          <w:fldChar w:fldCharType="end"/>
        </w:r>
      </w:hyperlink>
    </w:p>
    <w:p w:rsidR="005F59DF" w:rsidRDefault="005F59DF">
      <w:pPr>
        <w:pStyle w:val="TOC2"/>
        <w:tabs>
          <w:tab w:val="right" w:leader="dot" w:pos="7644"/>
        </w:tabs>
        <w:rPr>
          <w:rFonts w:ascii="Calibri" w:hAnsi="Calibri"/>
          <w:b w:val="0"/>
          <w:bCs w:val="0"/>
          <w:noProof/>
          <w:sz w:val="22"/>
          <w:szCs w:val="22"/>
          <w:lang w:eastAsia="sv-SE"/>
        </w:rPr>
      </w:pPr>
      <w:hyperlink w:anchor="_Toc351124536" w:history="1">
        <w:r w:rsidRPr="00E35906">
          <w:rPr>
            <w:rStyle w:val="Hyperlink"/>
            <w:noProof/>
            <w:lang w:val="en-US"/>
          </w:rPr>
          <w:t>2. Case before the General Court of the European Union = Case T-559/12 (Ningbo Jinding Fastener Co.Ltd. v.Council)</w:t>
        </w:r>
        <w:r>
          <w:rPr>
            <w:noProof/>
            <w:webHidden/>
          </w:rPr>
          <w:tab/>
        </w:r>
        <w:r>
          <w:rPr>
            <w:noProof/>
            <w:webHidden/>
          </w:rPr>
          <w:fldChar w:fldCharType="begin"/>
        </w:r>
        <w:r>
          <w:rPr>
            <w:noProof/>
            <w:webHidden/>
          </w:rPr>
          <w:instrText xml:space="preserve"> PAGEREF _Toc351124536 \h </w:instrText>
        </w:r>
        <w:r>
          <w:rPr>
            <w:noProof/>
            <w:webHidden/>
          </w:rPr>
        </w:r>
        <w:r>
          <w:rPr>
            <w:noProof/>
            <w:webHidden/>
          </w:rPr>
          <w:fldChar w:fldCharType="separate"/>
        </w:r>
        <w:r>
          <w:rPr>
            <w:noProof/>
            <w:webHidden/>
          </w:rPr>
          <w:t>4</w:t>
        </w:r>
        <w:r>
          <w:rPr>
            <w:noProof/>
            <w:webHidden/>
          </w:rPr>
          <w:fldChar w:fldCharType="end"/>
        </w:r>
      </w:hyperlink>
    </w:p>
    <w:p w:rsidR="005F59DF" w:rsidRDefault="005F59DF">
      <w:pPr>
        <w:pStyle w:val="TOC2"/>
        <w:tabs>
          <w:tab w:val="right" w:leader="dot" w:pos="7644"/>
        </w:tabs>
        <w:rPr>
          <w:rFonts w:ascii="Calibri" w:hAnsi="Calibri"/>
          <w:b w:val="0"/>
          <w:bCs w:val="0"/>
          <w:noProof/>
          <w:sz w:val="22"/>
          <w:szCs w:val="22"/>
          <w:lang w:eastAsia="sv-SE"/>
        </w:rPr>
      </w:pPr>
      <w:hyperlink w:anchor="_Toc351124537" w:history="1">
        <w:r w:rsidRPr="00E35906">
          <w:rPr>
            <w:rStyle w:val="Hyperlink"/>
            <w:noProof/>
            <w:lang w:val="en-US"/>
          </w:rPr>
          <w:t>3. Case before the Court of Justice of the European Union C-594/12 Seitlinger e.a. : Verfassungsgerichtshof – Autria = Validity of Articles 3 to 9 of Directive 2006/24/EC of the European Parliament and of the Council of 15 March 2006 on the retention of data generated or processed in connection with the provision of publicly available electronic communications services or of public communications networks and amending Directive 2002/58/EC</w:t>
        </w:r>
        <w:r>
          <w:rPr>
            <w:noProof/>
            <w:webHidden/>
          </w:rPr>
          <w:tab/>
        </w:r>
        <w:r>
          <w:rPr>
            <w:noProof/>
            <w:webHidden/>
          </w:rPr>
          <w:fldChar w:fldCharType="begin"/>
        </w:r>
        <w:r>
          <w:rPr>
            <w:noProof/>
            <w:webHidden/>
          </w:rPr>
          <w:instrText xml:space="preserve"> PAGEREF _Toc351124537 \h </w:instrText>
        </w:r>
        <w:r>
          <w:rPr>
            <w:noProof/>
            <w:webHidden/>
          </w:rPr>
        </w:r>
        <w:r>
          <w:rPr>
            <w:noProof/>
            <w:webHidden/>
          </w:rPr>
          <w:fldChar w:fldCharType="separate"/>
        </w:r>
        <w:r>
          <w:rPr>
            <w:noProof/>
            <w:webHidden/>
          </w:rPr>
          <w:t>5</w:t>
        </w:r>
        <w:r>
          <w:rPr>
            <w:noProof/>
            <w:webHidden/>
          </w:rPr>
          <w:fldChar w:fldCharType="end"/>
        </w:r>
      </w:hyperlink>
    </w:p>
    <w:p w:rsidR="005F59DF" w:rsidRDefault="005F59DF">
      <w:pPr>
        <w:pStyle w:val="TOC2"/>
        <w:tabs>
          <w:tab w:val="right" w:leader="dot" w:pos="7644"/>
        </w:tabs>
        <w:rPr>
          <w:rFonts w:ascii="Calibri" w:hAnsi="Calibri"/>
          <w:b w:val="0"/>
          <w:bCs w:val="0"/>
          <w:noProof/>
          <w:sz w:val="22"/>
          <w:szCs w:val="22"/>
          <w:lang w:eastAsia="sv-SE"/>
        </w:rPr>
      </w:pPr>
      <w:hyperlink w:anchor="_Toc351124538" w:history="1">
        <w:r w:rsidRPr="00E35906">
          <w:rPr>
            <w:rStyle w:val="Hyperlink"/>
            <w:noProof/>
            <w:lang w:val="en-US"/>
          </w:rPr>
          <w:t>4. Case before the Court of Justice of the European Union= Reference for a preliminary ruling C-599/12 (Jetair and BTW-eenheid BTWE Travel4you (Referring court : Tribunal de première instance de Bruges (Belgium))- Information note for the Permanent Representatives Committee (Part 2)</w:t>
        </w:r>
        <w:r>
          <w:rPr>
            <w:noProof/>
            <w:webHidden/>
          </w:rPr>
          <w:tab/>
        </w:r>
        <w:r>
          <w:rPr>
            <w:noProof/>
            <w:webHidden/>
          </w:rPr>
          <w:fldChar w:fldCharType="begin"/>
        </w:r>
        <w:r>
          <w:rPr>
            <w:noProof/>
            <w:webHidden/>
          </w:rPr>
          <w:instrText xml:space="preserve"> PAGEREF _Toc351124538 \h </w:instrText>
        </w:r>
        <w:r>
          <w:rPr>
            <w:noProof/>
            <w:webHidden/>
          </w:rPr>
        </w:r>
        <w:r>
          <w:rPr>
            <w:noProof/>
            <w:webHidden/>
          </w:rPr>
          <w:fldChar w:fldCharType="separate"/>
        </w:r>
        <w:r>
          <w:rPr>
            <w:noProof/>
            <w:webHidden/>
          </w:rPr>
          <w:t>5</w:t>
        </w:r>
        <w:r>
          <w:rPr>
            <w:noProof/>
            <w:webHidden/>
          </w:rPr>
          <w:fldChar w:fldCharType="end"/>
        </w:r>
      </w:hyperlink>
    </w:p>
    <w:p w:rsidR="005F59DF" w:rsidRDefault="005F59DF">
      <w:pPr>
        <w:pStyle w:val="TOC2"/>
        <w:tabs>
          <w:tab w:val="right" w:leader="dot" w:pos="7644"/>
        </w:tabs>
        <w:rPr>
          <w:rFonts w:ascii="Calibri" w:hAnsi="Calibri"/>
          <w:b w:val="0"/>
          <w:bCs w:val="0"/>
          <w:noProof/>
          <w:sz w:val="22"/>
          <w:szCs w:val="22"/>
          <w:lang w:eastAsia="sv-SE"/>
        </w:rPr>
      </w:pPr>
      <w:hyperlink w:anchor="_Toc351124539" w:history="1">
        <w:r w:rsidRPr="00E35906">
          <w:rPr>
            <w:rStyle w:val="Hyperlink"/>
            <w:noProof/>
            <w:lang w:val="en-US"/>
          </w:rPr>
          <w:t>5. Case C-601/12 P before the Court of Justice = Appeal brought by Ningbo Yonghong Fasteners Co. Ltd against the judgement of the General Court of 10 October 2012</w:t>
        </w:r>
        <w:r>
          <w:rPr>
            <w:noProof/>
            <w:webHidden/>
          </w:rPr>
          <w:tab/>
        </w:r>
        <w:r>
          <w:rPr>
            <w:noProof/>
            <w:webHidden/>
          </w:rPr>
          <w:fldChar w:fldCharType="begin"/>
        </w:r>
        <w:r>
          <w:rPr>
            <w:noProof/>
            <w:webHidden/>
          </w:rPr>
          <w:instrText xml:space="preserve"> PAGEREF _Toc351124539 \h </w:instrText>
        </w:r>
        <w:r>
          <w:rPr>
            <w:noProof/>
            <w:webHidden/>
          </w:rPr>
        </w:r>
        <w:r>
          <w:rPr>
            <w:noProof/>
            <w:webHidden/>
          </w:rPr>
          <w:fldChar w:fldCharType="separate"/>
        </w:r>
        <w:r>
          <w:rPr>
            <w:noProof/>
            <w:webHidden/>
          </w:rPr>
          <w:t>6</w:t>
        </w:r>
        <w:r>
          <w:rPr>
            <w:noProof/>
            <w:webHidden/>
          </w:rPr>
          <w:fldChar w:fldCharType="end"/>
        </w:r>
      </w:hyperlink>
    </w:p>
    <w:p w:rsidR="005F59DF" w:rsidRDefault="005F59DF">
      <w:pPr>
        <w:pStyle w:val="TOC2"/>
        <w:tabs>
          <w:tab w:val="right" w:leader="dot" w:pos="7644"/>
        </w:tabs>
        <w:rPr>
          <w:rFonts w:ascii="Calibri" w:hAnsi="Calibri"/>
          <w:b w:val="0"/>
          <w:bCs w:val="0"/>
          <w:noProof/>
          <w:sz w:val="22"/>
          <w:szCs w:val="22"/>
          <w:lang w:eastAsia="sv-SE"/>
        </w:rPr>
      </w:pPr>
      <w:hyperlink w:anchor="_Toc351124540" w:history="1">
        <w:r w:rsidRPr="00E35906">
          <w:rPr>
            <w:rStyle w:val="Hyperlink"/>
            <w:noProof/>
            <w:lang w:val="en-US"/>
          </w:rPr>
          <w:t>6. Case C-602/12 P before the Court of Justice= Appeal brought by Gem-Year Industrial Co. Ltd and Jinn-Well Auto-Parts (Zhejiang) Co. Ltd against the judgement of the General Court of 10 October 2012</w:t>
        </w:r>
        <w:r>
          <w:rPr>
            <w:noProof/>
            <w:webHidden/>
          </w:rPr>
          <w:tab/>
        </w:r>
        <w:r>
          <w:rPr>
            <w:noProof/>
            <w:webHidden/>
          </w:rPr>
          <w:fldChar w:fldCharType="begin"/>
        </w:r>
        <w:r>
          <w:rPr>
            <w:noProof/>
            <w:webHidden/>
          </w:rPr>
          <w:instrText xml:space="preserve"> PAGEREF _Toc351124540 \h </w:instrText>
        </w:r>
        <w:r>
          <w:rPr>
            <w:noProof/>
            <w:webHidden/>
          </w:rPr>
        </w:r>
        <w:r>
          <w:rPr>
            <w:noProof/>
            <w:webHidden/>
          </w:rPr>
          <w:fldChar w:fldCharType="separate"/>
        </w:r>
        <w:r>
          <w:rPr>
            <w:noProof/>
            <w:webHidden/>
          </w:rPr>
          <w:t>6</w:t>
        </w:r>
        <w:r>
          <w:rPr>
            <w:noProof/>
            <w:webHidden/>
          </w:rPr>
          <w:fldChar w:fldCharType="end"/>
        </w:r>
      </w:hyperlink>
    </w:p>
    <w:p w:rsidR="005F59DF" w:rsidRDefault="005F59DF">
      <w:pPr>
        <w:pStyle w:val="TOC2"/>
        <w:tabs>
          <w:tab w:val="right" w:leader="dot" w:pos="7644"/>
        </w:tabs>
        <w:rPr>
          <w:rFonts w:ascii="Calibri" w:hAnsi="Calibri"/>
          <w:b w:val="0"/>
          <w:bCs w:val="0"/>
          <w:noProof/>
          <w:sz w:val="22"/>
          <w:szCs w:val="22"/>
          <w:lang w:eastAsia="sv-SE"/>
        </w:rPr>
      </w:pPr>
      <w:hyperlink w:anchor="_Toc351124541" w:history="1">
        <w:r w:rsidRPr="00E35906">
          <w:rPr>
            <w:rStyle w:val="Hyperlink"/>
            <w:noProof/>
            <w:lang w:val="en-US"/>
          </w:rPr>
          <w:t>7. Committee of the Regions = Council Decision appointing an Austrian alternate member of the Committee of the Regions</w:t>
        </w:r>
        <w:r>
          <w:rPr>
            <w:noProof/>
            <w:webHidden/>
          </w:rPr>
          <w:tab/>
        </w:r>
        <w:r>
          <w:rPr>
            <w:noProof/>
            <w:webHidden/>
          </w:rPr>
          <w:fldChar w:fldCharType="begin"/>
        </w:r>
        <w:r>
          <w:rPr>
            <w:noProof/>
            <w:webHidden/>
          </w:rPr>
          <w:instrText xml:space="preserve"> PAGEREF _Toc351124541 \h </w:instrText>
        </w:r>
        <w:r>
          <w:rPr>
            <w:noProof/>
            <w:webHidden/>
          </w:rPr>
        </w:r>
        <w:r>
          <w:rPr>
            <w:noProof/>
            <w:webHidden/>
          </w:rPr>
          <w:fldChar w:fldCharType="separate"/>
        </w:r>
        <w:r>
          <w:rPr>
            <w:noProof/>
            <w:webHidden/>
          </w:rPr>
          <w:t>6</w:t>
        </w:r>
        <w:r>
          <w:rPr>
            <w:noProof/>
            <w:webHidden/>
          </w:rPr>
          <w:fldChar w:fldCharType="end"/>
        </w:r>
      </w:hyperlink>
    </w:p>
    <w:p w:rsidR="005F59DF" w:rsidRDefault="005F59DF">
      <w:pPr>
        <w:pStyle w:val="TOC2"/>
        <w:tabs>
          <w:tab w:val="right" w:leader="dot" w:pos="7644"/>
        </w:tabs>
        <w:rPr>
          <w:rFonts w:ascii="Calibri" w:hAnsi="Calibri"/>
          <w:b w:val="0"/>
          <w:bCs w:val="0"/>
          <w:noProof/>
          <w:sz w:val="22"/>
          <w:szCs w:val="22"/>
          <w:lang w:eastAsia="sv-SE"/>
        </w:rPr>
      </w:pPr>
      <w:hyperlink w:anchor="_Toc351124542" w:history="1">
        <w:r w:rsidRPr="00E35906">
          <w:rPr>
            <w:rStyle w:val="Hyperlink"/>
            <w:noProof/>
            <w:lang w:val="en-US"/>
          </w:rPr>
          <w:t>8. Committee of the Regions = Council Decision appointing a Spanish member and three Spanish alternate members of the Committee of the Regions</w:t>
        </w:r>
        <w:r>
          <w:rPr>
            <w:noProof/>
            <w:webHidden/>
          </w:rPr>
          <w:tab/>
        </w:r>
        <w:r>
          <w:rPr>
            <w:noProof/>
            <w:webHidden/>
          </w:rPr>
          <w:fldChar w:fldCharType="begin"/>
        </w:r>
        <w:r>
          <w:rPr>
            <w:noProof/>
            <w:webHidden/>
          </w:rPr>
          <w:instrText xml:space="preserve"> PAGEREF _Toc351124542 \h </w:instrText>
        </w:r>
        <w:r>
          <w:rPr>
            <w:noProof/>
            <w:webHidden/>
          </w:rPr>
        </w:r>
        <w:r>
          <w:rPr>
            <w:noProof/>
            <w:webHidden/>
          </w:rPr>
          <w:fldChar w:fldCharType="separate"/>
        </w:r>
        <w:r>
          <w:rPr>
            <w:noProof/>
            <w:webHidden/>
          </w:rPr>
          <w:t>7</w:t>
        </w:r>
        <w:r>
          <w:rPr>
            <w:noProof/>
            <w:webHidden/>
          </w:rPr>
          <w:fldChar w:fldCharType="end"/>
        </w:r>
      </w:hyperlink>
    </w:p>
    <w:p w:rsidR="005F59DF" w:rsidRDefault="005F59DF">
      <w:pPr>
        <w:pStyle w:val="TOC2"/>
        <w:tabs>
          <w:tab w:val="right" w:leader="dot" w:pos="7644"/>
        </w:tabs>
        <w:rPr>
          <w:rFonts w:ascii="Calibri" w:hAnsi="Calibri"/>
          <w:b w:val="0"/>
          <w:bCs w:val="0"/>
          <w:noProof/>
          <w:sz w:val="22"/>
          <w:szCs w:val="22"/>
          <w:lang w:eastAsia="sv-SE"/>
        </w:rPr>
      </w:pPr>
      <w:hyperlink w:anchor="_Toc351124543" w:history="1">
        <w:r w:rsidRPr="00E35906">
          <w:rPr>
            <w:rStyle w:val="Hyperlink"/>
            <w:noProof/>
            <w:lang w:val="en-US"/>
          </w:rPr>
          <w:t>9. Committee of the Regions = Council Decision appointing two Swedish members and a Swedish alternate member of the Committee of the Regions</w:t>
        </w:r>
        <w:r>
          <w:rPr>
            <w:noProof/>
            <w:webHidden/>
          </w:rPr>
          <w:tab/>
        </w:r>
        <w:r>
          <w:rPr>
            <w:noProof/>
            <w:webHidden/>
          </w:rPr>
          <w:fldChar w:fldCharType="begin"/>
        </w:r>
        <w:r>
          <w:rPr>
            <w:noProof/>
            <w:webHidden/>
          </w:rPr>
          <w:instrText xml:space="preserve"> PAGEREF _Toc351124543 \h </w:instrText>
        </w:r>
        <w:r>
          <w:rPr>
            <w:noProof/>
            <w:webHidden/>
          </w:rPr>
        </w:r>
        <w:r>
          <w:rPr>
            <w:noProof/>
            <w:webHidden/>
          </w:rPr>
          <w:fldChar w:fldCharType="separate"/>
        </w:r>
        <w:r>
          <w:rPr>
            <w:noProof/>
            <w:webHidden/>
          </w:rPr>
          <w:t>7</w:t>
        </w:r>
        <w:r>
          <w:rPr>
            <w:noProof/>
            <w:webHidden/>
          </w:rPr>
          <w:fldChar w:fldCharType="end"/>
        </w:r>
      </w:hyperlink>
    </w:p>
    <w:p w:rsidR="005F59DF" w:rsidRDefault="005F59DF">
      <w:pPr>
        <w:pStyle w:val="TOC2"/>
        <w:tabs>
          <w:tab w:val="right" w:leader="dot" w:pos="7644"/>
        </w:tabs>
        <w:rPr>
          <w:rFonts w:ascii="Calibri" w:hAnsi="Calibri"/>
          <w:b w:val="0"/>
          <w:bCs w:val="0"/>
          <w:noProof/>
          <w:sz w:val="22"/>
          <w:szCs w:val="22"/>
          <w:lang w:eastAsia="sv-SE"/>
        </w:rPr>
      </w:pPr>
      <w:hyperlink w:anchor="_Toc351124544" w:history="1">
        <w:r w:rsidRPr="00E35906">
          <w:rPr>
            <w:rStyle w:val="Hyperlink"/>
            <w:noProof/>
            <w:lang w:val="en-US"/>
          </w:rPr>
          <w:t>10. Proposal for a Council Decision on the Union position within the Joint Committee established by the Euro-Mediterranean Interim Association Agreement on Trade and Co-operation between the European Community, of the one part, and the Palestine Liberation Organisation (PLO) for the benefit of the Palestinian Authority (PA) of the West bank and the Gaza Strip, of the other part, with regard to the adoption of a Recommendation on the implementation of the EU-PA ENP Action Plan</w:t>
        </w:r>
        <w:r>
          <w:rPr>
            <w:noProof/>
            <w:webHidden/>
          </w:rPr>
          <w:tab/>
        </w:r>
        <w:r>
          <w:rPr>
            <w:noProof/>
            <w:webHidden/>
          </w:rPr>
          <w:fldChar w:fldCharType="begin"/>
        </w:r>
        <w:r>
          <w:rPr>
            <w:noProof/>
            <w:webHidden/>
          </w:rPr>
          <w:instrText xml:space="preserve"> PAGEREF _Toc351124544 \h </w:instrText>
        </w:r>
        <w:r>
          <w:rPr>
            <w:noProof/>
            <w:webHidden/>
          </w:rPr>
        </w:r>
        <w:r>
          <w:rPr>
            <w:noProof/>
            <w:webHidden/>
          </w:rPr>
          <w:fldChar w:fldCharType="separate"/>
        </w:r>
        <w:r>
          <w:rPr>
            <w:noProof/>
            <w:webHidden/>
          </w:rPr>
          <w:t>8</w:t>
        </w:r>
        <w:r>
          <w:rPr>
            <w:noProof/>
            <w:webHidden/>
          </w:rPr>
          <w:fldChar w:fldCharType="end"/>
        </w:r>
      </w:hyperlink>
    </w:p>
    <w:p w:rsidR="005F59DF" w:rsidRDefault="005F59DF">
      <w:pPr>
        <w:pStyle w:val="TOC2"/>
        <w:tabs>
          <w:tab w:val="right" w:leader="dot" w:pos="7644"/>
        </w:tabs>
        <w:rPr>
          <w:rFonts w:ascii="Calibri" w:hAnsi="Calibri"/>
          <w:b w:val="0"/>
          <w:bCs w:val="0"/>
          <w:noProof/>
          <w:sz w:val="22"/>
          <w:szCs w:val="22"/>
          <w:lang w:eastAsia="sv-SE"/>
        </w:rPr>
      </w:pPr>
      <w:hyperlink w:anchor="_Toc351124545" w:history="1">
        <w:r w:rsidRPr="00E35906">
          <w:rPr>
            <w:rStyle w:val="Hyperlink"/>
            <w:noProof/>
            <w:lang w:val="en-US"/>
          </w:rPr>
          <w:t>11. Plurilateral agreement on trade in services- Authorisation for the opening of negotiations of a plurilateral agreement on trade in services</w:t>
        </w:r>
        <w:r>
          <w:rPr>
            <w:noProof/>
            <w:webHidden/>
          </w:rPr>
          <w:tab/>
        </w:r>
        <w:r>
          <w:rPr>
            <w:noProof/>
            <w:webHidden/>
          </w:rPr>
          <w:fldChar w:fldCharType="begin"/>
        </w:r>
        <w:r>
          <w:rPr>
            <w:noProof/>
            <w:webHidden/>
          </w:rPr>
          <w:instrText xml:space="preserve"> PAGEREF _Toc351124545 \h </w:instrText>
        </w:r>
        <w:r>
          <w:rPr>
            <w:noProof/>
            <w:webHidden/>
          </w:rPr>
        </w:r>
        <w:r>
          <w:rPr>
            <w:noProof/>
            <w:webHidden/>
          </w:rPr>
          <w:fldChar w:fldCharType="separate"/>
        </w:r>
        <w:r>
          <w:rPr>
            <w:noProof/>
            <w:webHidden/>
          </w:rPr>
          <w:t>9</w:t>
        </w:r>
        <w:r>
          <w:rPr>
            <w:noProof/>
            <w:webHidden/>
          </w:rPr>
          <w:fldChar w:fldCharType="end"/>
        </w:r>
      </w:hyperlink>
    </w:p>
    <w:p w:rsidR="005F59DF" w:rsidRDefault="005F59DF">
      <w:pPr>
        <w:pStyle w:val="TOC2"/>
        <w:tabs>
          <w:tab w:val="right" w:leader="dot" w:pos="7644"/>
        </w:tabs>
        <w:rPr>
          <w:rFonts w:ascii="Calibri" w:hAnsi="Calibri"/>
          <w:b w:val="0"/>
          <w:bCs w:val="0"/>
          <w:noProof/>
          <w:sz w:val="22"/>
          <w:szCs w:val="22"/>
          <w:lang w:eastAsia="sv-SE"/>
        </w:rPr>
      </w:pPr>
      <w:hyperlink w:anchor="_Toc351124546" w:history="1">
        <w:r w:rsidRPr="00E35906">
          <w:rPr>
            <w:rStyle w:val="Hyperlink"/>
            <w:noProof/>
            <w:lang w:val="en-US"/>
          </w:rPr>
          <w:t>12. Council Decision appointing the European Union Special Representative for the Sahel</w:t>
        </w:r>
        <w:r>
          <w:rPr>
            <w:noProof/>
            <w:webHidden/>
          </w:rPr>
          <w:tab/>
        </w:r>
        <w:r>
          <w:rPr>
            <w:noProof/>
            <w:webHidden/>
          </w:rPr>
          <w:fldChar w:fldCharType="begin"/>
        </w:r>
        <w:r>
          <w:rPr>
            <w:noProof/>
            <w:webHidden/>
          </w:rPr>
          <w:instrText xml:space="preserve"> PAGEREF _Toc351124546 \h </w:instrText>
        </w:r>
        <w:r>
          <w:rPr>
            <w:noProof/>
            <w:webHidden/>
          </w:rPr>
        </w:r>
        <w:r>
          <w:rPr>
            <w:noProof/>
            <w:webHidden/>
          </w:rPr>
          <w:fldChar w:fldCharType="separate"/>
        </w:r>
        <w:r>
          <w:rPr>
            <w:noProof/>
            <w:webHidden/>
          </w:rPr>
          <w:t>10</w:t>
        </w:r>
        <w:r>
          <w:rPr>
            <w:noProof/>
            <w:webHidden/>
          </w:rPr>
          <w:fldChar w:fldCharType="end"/>
        </w:r>
      </w:hyperlink>
    </w:p>
    <w:p w:rsidR="005F59DF" w:rsidRDefault="005F59DF">
      <w:pPr>
        <w:pStyle w:val="RKnormal"/>
        <w:ind w:left="0"/>
        <w:rPr>
          <w:b/>
          <w:bCs/>
        </w:rPr>
      </w:pPr>
      <w:r>
        <w:rPr>
          <w:b/>
          <w:bCs/>
        </w:rPr>
        <w:fldChar w:fldCharType="end"/>
      </w:r>
    </w:p>
    <w:p w:rsidR="005F59DF" w:rsidRDefault="005F59DF">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51124533"/>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59DF" w:rsidRDefault="005F59DF">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59DF" w:rsidRDefault="005F59DF">
      <w:pPr>
        <w:tabs>
          <w:tab w:val="left" w:pos="1843"/>
        </w:tabs>
      </w:pPr>
    </w:p>
    <w:p w:rsidR="005F59DF" w:rsidRDefault="005F59DF">
      <w:pPr>
        <w:pStyle w:val="Heading1"/>
        <w:spacing w:before="0" w:after="0"/>
      </w:pPr>
      <w:r>
        <w:t xml:space="preserve"> </w:t>
      </w:r>
      <w:bookmarkStart w:id="54" w:name="Punkt"/>
      <w:bookmarkEnd w:id="54"/>
    </w:p>
    <w:p w:rsidR="005F59DF" w:rsidRPr="00E648A9" w:rsidRDefault="005F59DF" w:rsidP="00862C40">
      <w:pPr>
        <w:pStyle w:val="Heading1"/>
      </w:pPr>
      <w:bookmarkStart w:id="55" w:name="_Toc351124534"/>
      <w:r>
        <w:t>Troliga A-punkter inför kommande rådsmöten som godkändes vid Coreper II</w:t>
      </w:r>
      <w:bookmarkEnd w:id="55"/>
    </w:p>
    <w:p w:rsidR="005F59DF" w:rsidRPr="00862C40" w:rsidRDefault="005F59DF" w:rsidP="00E648A9">
      <w:pPr>
        <w:pStyle w:val="Heading2"/>
        <w:rPr>
          <w:lang w:val="en-US"/>
        </w:rPr>
      </w:pPr>
      <w:bookmarkStart w:id="56" w:name="_Toc351124535"/>
      <w:r w:rsidRPr="00862C40">
        <w:rPr>
          <w:lang w:val="en-US"/>
        </w:rPr>
        <w:t>1. Case before the General Court of the European Union</w:t>
      </w:r>
      <w:r>
        <w:rPr>
          <w:lang w:val="en-US"/>
        </w:rPr>
        <w:t xml:space="preserve"> </w:t>
      </w:r>
      <w:r w:rsidRPr="00862C40">
        <w:rPr>
          <w:lang w:val="en-US"/>
        </w:rPr>
        <w:t>= Case T-558/12 (Changshu City Standard Parts Factory v.Council)</w:t>
      </w:r>
      <w:bookmarkEnd w:id="56"/>
    </w:p>
    <w:p w:rsidR="005F59DF" w:rsidRPr="00E648A9" w:rsidRDefault="005F59DF" w:rsidP="00E648A9">
      <w:r>
        <w:t>7082/13</w:t>
      </w:r>
    </w:p>
    <w:p w:rsidR="005F59DF" w:rsidRPr="00E648A9" w:rsidRDefault="005F59DF" w:rsidP="00E648A9">
      <w:r>
        <w:t>Ansvarigt departement: Utrikesdepartementet</w:t>
      </w:r>
    </w:p>
    <w:p w:rsidR="005F59DF" w:rsidRDefault="005F59DF">
      <w:pPr>
        <w:pStyle w:val="RKnormal"/>
        <w:tabs>
          <w:tab w:val="clear" w:pos="1843"/>
          <w:tab w:val="left" w:pos="0"/>
        </w:tabs>
        <w:ind w:left="0"/>
      </w:pPr>
    </w:p>
    <w:p w:rsidR="005F59DF" w:rsidRPr="00E648A9" w:rsidRDefault="005F59DF" w:rsidP="00E648A9">
      <w:r>
        <w:t>Ansvarigt statsråd: Birgitta Ohlsson</w:t>
      </w:r>
    </w:p>
    <w:p w:rsidR="005F59DF" w:rsidRDefault="005F59DF">
      <w:pPr>
        <w:pStyle w:val="RKnormal"/>
        <w:tabs>
          <w:tab w:val="clear" w:pos="1843"/>
          <w:tab w:val="left" w:pos="0"/>
        </w:tabs>
        <w:ind w:left="0"/>
      </w:pPr>
    </w:p>
    <w:p w:rsidR="005F59DF" w:rsidRPr="00E648A9" w:rsidRDefault="005F59DF" w:rsidP="00E648A9">
      <w:r>
        <w:t>Godkänd av Coreper II den 12 mars 2013</w:t>
      </w:r>
    </w:p>
    <w:p w:rsidR="005F59DF" w:rsidRDefault="005F59DF">
      <w:pPr>
        <w:pStyle w:val="RKnormal"/>
        <w:tabs>
          <w:tab w:val="clear" w:pos="1843"/>
          <w:tab w:val="left" w:pos="0"/>
        </w:tabs>
        <w:ind w:left="0"/>
      </w:pPr>
    </w:p>
    <w:p w:rsidR="005F59DF" w:rsidRPr="00862C40" w:rsidRDefault="005F59DF" w:rsidP="00862C40">
      <w:pPr>
        <w:rPr>
          <w:lang w:val="en-US"/>
        </w:rPr>
      </w:pPr>
      <w:r w:rsidRPr="00862C40">
        <w:rPr>
          <w:lang w:val="en-US"/>
        </w:rPr>
        <w:t xml:space="preserve">Informationspunkt - föranleder ingen annotering </w:t>
      </w:r>
    </w:p>
    <w:p w:rsidR="005F59DF" w:rsidRPr="00862C40" w:rsidRDefault="005F59DF" w:rsidP="00E648A9">
      <w:pPr>
        <w:pStyle w:val="Heading2"/>
        <w:rPr>
          <w:lang w:val="en-US"/>
        </w:rPr>
      </w:pPr>
      <w:bookmarkStart w:id="57" w:name="_Toc351124536"/>
      <w:r w:rsidRPr="00862C40">
        <w:rPr>
          <w:lang w:val="en-US"/>
        </w:rPr>
        <w:t>2. Case before the General Court of the European Union</w:t>
      </w:r>
      <w:r>
        <w:rPr>
          <w:lang w:val="en-US"/>
        </w:rPr>
        <w:t xml:space="preserve"> </w:t>
      </w:r>
      <w:r w:rsidRPr="00862C40">
        <w:rPr>
          <w:lang w:val="en-US"/>
        </w:rPr>
        <w:t>= Case T-559/12 (Ningbo Jinding Fastener Co.Ltd. v.Council)</w:t>
      </w:r>
      <w:bookmarkEnd w:id="57"/>
    </w:p>
    <w:p w:rsidR="005F59DF" w:rsidRPr="00E648A9" w:rsidRDefault="005F59DF" w:rsidP="00E648A9">
      <w:r>
        <w:t>7085/13</w:t>
      </w:r>
    </w:p>
    <w:p w:rsidR="005F59DF" w:rsidRDefault="005F59DF">
      <w:pPr>
        <w:pStyle w:val="RKnormal"/>
        <w:tabs>
          <w:tab w:val="clear" w:pos="1843"/>
          <w:tab w:val="left" w:pos="0"/>
        </w:tabs>
        <w:ind w:left="0"/>
      </w:pPr>
    </w:p>
    <w:p w:rsidR="005F59DF" w:rsidRPr="00E648A9" w:rsidRDefault="005F59DF" w:rsidP="00E648A9">
      <w:r>
        <w:t>Ansvarigt departement: Utrikesdepartementet</w:t>
      </w:r>
    </w:p>
    <w:p w:rsidR="005F59DF" w:rsidRDefault="005F59DF">
      <w:pPr>
        <w:pStyle w:val="RKnormal"/>
        <w:tabs>
          <w:tab w:val="clear" w:pos="1843"/>
          <w:tab w:val="left" w:pos="0"/>
        </w:tabs>
        <w:ind w:left="0"/>
      </w:pPr>
    </w:p>
    <w:p w:rsidR="005F59DF" w:rsidRPr="00E648A9" w:rsidRDefault="005F59DF" w:rsidP="00E648A9">
      <w:r>
        <w:t>Ansvarigt statsråd: Birgitta Ohlsson</w:t>
      </w:r>
    </w:p>
    <w:p w:rsidR="005F59DF" w:rsidRDefault="005F59DF">
      <w:pPr>
        <w:pStyle w:val="RKnormal"/>
        <w:tabs>
          <w:tab w:val="clear" w:pos="1843"/>
          <w:tab w:val="left" w:pos="0"/>
        </w:tabs>
        <w:ind w:left="0"/>
      </w:pPr>
    </w:p>
    <w:p w:rsidR="005F59DF" w:rsidRPr="00E648A9" w:rsidRDefault="005F59DF" w:rsidP="00E648A9">
      <w:r>
        <w:t>Godkänd av Coreper II den 12 mars 2013</w:t>
      </w:r>
    </w:p>
    <w:p w:rsidR="005F59DF" w:rsidRDefault="005F59DF">
      <w:pPr>
        <w:pStyle w:val="RKnormal"/>
        <w:tabs>
          <w:tab w:val="clear" w:pos="1843"/>
          <w:tab w:val="left" w:pos="0"/>
        </w:tabs>
        <w:ind w:left="0"/>
      </w:pPr>
    </w:p>
    <w:p w:rsidR="005F59DF" w:rsidRPr="00862C40" w:rsidRDefault="005F59DF" w:rsidP="00E648A9">
      <w:pPr>
        <w:rPr>
          <w:lang w:val="en-US"/>
        </w:rPr>
      </w:pPr>
      <w:r w:rsidRPr="00862C40">
        <w:rPr>
          <w:lang w:val="en-US"/>
        </w:rPr>
        <w:t>Informationspunkt - föranleder ingen annotering</w:t>
      </w:r>
    </w:p>
    <w:p w:rsidR="005F59DF" w:rsidRPr="00862C40" w:rsidRDefault="005F59DF">
      <w:pPr>
        <w:pStyle w:val="RKnormal"/>
        <w:tabs>
          <w:tab w:val="clear" w:pos="1843"/>
          <w:tab w:val="left" w:pos="0"/>
        </w:tabs>
        <w:ind w:left="0"/>
        <w:rPr>
          <w:lang w:val="en-US"/>
        </w:rPr>
      </w:pPr>
      <w:r w:rsidRPr="00862C40">
        <w:rPr>
          <w:lang w:val="en-US"/>
        </w:rPr>
        <w:t xml:space="preserve"> </w:t>
      </w:r>
    </w:p>
    <w:p w:rsidR="005F59DF" w:rsidRDefault="005F59DF">
      <w:pPr>
        <w:spacing w:line="240" w:lineRule="auto"/>
        <w:rPr>
          <w:rFonts w:ascii="Arial" w:hAnsi="Arial" w:cs="Arial"/>
          <w:b/>
          <w:i/>
          <w:iCs/>
          <w:kern w:val="28"/>
          <w:lang w:val="en-US"/>
        </w:rPr>
      </w:pPr>
      <w:r>
        <w:rPr>
          <w:lang w:val="en-US"/>
        </w:rPr>
        <w:br w:type="page"/>
      </w:r>
    </w:p>
    <w:p w:rsidR="005F59DF" w:rsidRPr="00862C40" w:rsidRDefault="005F59DF" w:rsidP="00E648A9">
      <w:pPr>
        <w:pStyle w:val="Heading2"/>
        <w:rPr>
          <w:lang w:val="en-US"/>
        </w:rPr>
      </w:pPr>
      <w:bookmarkStart w:id="58" w:name="_Toc351124537"/>
      <w:r w:rsidRPr="00862C40">
        <w:rPr>
          <w:lang w:val="en-US"/>
        </w:rPr>
        <w:t xml:space="preserve">3. Case before the Court of Justice of the European Union C-594/12 Seitlinger e.a. : Verfassungsgerichtshof </w:t>
      </w:r>
      <w:r>
        <w:rPr>
          <w:lang w:val="en-US"/>
        </w:rPr>
        <w:t>–</w:t>
      </w:r>
      <w:r w:rsidRPr="00862C40">
        <w:rPr>
          <w:lang w:val="en-US"/>
        </w:rPr>
        <w:t xml:space="preserve"> Autria</w:t>
      </w:r>
      <w:r>
        <w:rPr>
          <w:lang w:val="en-US"/>
        </w:rPr>
        <w:t xml:space="preserve"> </w:t>
      </w:r>
      <w:r w:rsidRPr="00862C40">
        <w:rPr>
          <w:lang w:val="en-US"/>
        </w:rPr>
        <w:t>= Validity of Articles 3 to 9 of Directive 2006/24/EC of the European Parliament and of the Council of 15 March 2006 on the retention of data generated or processed in connection with the provision of publicly available electronic communications services or of public communications networks and amending Directive 2002/58/EC</w:t>
      </w:r>
      <w:bookmarkEnd w:id="58"/>
    </w:p>
    <w:p w:rsidR="005F59DF" w:rsidRPr="00E648A9" w:rsidRDefault="005F59DF" w:rsidP="00E648A9">
      <w:r>
        <w:t>7115/13</w:t>
      </w:r>
    </w:p>
    <w:p w:rsidR="005F59DF" w:rsidRDefault="005F59DF">
      <w:pPr>
        <w:pStyle w:val="RKnormal"/>
        <w:tabs>
          <w:tab w:val="clear" w:pos="1843"/>
          <w:tab w:val="left" w:pos="0"/>
        </w:tabs>
        <w:ind w:left="0"/>
      </w:pPr>
    </w:p>
    <w:p w:rsidR="005F59DF" w:rsidRPr="00E648A9" w:rsidRDefault="005F59DF" w:rsidP="00E648A9">
      <w:r>
        <w:t>Ansvarigt departement: Utrikesdepartementet</w:t>
      </w:r>
    </w:p>
    <w:p w:rsidR="005F59DF" w:rsidRDefault="005F59DF">
      <w:pPr>
        <w:pStyle w:val="RKnormal"/>
        <w:tabs>
          <w:tab w:val="clear" w:pos="1843"/>
          <w:tab w:val="left" w:pos="0"/>
        </w:tabs>
        <w:ind w:left="0"/>
      </w:pPr>
    </w:p>
    <w:p w:rsidR="005F59DF" w:rsidRPr="00E648A9" w:rsidRDefault="005F59DF" w:rsidP="00E648A9">
      <w:r>
        <w:t>Ansvarigt statsråd: Birgitta Ohlsson</w:t>
      </w:r>
    </w:p>
    <w:p w:rsidR="005F59DF" w:rsidRDefault="005F59DF">
      <w:pPr>
        <w:pStyle w:val="RKnormal"/>
        <w:tabs>
          <w:tab w:val="clear" w:pos="1843"/>
          <w:tab w:val="left" w:pos="0"/>
        </w:tabs>
        <w:ind w:left="0"/>
      </w:pPr>
    </w:p>
    <w:p w:rsidR="005F59DF" w:rsidRPr="00E648A9" w:rsidRDefault="005F59DF" w:rsidP="00E648A9">
      <w:r>
        <w:t>Godkänd av Coreper II den 12 mars 2013</w:t>
      </w:r>
    </w:p>
    <w:p w:rsidR="005F59DF" w:rsidRDefault="005F59DF">
      <w:pPr>
        <w:pStyle w:val="RKnormal"/>
        <w:tabs>
          <w:tab w:val="clear" w:pos="1843"/>
          <w:tab w:val="left" w:pos="0"/>
        </w:tabs>
        <w:ind w:left="0"/>
      </w:pPr>
    </w:p>
    <w:p w:rsidR="005F59DF" w:rsidRPr="00862C40" w:rsidRDefault="005F59DF" w:rsidP="00862C40">
      <w:pPr>
        <w:rPr>
          <w:lang w:val="en-US"/>
        </w:rPr>
      </w:pPr>
      <w:r w:rsidRPr="00862C40">
        <w:rPr>
          <w:lang w:val="en-US"/>
        </w:rPr>
        <w:t xml:space="preserve">Informationspunkt - föranleder ingen annotering </w:t>
      </w:r>
    </w:p>
    <w:p w:rsidR="005F59DF" w:rsidRPr="00862C40" w:rsidRDefault="005F59DF" w:rsidP="00E648A9">
      <w:pPr>
        <w:pStyle w:val="Heading2"/>
        <w:rPr>
          <w:lang w:val="en-US"/>
        </w:rPr>
      </w:pPr>
      <w:bookmarkStart w:id="59" w:name="_Toc351124538"/>
      <w:r w:rsidRPr="00862C40">
        <w:rPr>
          <w:lang w:val="en-US"/>
        </w:rPr>
        <w:t>4. Case before the Court of Justice of the European Union= Reference for a preliminary ruling C-599/12 (Jetair and BTW-eenheid BTWE Travel4you (Referring court : Tribunal de première instance de Bruges (Belgium))- Information note for the Permanent Representatives Committee (Part 2)</w:t>
      </w:r>
      <w:bookmarkEnd w:id="59"/>
    </w:p>
    <w:p w:rsidR="005F59DF" w:rsidRPr="00E648A9" w:rsidRDefault="005F59DF" w:rsidP="00E648A9">
      <w:r>
        <w:t>7155/13</w:t>
      </w:r>
    </w:p>
    <w:p w:rsidR="005F59DF" w:rsidRDefault="005F59DF">
      <w:pPr>
        <w:pStyle w:val="RKnormal"/>
        <w:tabs>
          <w:tab w:val="clear" w:pos="1843"/>
          <w:tab w:val="left" w:pos="0"/>
        </w:tabs>
        <w:ind w:left="0"/>
      </w:pPr>
    </w:p>
    <w:p w:rsidR="005F59DF" w:rsidRPr="00E648A9" w:rsidRDefault="005F59DF" w:rsidP="00E648A9">
      <w:r>
        <w:t>Ansvarigt departement: Utrikesdepartementet</w:t>
      </w:r>
    </w:p>
    <w:p w:rsidR="005F59DF" w:rsidRDefault="005F59DF">
      <w:pPr>
        <w:pStyle w:val="RKnormal"/>
        <w:tabs>
          <w:tab w:val="clear" w:pos="1843"/>
          <w:tab w:val="left" w:pos="0"/>
        </w:tabs>
        <w:ind w:left="0"/>
      </w:pPr>
    </w:p>
    <w:p w:rsidR="005F59DF" w:rsidRPr="00E648A9" w:rsidRDefault="005F59DF" w:rsidP="00E648A9">
      <w:r>
        <w:t>Ansvarigt statsråd: Birgitta Ohlsson</w:t>
      </w:r>
    </w:p>
    <w:p w:rsidR="005F59DF" w:rsidRDefault="005F59DF">
      <w:pPr>
        <w:pStyle w:val="RKnormal"/>
        <w:tabs>
          <w:tab w:val="clear" w:pos="1843"/>
          <w:tab w:val="left" w:pos="0"/>
        </w:tabs>
        <w:ind w:left="0"/>
      </w:pPr>
    </w:p>
    <w:p w:rsidR="005F59DF" w:rsidRPr="00E648A9" w:rsidRDefault="005F59DF" w:rsidP="00E648A9">
      <w:r>
        <w:t>Godkänd av Coreper II den 12 mars 2013</w:t>
      </w:r>
    </w:p>
    <w:p w:rsidR="005F59DF" w:rsidRDefault="005F59DF">
      <w:pPr>
        <w:pStyle w:val="RKnormal"/>
        <w:tabs>
          <w:tab w:val="clear" w:pos="1843"/>
          <w:tab w:val="left" w:pos="0"/>
        </w:tabs>
        <w:ind w:left="0"/>
      </w:pPr>
    </w:p>
    <w:p w:rsidR="005F59DF" w:rsidRPr="00862C40" w:rsidRDefault="005F59DF" w:rsidP="00862C40">
      <w:pPr>
        <w:rPr>
          <w:lang w:val="en-US"/>
        </w:rPr>
      </w:pPr>
      <w:r w:rsidRPr="00862C40">
        <w:rPr>
          <w:lang w:val="en-US"/>
        </w:rPr>
        <w:t xml:space="preserve">Informationspunkt - föranleder ingen annotering </w:t>
      </w:r>
    </w:p>
    <w:p w:rsidR="005F59DF" w:rsidRPr="00862C40" w:rsidRDefault="005F59DF" w:rsidP="00E648A9">
      <w:pPr>
        <w:pStyle w:val="Heading2"/>
        <w:rPr>
          <w:lang w:val="en-US"/>
        </w:rPr>
      </w:pPr>
      <w:r>
        <w:rPr>
          <w:lang w:val="en-US"/>
        </w:rPr>
        <w:br w:type="page"/>
      </w:r>
      <w:bookmarkStart w:id="60" w:name="_GoBack"/>
      <w:bookmarkStart w:id="61" w:name="_Toc351124539"/>
      <w:bookmarkEnd w:id="60"/>
      <w:r w:rsidRPr="00862C40">
        <w:rPr>
          <w:lang w:val="en-US"/>
        </w:rPr>
        <w:t>5. Case C-601/12 P before the Court of Justice</w:t>
      </w:r>
      <w:r>
        <w:rPr>
          <w:lang w:val="en-US"/>
        </w:rPr>
        <w:t xml:space="preserve"> </w:t>
      </w:r>
      <w:r w:rsidRPr="00862C40">
        <w:rPr>
          <w:lang w:val="en-US"/>
        </w:rPr>
        <w:t>= Appeal brought by Ningbo Yonghong Fasteners Co. Ltd against the judgement of the General Court of 10 October 2012</w:t>
      </w:r>
      <w:bookmarkEnd w:id="61"/>
    </w:p>
    <w:p w:rsidR="005F59DF" w:rsidRPr="00E648A9" w:rsidRDefault="005F59DF" w:rsidP="00E648A9">
      <w:r>
        <w:t>7074/13</w:t>
      </w:r>
    </w:p>
    <w:p w:rsidR="005F59DF" w:rsidRDefault="005F59DF">
      <w:pPr>
        <w:pStyle w:val="RKnormal"/>
        <w:tabs>
          <w:tab w:val="clear" w:pos="1843"/>
          <w:tab w:val="left" w:pos="0"/>
        </w:tabs>
        <w:ind w:left="0"/>
      </w:pPr>
    </w:p>
    <w:p w:rsidR="005F59DF" w:rsidRPr="00E648A9" w:rsidRDefault="005F59DF" w:rsidP="00E648A9">
      <w:r>
        <w:t>Ansvarigt departement: Utrikesdepartementet</w:t>
      </w:r>
    </w:p>
    <w:p w:rsidR="005F59DF" w:rsidRDefault="005F59DF">
      <w:pPr>
        <w:pStyle w:val="RKnormal"/>
        <w:tabs>
          <w:tab w:val="clear" w:pos="1843"/>
          <w:tab w:val="left" w:pos="0"/>
        </w:tabs>
        <w:ind w:left="0"/>
      </w:pPr>
    </w:p>
    <w:p w:rsidR="005F59DF" w:rsidRPr="00E648A9" w:rsidRDefault="005F59DF" w:rsidP="00E648A9">
      <w:r>
        <w:t>Ansvarigt statsråd: Birgitta Ohlsson</w:t>
      </w:r>
    </w:p>
    <w:p w:rsidR="005F59DF" w:rsidRDefault="005F59DF">
      <w:pPr>
        <w:pStyle w:val="RKnormal"/>
        <w:tabs>
          <w:tab w:val="clear" w:pos="1843"/>
          <w:tab w:val="left" w:pos="0"/>
        </w:tabs>
        <w:ind w:left="0"/>
      </w:pPr>
    </w:p>
    <w:p w:rsidR="005F59DF" w:rsidRPr="00E648A9" w:rsidRDefault="005F59DF" w:rsidP="00E648A9">
      <w:r>
        <w:t>Godkänd av Coreper II den 12 mars 2013</w:t>
      </w:r>
    </w:p>
    <w:p w:rsidR="005F59DF" w:rsidRDefault="005F59DF">
      <w:pPr>
        <w:pStyle w:val="RKnormal"/>
        <w:tabs>
          <w:tab w:val="clear" w:pos="1843"/>
          <w:tab w:val="left" w:pos="0"/>
        </w:tabs>
        <w:ind w:left="0"/>
      </w:pPr>
    </w:p>
    <w:p w:rsidR="005F59DF" w:rsidRPr="00862C40" w:rsidRDefault="005F59DF" w:rsidP="00862C40">
      <w:pPr>
        <w:rPr>
          <w:lang w:val="en-US"/>
        </w:rPr>
      </w:pPr>
      <w:r w:rsidRPr="00862C40">
        <w:rPr>
          <w:lang w:val="en-US"/>
        </w:rPr>
        <w:t xml:space="preserve">Informationspunkt - föranleder ingen annotering </w:t>
      </w:r>
    </w:p>
    <w:p w:rsidR="005F59DF" w:rsidRPr="00862C40" w:rsidRDefault="005F59DF" w:rsidP="00E648A9">
      <w:pPr>
        <w:pStyle w:val="Heading2"/>
        <w:rPr>
          <w:lang w:val="en-US"/>
        </w:rPr>
      </w:pPr>
      <w:bookmarkStart w:id="62" w:name="_Toc351124540"/>
      <w:r w:rsidRPr="00862C40">
        <w:rPr>
          <w:lang w:val="en-US"/>
        </w:rPr>
        <w:t>6. Case C-602/12 P before the Court of Justice= Appeal brought by Gem-Year Industrial Co. Ltd and Jinn-Well Auto-Parts (Zhejiang) Co. Ltd against the judgement of the General Court of 10 October 2012</w:t>
      </w:r>
      <w:bookmarkEnd w:id="62"/>
    </w:p>
    <w:p w:rsidR="005F59DF" w:rsidRPr="00E648A9" w:rsidRDefault="005F59DF" w:rsidP="00E648A9">
      <w:r>
        <w:t>7079/13</w:t>
      </w:r>
    </w:p>
    <w:p w:rsidR="005F59DF" w:rsidRDefault="005F59DF">
      <w:pPr>
        <w:pStyle w:val="RKnormal"/>
        <w:tabs>
          <w:tab w:val="clear" w:pos="1843"/>
          <w:tab w:val="left" w:pos="0"/>
        </w:tabs>
        <w:ind w:left="0"/>
      </w:pPr>
    </w:p>
    <w:p w:rsidR="005F59DF" w:rsidRPr="00E648A9" w:rsidRDefault="005F59DF" w:rsidP="00E648A9">
      <w:r>
        <w:t>Ansvarigt departement: Utrikesdepartementet</w:t>
      </w:r>
    </w:p>
    <w:p w:rsidR="005F59DF" w:rsidRDefault="005F59DF">
      <w:pPr>
        <w:pStyle w:val="RKnormal"/>
        <w:tabs>
          <w:tab w:val="clear" w:pos="1843"/>
          <w:tab w:val="left" w:pos="0"/>
        </w:tabs>
        <w:ind w:left="0"/>
      </w:pPr>
    </w:p>
    <w:p w:rsidR="005F59DF" w:rsidRPr="00E648A9" w:rsidRDefault="005F59DF" w:rsidP="00E648A9">
      <w:r>
        <w:t>Ansvarigt statsråd: Birgitta Ohlsson</w:t>
      </w:r>
    </w:p>
    <w:p w:rsidR="005F59DF" w:rsidRDefault="005F59DF">
      <w:pPr>
        <w:pStyle w:val="RKnormal"/>
        <w:tabs>
          <w:tab w:val="clear" w:pos="1843"/>
          <w:tab w:val="left" w:pos="0"/>
        </w:tabs>
        <w:ind w:left="0"/>
      </w:pPr>
    </w:p>
    <w:p w:rsidR="005F59DF" w:rsidRPr="00E648A9" w:rsidRDefault="005F59DF" w:rsidP="00E648A9">
      <w:r>
        <w:t>Godkänd av Coreper II den 12 mars 2013</w:t>
      </w:r>
    </w:p>
    <w:p w:rsidR="005F59DF" w:rsidRDefault="005F59DF">
      <w:pPr>
        <w:pStyle w:val="RKnormal"/>
        <w:tabs>
          <w:tab w:val="clear" w:pos="1843"/>
          <w:tab w:val="left" w:pos="0"/>
        </w:tabs>
        <w:ind w:left="0"/>
      </w:pPr>
    </w:p>
    <w:p w:rsidR="005F59DF" w:rsidRPr="00862C40" w:rsidRDefault="005F59DF" w:rsidP="00862C40">
      <w:pPr>
        <w:rPr>
          <w:lang w:val="en-US"/>
        </w:rPr>
      </w:pPr>
      <w:r w:rsidRPr="00862C40">
        <w:rPr>
          <w:lang w:val="en-US"/>
        </w:rPr>
        <w:t xml:space="preserve">Informationspunkt - föranleder ingen annotering </w:t>
      </w:r>
    </w:p>
    <w:p w:rsidR="005F59DF" w:rsidRPr="00862C40" w:rsidRDefault="005F59DF" w:rsidP="00E648A9">
      <w:pPr>
        <w:pStyle w:val="Heading2"/>
        <w:rPr>
          <w:lang w:val="en-US"/>
        </w:rPr>
      </w:pPr>
      <w:bookmarkStart w:id="63" w:name="_Toc351124541"/>
      <w:r w:rsidRPr="00862C40">
        <w:rPr>
          <w:lang w:val="en-US"/>
        </w:rPr>
        <w:t>7. Committee of the Regions</w:t>
      </w:r>
      <w:r>
        <w:rPr>
          <w:lang w:val="en-US"/>
        </w:rPr>
        <w:t xml:space="preserve"> </w:t>
      </w:r>
      <w:r w:rsidRPr="00862C40">
        <w:rPr>
          <w:lang w:val="en-US"/>
        </w:rPr>
        <w:t>= Council Decision appointing an Austrian alternate member of the Committee of the Regions</w:t>
      </w:r>
      <w:bookmarkEnd w:id="63"/>
    </w:p>
    <w:p w:rsidR="005F59DF" w:rsidRPr="00E648A9" w:rsidRDefault="005F59DF" w:rsidP="00E648A9">
      <w:r>
        <w:t>7092/13, 7091/13</w:t>
      </w:r>
    </w:p>
    <w:p w:rsidR="005F59DF" w:rsidRDefault="005F59DF">
      <w:pPr>
        <w:pStyle w:val="RKnormal"/>
        <w:tabs>
          <w:tab w:val="clear" w:pos="1843"/>
          <w:tab w:val="left" w:pos="0"/>
        </w:tabs>
        <w:ind w:left="0"/>
      </w:pPr>
    </w:p>
    <w:p w:rsidR="005F59DF" w:rsidRPr="00E648A9" w:rsidRDefault="005F59DF" w:rsidP="00E648A9">
      <w:r>
        <w:t>Ansvarigt departement: Finansdepartementet</w:t>
      </w:r>
    </w:p>
    <w:p w:rsidR="005F59DF" w:rsidRDefault="005F59DF">
      <w:pPr>
        <w:pStyle w:val="RKnormal"/>
        <w:tabs>
          <w:tab w:val="clear" w:pos="1843"/>
          <w:tab w:val="left" w:pos="0"/>
        </w:tabs>
        <w:ind w:left="0"/>
      </w:pPr>
    </w:p>
    <w:p w:rsidR="005F59DF" w:rsidRPr="00E648A9" w:rsidRDefault="005F59DF" w:rsidP="00E648A9">
      <w:r>
        <w:t>Ansvarigt statsråd: Peter Norman</w:t>
      </w:r>
    </w:p>
    <w:p w:rsidR="005F59DF" w:rsidRDefault="005F59DF">
      <w:pPr>
        <w:pStyle w:val="RKnormal"/>
        <w:tabs>
          <w:tab w:val="clear" w:pos="1843"/>
          <w:tab w:val="left" w:pos="0"/>
        </w:tabs>
        <w:ind w:left="0"/>
      </w:pPr>
    </w:p>
    <w:p w:rsidR="005F59DF" w:rsidRPr="00E648A9" w:rsidRDefault="005F59DF" w:rsidP="00E648A9">
      <w:r>
        <w:t>Godkänd av Coreper II den 12 mars 2013</w:t>
      </w:r>
    </w:p>
    <w:p w:rsidR="005F59DF" w:rsidRDefault="005F59DF">
      <w:pPr>
        <w:pStyle w:val="RKnormal"/>
        <w:tabs>
          <w:tab w:val="clear" w:pos="1843"/>
          <w:tab w:val="left" w:pos="0"/>
        </w:tabs>
        <w:ind w:left="0"/>
      </w:pPr>
    </w:p>
    <w:p w:rsidR="005F59DF" w:rsidRPr="00862C40" w:rsidRDefault="005F59DF" w:rsidP="00E648A9">
      <w:pPr>
        <w:rPr>
          <w:lang w:val="en-US"/>
        </w:rPr>
      </w:pPr>
      <w:r w:rsidRPr="00862C40">
        <w:rPr>
          <w:lang w:val="en-US"/>
        </w:rPr>
        <w:t>Föranleder ingen annotering.</w:t>
      </w:r>
    </w:p>
    <w:p w:rsidR="005F59DF" w:rsidRPr="00862C40" w:rsidRDefault="005F59DF">
      <w:pPr>
        <w:pStyle w:val="RKnormal"/>
        <w:tabs>
          <w:tab w:val="clear" w:pos="1843"/>
          <w:tab w:val="left" w:pos="0"/>
        </w:tabs>
        <w:ind w:left="0"/>
        <w:rPr>
          <w:lang w:val="en-US"/>
        </w:rPr>
      </w:pPr>
      <w:r w:rsidRPr="00862C40">
        <w:rPr>
          <w:lang w:val="en-US"/>
        </w:rPr>
        <w:t xml:space="preserve"> </w:t>
      </w:r>
    </w:p>
    <w:p w:rsidR="005F59DF" w:rsidRPr="00862C40" w:rsidRDefault="005F59DF" w:rsidP="00E648A9">
      <w:pPr>
        <w:pStyle w:val="Heading2"/>
        <w:rPr>
          <w:lang w:val="en-US"/>
        </w:rPr>
      </w:pPr>
      <w:bookmarkStart w:id="64" w:name="_Toc351124542"/>
      <w:r w:rsidRPr="00862C40">
        <w:rPr>
          <w:lang w:val="en-US"/>
        </w:rPr>
        <w:t>8. Committee of the Regions</w:t>
      </w:r>
      <w:r>
        <w:rPr>
          <w:lang w:val="en-US"/>
        </w:rPr>
        <w:t xml:space="preserve"> </w:t>
      </w:r>
      <w:r w:rsidRPr="00862C40">
        <w:rPr>
          <w:lang w:val="en-US"/>
        </w:rPr>
        <w:t>= Council Decision appointing a Spanish member and three Spanish alternate members of the Committee of the Regions</w:t>
      </w:r>
      <w:bookmarkEnd w:id="64"/>
    </w:p>
    <w:p w:rsidR="005F59DF" w:rsidRPr="00E648A9" w:rsidRDefault="005F59DF" w:rsidP="00E648A9">
      <w:r>
        <w:t>7113/13, 7112/13</w:t>
      </w:r>
    </w:p>
    <w:p w:rsidR="005F59DF" w:rsidRDefault="005F59DF">
      <w:pPr>
        <w:pStyle w:val="RKnormal"/>
        <w:tabs>
          <w:tab w:val="clear" w:pos="1843"/>
          <w:tab w:val="left" w:pos="0"/>
        </w:tabs>
        <w:ind w:left="0"/>
      </w:pPr>
    </w:p>
    <w:p w:rsidR="005F59DF" w:rsidRPr="00E648A9" w:rsidRDefault="005F59DF" w:rsidP="00E648A9">
      <w:r>
        <w:t>Ansvarigt departement: Finansdepartementet</w:t>
      </w:r>
    </w:p>
    <w:p w:rsidR="005F59DF" w:rsidRDefault="005F59DF">
      <w:pPr>
        <w:pStyle w:val="RKnormal"/>
        <w:tabs>
          <w:tab w:val="clear" w:pos="1843"/>
          <w:tab w:val="left" w:pos="0"/>
        </w:tabs>
        <w:ind w:left="0"/>
      </w:pPr>
    </w:p>
    <w:p w:rsidR="005F59DF" w:rsidRPr="00E648A9" w:rsidRDefault="005F59DF" w:rsidP="00E648A9">
      <w:r>
        <w:t>Ansvarigt statsråd: Peter Norman</w:t>
      </w:r>
    </w:p>
    <w:p w:rsidR="005F59DF" w:rsidRDefault="005F59DF">
      <w:pPr>
        <w:pStyle w:val="RKnormal"/>
        <w:tabs>
          <w:tab w:val="clear" w:pos="1843"/>
          <w:tab w:val="left" w:pos="0"/>
        </w:tabs>
        <w:ind w:left="0"/>
      </w:pPr>
    </w:p>
    <w:p w:rsidR="005F59DF" w:rsidRPr="00E648A9" w:rsidRDefault="005F59DF" w:rsidP="00E648A9">
      <w:r>
        <w:t>Godkänd av Coreper II den 12 mars 2013</w:t>
      </w:r>
    </w:p>
    <w:p w:rsidR="005F59DF" w:rsidRDefault="005F59DF">
      <w:pPr>
        <w:pStyle w:val="RKnormal"/>
        <w:tabs>
          <w:tab w:val="clear" w:pos="1843"/>
          <w:tab w:val="left" w:pos="0"/>
        </w:tabs>
        <w:ind w:left="0"/>
      </w:pPr>
    </w:p>
    <w:p w:rsidR="005F59DF" w:rsidRPr="00862C40" w:rsidRDefault="005F59DF" w:rsidP="00862C40">
      <w:pPr>
        <w:rPr>
          <w:lang w:val="en-US"/>
        </w:rPr>
      </w:pPr>
      <w:r w:rsidRPr="00862C40">
        <w:rPr>
          <w:lang w:val="en-US"/>
        </w:rPr>
        <w:t xml:space="preserve">Föranleder ingen annotering. </w:t>
      </w:r>
    </w:p>
    <w:p w:rsidR="005F59DF" w:rsidRPr="00862C40" w:rsidRDefault="005F59DF" w:rsidP="00E648A9">
      <w:pPr>
        <w:pStyle w:val="Heading2"/>
        <w:rPr>
          <w:lang w:val="en-US"/>
        </w:rPr>
      </w:pPr>
      <w:bookmarkStart w:id="65" w:name="_Toc351124543"/>
      <w:r w:rsidRPr="00862C40">
        <w:rPr>
          <w:lang w:val="en-US"/>
        </w:rPr>
        <w:t>9. Committee of the Regions</w:t>
      </w:r>
      <w:r>
        <w:rPr>
          <w:lang w:val="en-US"/>
        </w:rPr>
        <w:t xml:space="preserve"> </w:t>
      </w:r>
      <w:r w:rsidRPr="00862C40">
        <w:rPr>
          <w:lang w:val="en-US"/>
        </w:rPr>
        <w:t>= Council Decision appointing two Swedish members and a Swedish alternate member of the Committee of the Regions</w:t>
      </w:r>
      <w:bookmarkEnd w:id="65"/>
    </w:p>
    <w:p w:rsidR="005F59DF" w:rsidRPr="00E648A9" w:rsidRDefault="005F59DF" w:rsidP="00E648A9">
      <w:r>
        <w:t>7266/13, 7264/13</w:t>
      </w:r>
    </w:p>
    <w:p w:rsidR="005F59DF" w:rsidRDefault="005F59DF">
      <w:pPr>
        <w:pStyle w:val="RKnormal"/>
        <w:tabs>
          <w:tab w:val="clear" w:pos="1843"/>
          <w:tab w:val="left" w:pos="0"/>
        </w:tabs>
        <w:ind w:left="0"/>
      </w:pPr>
    </w:p>
    <w:p w:rsidR="005F59DF" w:rsidRPr="00E648A9" w:rsidRDefault="005F59DF" w:rsidP="00E648A9">
      <w:r>
        <w:t>Ansvarigt departement: Finansdepartementet</w:t>
      </w:r>
    </w:p>
    <w:p w:rsidR="005F59DF" w:rsidRDefault="005F59DF">
      <w:pPr>
        <w:pStyle w:val="RKnormal"/>
        <w:tabs>
          <w:tab w:val="clear" w:pos="1843"/>
          <w:tab w:val="left" w:pos="0"/>
        </w:tabs>
        <w:ind w:left="0"/>
      </w:pPr>
    </w:p>
    <w:p w:rsidR="005F59DF" w:rsidRPr="00E648A9" w:rsidRDefault="005F59DF" w:rsidP="00E648A9">
      <w:r>
        <w:t>Ansvarigt statsråd: Peter Norman</w:t>
      </w:r>
    </w:p>
    <w:p w:rsidR="005F59DF" w:rsidRDefault="005F59DF">
      <w:pPr>
        <w:pStyle w:val="RKnormal"/>
        <w:tabs>
          <w:tab w:val="clear" w:pos="1843"/>
          <w:tab w:val="left" w:pos="0"/>
        </w:tabs>
        <w:ind w:left="0"/>
      </w:pPr>
    </w:p>
    <w:p w:rsidR="005F59DF" w:rsidRPr="00E648A9" w:rsidRDefault="005F59DF" w:rsidP="00E648A9">
      <w:r>
        <w:t>Godkänd av Coreper II den 12 mars 2013</w:t>
      </w:r>
    </w:p>
    <w:p w:rsidR="005F59DF" w:rsidRDefault="005F59DF">
      <w:pPr>
        <w:pStyle w:val="RKnormal"/>
        <w:tabs>
          <w:tab w:val="clear" w:pos="1843"/>
          <w:tab w:val="left" w:pos="0"/>
        </w:tabs>
        <w:ind w:left="0"/>
      </w:pPr>
    </w:p>
    <w:p w:rsidR="005F59DF" w:rsidRDefault="005F59DF" w:rsidP="00E648A9">
      <w:r>
        <w:t>Avsikt med behandlingen i rådet:</w:t>
      </w:r>
    </w:p>
    <w:p w:rsidR="005F59DF" w:rsidRDefault="005F59DF" w:rsidP="00E648A9">
      <w:r>
        <w:t xml:space="preserve">Rådet föreslås besluta om nominering.  </w:t>
      </w:r>
    </w:p>
    <w:p w:rsidR="005F59DF" w:rsidRDefault="005F59DF" w:rsidP="00E648A9"/>
    <w:p w:rsidR="005F59DF" w:rsidRDefault="005F59DF" w:rsidP="00E648A9">
      <w:r>
        <w:t>Hur regeringen ställer sig till den blivande A-punkten:</w:t>
      </w:r>
    </w:p>
    <w:p w:rsidR="005F59DF" w:rsidRDefault="005F59DF" w:rsidP="00E648A9">
      <w:r>
        <w:t xml:space="preserve">Regeringen har beslutat om nomineringen och ställer sig således bakom denna.   </w:t>
      </w:r>
    </w:p>
    <w:p w:rsidR="005F59DF" w:rsidRDefault="005F59DF" w:rsidP="00E648A9"/>
    <w:p w:rsidR="005F59DF" w:rsidRDefault="005F59DF" w:rsidP="00E648A9">
      <w:r>
        <w:t>Bakgrund:</w:t>
      </w:r>
    </w:p>
    <w:p w:rsidR="005F59DF" w:rsidRDefault="005F59DF" w:rsidP="00E648A9">
      <w:r>
        <w:t xml:space="preserve">I enlighet med artikel 305 i fördraget om EU:s funktionssätt nomineras nya ledamöter och ersättare i Regionkommittén. Ledamöter och ersättare i Regionkommittén består av politiska företrädare för den regionala och lokala nivån som antingen har valts till ett regionalt eller lokalt organ eller är politiskt ansvariga inför en vald församling. </w:t>
      </w:r>
    </w:p>
    <w:p w:rsidR="005F59DF" w:rsidRDefault="005F59DF" w:rsidP="00E648A9"/>
    <w:p w:rsidR="005F59DF" w:rsidRDefault="005F59DF" w:rsidP="00E648A9">
      <w:r>
        <w:t>Annelie Stark och Tore Hult har avsagt sig uppdraget som ledamot i den svenska delegationen i EU:s regionkommitté. Sveriges Kommuner och landsting (SKL) har i en skrivelse till regeingen föreslagit Tore Hult som ny ordinarie ledamot och Anders Rosén som ny ersättare istället för Tore Hult. Dessutom har SKL föreslagit att Ulrika Carlefall Landergren som ny ordinarie ledamot istället för framlidna Britt-Marie Lövgren.</w:t>
      </w:r>
    </w:p>
    <w:p w:rsidR="005F59DF" w:rsidRDefault="005F59DF" w:rsidP="00E648A9"/>
    <w:p w:rsidR="005F59DF" w:rsidRDefault="005F59DF" w:rsidP="00E648A9">
      <w:r>
        <w:t>Regeringen beslutade den 14 februari 2013 på förslag av SKL att nominera Tore Hult och Ulrika Carlefall Landergren som nya ordinarie ledamöter i Regionkommittén samt Anders Rosen som ny ersättare t.o.m. utgången av Regionkommitténs mandatperiod den 25 januari 2015.</w:t>
      </w:r>
    </w:p>
    <w:p w:rsidR="005F59DF" w:rsidRPr="00862C40" w:rsidRDefault="005F59DF" w:rsidP="00E648A9">
      <w:pPr>
        <w:pStyle w:val="Heading2"/>
        <w:rPr>
          <w:lang w:val="en-US"/>
        </w:rPr>
      </w:pPr>
      <w:bookmarkStart w:id="66" w:name="_Toc351124544"/>
      <w:r w:rsidRPr="00862C40">
        <w:rPr>
          <w:lang w:val="en-US"/>
        </w:rPr>
        <w:t>10. Proposal for a Council Decision on the Union position within the Joint Committee established by the Euro-Mediterranean Interim Association Agreement on Trade and Co-operation between the European Community, of the one part, and the Palestine Liberation Organisation (PLO) for the benefit of the Palestinian Authority (PA) of the West bank and the Gaza Strip, of the other part, with regard to the adoption of a Recommendation on the implementation of the EU-PA ENP Action Plan</w:t>
      </w:r>
      <w:bookmarkEnd w:id="66"/>
    </w:p>
    <w:p w:rsidR="005F59DF" w:rsidRPr="00E648A9" w:rsidRDefault="005F59DF" w:rsidP="00E648A9">
      <w:r>
        <w:t>7221/13, 6995/13, 1851/13</w:t>
      </w:r>
    </w:p>
    <w:p w:rsidR="005F59DF" w:rsidRDefault="005F59DF">
      <w:pPr>
        <w:pStyle w:val="RKnormal"/>
        <w:tabs>
          <w:tab w:val="clear" w:pos="1843"/>
          <w:tab w:val="left" w:pos="0"/>
        </w:tabs>
        <w:ind w:left="0"/>
      </w:pPr>
    </w:p>
    <w:p w:rsidR="005F59DF" w:rsidRPr="00E648A9" w:rsidRDefault="005F59DF" w:rsidP="00E648A9">
      <w:r>
        <w:t>Ansvarigt departement: Utrikesdepartementet</w:t>
      </w:r>
    </w:p>
    <w:p w:rsidR="005F59DF" w:rsidRDefault="005F59DF">
      <w:pPr>
        <w:pStyle w:val="RKnormal"/>
        <w:tabs>
          <w:tab w:val="clear" w:pos="1843"/>
          <w:tab w:val="left" w:pos="0"/>
        </w:tabs>
        <w:ind w:left="0"/>
      </w:pPr>
    </w:p>
    <w:p w:rsidR="005F59DF" w:rsidRPr="00E648A9" w:rsidRDefault="005F59DF" w:rsidP="00E648A9">
      <w:r>
        <w:t>Ansvarigt statsråd: Carl Bildt</w:t>
      </w:r>
    </w:p>
    <w:p w:rsidR="005F59DF" w:rsidRDefault="005F59DF">
      <w:pPr>
        <w:pStyle w:val="RKnormal"/>
        <w:tabs>
          <w:tab w:val="clear" w:pos="1843"/>
          <w:tab w:val="left" w:pos="0"/>
        </w:tabs>
        <w:ind w:left="0"/>
      </w:pPr>
    </w:p>
    <w:p w:rsidR="005F59DF" w:rsidRPr="00E648A9" w:rsidRDefault="005F59DF" w:rsidP="00E648A9">
      <w:r>
        <w:t>Godkänd av Coreper II den 12 mars 2013</w:t>
      </w:r>
    </w:p>
    <w:p w:rsidR="005F59DF" w:rsidRDefault="005F59DF">
      <w:pPr>
        <w:pStyle w:val="RKnormal"/>
        <w:tabs>
          <w:tab w:val="clear" w:pos="1843"/>
          <w:tab w:val="left" w:pos="0"/>
        </w:tabs>
        <w:ind w:left="0"/>
      </w:pPr>
    </w:p>
    <w:p w:rsidR="005F59DF" w:rsidRDefault="005F59DF" w:rsidP="00E648A9">
      <w:r>
        <w:t xml:space="preserve">Avsikt med behandlingen i rådet: </w:t>
      </w:r>
    </w:p>
    <w:p w:rsidR="005F59DF" w:rsidRDefault="005F59DF" w:rsidP="00E648A9">
      <w:r>
        <w:t>Rådet föreslås anta slutsats om antagandet av en ny handlingsplan EU-Palestinska myndigheten (PA).</w:t>
      </w:r>
    </w:p>
    <w:p w:rsidR="005F59DF" w:rsidRDefault="005F59DF" w:rsidP="00E648A9"/>
    <w:p w:rsidR="005F59DF" w:rsidRDefault="005F59DF" w:rsidP="00E648A9">
      <w:r>
        <w:t xml:space="preserve">Hur regeringen ställer sig till den blivande A-punkten: </w:t>
      </w:r>
    </w:p>
    <w:p w:rsidR="005F59DF" w:rsidRDefault="005F59DF" w:rsidP="00E648A9">
      <w:r>
        <w:t>Regeringen avser rösta ja.</w:t>
      </w:r>
    </w:p>
    <w:p w:rsidR="005F59DF" w:rsidRDefault="005F59DF" w:rsidP="00E648A9"/>
    <w:p w:rsidR="005F59DF" w:rsidRDefault="005F59DF" w:rsidP="00E648A9">
      <w:r>
        <w:t xml:space="preserve">Bakgrund: </w:t>
      </w:r>
    </w:p>
    <w:p w:rsidR="005F59DF" w:rsidRPr="00862C40" w:rsidRDefault="005F59DF" w:rsidP="00E648A9">
      <w:pPr>
        <w:rPr>
          <w:lang w:val="en-US"/>
        </w:rPr>
      </w:pPr>
      <w:r>
        <w:t xml:space="preserve">En ny handlingsplan ska antas inom ramen för EU och Palestinas långtgående handelssamarbete som initierades i 1997 genom en ”Interim Association Agreement on trade and cooperation”. I maj 2005 skrevs EU-PA European Neighbourhood Policy (ENP) handlingsplan på för en tre- till femårsperiod. </w:t>
      </w:r>
      <w:r w:rsidRPr="00862C40">
        <w:rPr>
          <w:lang w:val="en-US"/>
        </w:rPr>
        <w:t>Denna ska nu ersättas med en ny handlingsplan.</w:t>
      </w:r>
    </w:p>
    <w:p w:rsidR="005F59DF" w:rsidRPr="00862C40" w:rsidRDefault="005F59DF">
      <w:pPr>
        <w:pStyle w:val="RKnormal"/>
        <w:tabs>
          <w:tab w:val="clear" w:pos="1843"/>
          <w:tab w:val="left" w:pos="0"/>
        </w:tabs>
        <w:ind w:left="0"/>
        <w:rPr>
          <w:lang w:val="en-US"/>
        </w:rPr>
      </w:pPr>
      <w:r w:rsidRPr="00862C40">
        <w:rPr>
          <w:lang w:val="en-US"/>
        </w:rPr>
        <w:t xml:space="preserve"> </w:t>
      </w:r>
    </w:p>
    <w:p w:rsidR="005F59DF" w:rsidRDefault="005F59DF">
      <w:pPr>
        <w:spacing w:line="240" w:lineRule="auto"/>
        <w:rPr>
          <w:rFonts w:ascii="Arial" w:hAnsi="Arial" w:cs="Arial"/>
          <w:b/>
          <w:i/>
          <w:iCs/>
          <w:kern w:val="28"/>
          <w:lang w:val="en-US"/>
        </w:rPr>
      </w:pPr>
      <w:r>
        <w:rPr>
          <w:lang w:val="en-US"/>
        </w:rPr>
        <w:br w:type="page"/>
      </w:r>
    </w:p>
    <w:p w:rsidR="005F59DF" w:rsidRPr="00862C40" w:rsidRDefault="005F59DF" w:rsidP="00E648A9">
      <w:pPr>
        <w:pStyle w:val="Heading2"/>
        <w:rPr>
          <w:lang w:val="en-US"/>
        </w:rPr>
      </w:pPr>
      <w:bookmarkStart w:id="67" w:name="_Toc351124545"/>
      <w:r w:rsidRPr="00862C40">
        <w:rPr>
          <w:lang w:val="en-US"/>
        </w:rPr>
        <w:t>11. Plurilateral agreement on trade in services- Authorisation for the opening of negotiations of a plurilateral agreement on trade in services</w:t>
      </w:r>
      <w:bookmarkEnd w:id="67"/>
    </w:p>
    <w:p w:rsidR="005F59DF" w:rsidRPr="00E648A9" w:rsidRDefault="005F59DF" w:rsidP="00E648A9">
      <w:r>
        <w:t>7026/13, 6891/13, 6897/13</w:t>
      </w:r>
    </w:p>
    <w:p w:rsidR="005F59DF" w:rsidRDefault="005F59DF">
      <w:pPr>
        <w:pStyle w:val="RKnormal"/>
        <w:tabs>
          <w:tab w:val="clear" w:pos="1843"/>
          <w:tab w:val="left" w:pos="0"/>
        </w:tabs>
        <w:ind w:left="0"/>
      </w:pPr>
    </w:p>
    <w:p w:rsidR="005F59DF" w:rsidRPr="00E648A9" w:rsidRDefault="005F59DF" w:rsidP="00E648A9">
      <w:r>
        <w:t>Ansvarigt departement: Utrikesdepartementet</w:t>
      </w:r>
    </w:p>
    <w:p w:rsidR="005F59DF" w:rsidRDefault="005F59DF">
      <w:pPr>
        <w:pStyle w:val="RKnormal"/>
        <w:tabs>
          <w:tab w:val="clear" w:pos="1843"/>
          <w:tab w:val="left" w:pos="0"/>
        </w:tabs>
        <w:ind w:left="0"/>
      </w:pPr>
    </w:p>
    <w:p w:rsidR="005F59DF" w:rsidRPr="00E648A9" w:rsidRDefault="005F59DF" w:rsidP="00E648A9">
      <w:r>
        <w:t>Ansvarigt statsråd: Ewa Björling</w:t>
      </w:r>
    </w:p>
    <w:p w:rsidR="005F59DF" w:rsidRDefault="005F59DF">
      <w:pPr>
        <w:pStyle w:val="RKnormal"/>
        <w:tabs>
          <w:tab w:val="clear" w:pos="1843"/>
          <w:tab w:val="left" w:pos="0"/>
        </w:tabs>
        <w:ind w:left="0"/>
      </w:pPr>
    </w:p>
    <w:p w:rsidR="005F59DF" w:rsidRPr="00E648A9" w:rsidRDefault="005F59DF" w:rsidP="00E648A9">
      <w:r>
        <w:t>Godkänd av Coreper II den 12 mars 2013</w:t>
      </w:r>
    </w:p>
    <w:p w:rsidR="005F59DF" w:rsidRDefault="005F59DF">
      <w:pPr>
        <w:pStyle w:val="RKnormal"/>
        <w:tabs>
          <w:tab w:val="clear" w:pos="1843"/>
          <w:tab w:val="left" w:pos="0"/>
        </w:tabs>
        <w:ind w:left="0"/>
      </w:pPr>
    </w:p>
    <w:p w:rsidR="005F59DF" w:rsidRPr="00E648A9" w:rsidRDefault="005F59DF" w:rsidP="00E648A9">
      <w:r>
        <w:t>Sedan en tid tillbaka diskuterar EU om att inleda förhandlingar om liberaliseringar av tjänstehandel för de länder som är villiga (plurilateralt avtal). EU deltagit i dessa förberedelser i en grupp länder kallad Really Good Friends of Services.  Förhandlingarna ska påbörjas den 18 mars. Kommissionen har lagt ett förslag till förhandlingsdirektiv som har diskuterats i den Handelspolitiska kommittén för tjänster och investeringar (TPCSI) och i den ordinära handelspolitiska kommittén (TPC). EU kan delta i förhandlingarna även utan mandat men det skulle minska EU:s förhandlingsutrymme och möjligen inflytande. Målsättningen är därför att kommissionen ska ha ett mandat till den 18 mars.  Förslaget till förhandlingsdirektiv bygger på överenskommelsen från WTO:s förra ministermöte, från ett papper som tidigare presenterats av Really Good Friends of Services, från EU:s rådslutsatser inför inledandet av WTO:s Doharunda från 1999, från det allmänna tjänstehandelsavtalet (GATS) och från EU:s förhandlingsdirektiv i andra tjänsteförhandlingar inom ramen för bilaterala frihandelsavtal. Regeringen anser att kommissionens förslag till förhandlingsmandat är en god grund för förhandlingarna och kan stödja det i sin nuvarande form. Förhandlingsmandatet omfattar i princip alla sektorer och samtliga leveranssätt vilket är grundläggande för ett brett avtal. Detta innebär att leveranssätt fyra (personrörlighet) också omfattas. Enligt mandatet ska EU inte göra några åtaganden vad gäller audiovisuella tjänster. Även tjänster som tillhandahålls i samband med utövandet av statliga befogenheter är undantagna i enlighet med principerna i GATS. Förhandlingsmandatet omfattar även regelfrågor vilka kan vara av stor ekonomisk betydelse.</w:t>
      </w:r>
    </w:p>
    <w:p w:rsidR="005F59DF" w:rsidRDefault="005F59DF">
      <w:pPr>
        <w:pStyle w:val="RKnormal"/>
        <w:tabs>
          <w:tab w:val="clear" w:pos="1843"/>
          <w:tab w:val="left" w:pos="0"/>
        </w:tabs>
        <w:ind w:left="0"/>
      </w:pPr>
      <w:r>
        <w:t xml:space="preserve"> </w:t>
      </w:r>
    </w:p>
    <w:p w:rsidR="005F59DF" w:rsidRDefault="005F59DF">
      <w:pPr>
        <w:spacing w:line="240" w:lineRule="auto"/>
        <w:rPr>
          <w:rFonts w:ascii="Arial" w:hAnsi="Arial" w:cs="Arial"/>
          <w:b/>
          <w:i/>
          <w:iCs/>
          <w:kern w:val="28"/>
          <w:lang w:val="en-US"/>
        </w:rPr>
      </w:pPr>
      <w:r>
        <w:rPr>
          <w:lang w:val="en-US"/>
        </w:rPr>
        <w:br w:type="page"/>
      </w:r>
    </w:p>
    <w:p w:rsidR="005F59DF" w:rsidRPr="00862C40" w:rsidRDefault="005F59DF" w:rsidP="00E648A9">
      <w:pPr>
        <w:pStyle w:val="Heading2"/>
        <w:rPr>
          <w:lang w:val="en-US"/>
        </w:rPr>
      </w:pPr>
      <w:bookmarkStart w:id="68" w:name="_Toc351124546"/>
      <w:r w:rsidRPr="00862C40">
        <w:rPr>
          <w:lang w:val="en-US"/>
        </w:rPr>
        <w:t>12. Council Decision appointing the European Union Special Representative for the Sahel</w:t>
      </w:r>
      <w:bookmarkEnd w:id="68"/>
    </w:p>
    <w:p w:rsidR="005F59DF" w:rsidRPr="00E648A9" w:rsidRDefault="005F59DF" w:rsidP="00E648A9">
      <w:r>
        <w:t>7254/13, 5884/13, 7372/13</w:t>
      </w:r>
    </w:p>
    <w:p w:rsidR="005F59DF" w:rsidRDefault="005F59DF">
      <w:pPr>
        <w:pStyle w:val="RKnormal"/>
        <w:tabs>
          <w:tab w:val="clear" w:pos="1843"/>
          <w:tab w:val="left" w:pos="0"/>
        </w:tabs>
        <w:ind w:left="0"/>
      </w:pPr>
    </w:p>
    <w:p w:rsidR="005F59DF" w:rsidRPr="00E648A9" w:rsidRDefault="005F59DF" w:rsidP="00E648A9">
      <w:r>
        <w:t>Ansvarigt departement: Utrikesdepartementet</w:t>
      </w:r>
    </w:p>
    <w:p w:rsidR="005F59DF" w:rsidRDefault="005F59DF">
      <w:pPr>
        <w:pStyle w:val="RKnormal"/>
        <w:tabs>
          <w:tab w:val="clear" w:pos="1843"/>
          <w:tab w:val="left" w:pos="0"/>
        </w:tabs>
        <w:ind w:left="0"/>
      </w:pPr>
    </w:p>
    <w:p w:rsidR="005F59DF" w:rsidRPr="00E648A9" w:rsidRDefault="005F59DF" w:rsidP="00E648A9">
      <w:r>
        <w:t>Ansvarigt statsråd: Carl Bildt</w:t>
      </w:r>
    </w:p>
    <w:p w:rsidR="005F59DF" w:rsidRDefault="005F59DF">
      <w:pPr>
        <w:pStyle w:val="RKnormal"/>
        <w:tabs>
          <w:tab w:val="clear" w:pos="1843"/>
          <w:tab w:val="left" w:pos="0"/>
        </w:tabs>
        <w:ind w:left="0"/>
      </w:pPr>
    </w:p>
    <w:p w:rsidR="005F59DF" w:rsidRPr="00E648A9" w:rsidRDefault="005F59DF" w:rsidP="00E648A9">
      <w:r>
        <w:t>Godkänd av Coreper II den 12 mars 2013</w:t>
      </w:r>
    </w:p>
    <w:p w:rsidR="005F59DF" w:rsidRDefault="005F59DF">
      <w:pPr>
        <w:pStyle w:val="RKnormal"/>
        <w:tabs>
          <w:tab w:val="clear" w:pos="1843"/>
          <w:tab w:val="left" w:pos="0"/>
        </w:tabs>
        <w:ind w:left="0"/>
      </w:pPr>
    </w:p>
    <w:p w:rsidR="005F59DF" w:rsidRDefault="005F59DF" w:rsidP="00E648A9">
      <w:r>
        <w:t xml:space="preserve">Coreper uppmanas att godkänna utkastet till rådsbeslut i dokument 5884/13 där Mr. Michel Dominique Reveyrand-de Menthon utses till EUSR för Sahel från och med den 11 mars 2013 till och med den 28 februari 2014. </w:t>
      </w:r>
    </w:p>
    <w:p w:rsidR="005F59DF" w:rsidRDefault="005F59DF" w:rsidP="00E648A9"/>
    <w:p w:rsidR="005F59DF" w:rsidRDefault="005F59DF" w:rsidP="00E648A9">
      <w:r>
        <w:t>Sändebudets mandat omfattar Sahelregionen såsom den definieras i enlighet med EU:s strategi för säkerhet och utveckling i Sahel, och primärt Mali, Mauretanien och Niger. I ett första skede ska sändebudet ge prioritet åt Mali och de regionala dimensionerna av konflikten i landet. EU:s politiska mål syftar till att främja en återgång till fred, försoning, säkerhet och utveckling i Mali.</w:t>
      </w:r>
    </w:p>
    <w:p w:rsidR="005F59DF" w:rsidRDefault="005F59DF" w:rsidP="00E648A9">
      <w:r>
        <w:t xml:space="preserve">Mandat ska baseras på EU:s målsättningar i relation till Sahel och bidra aktivt till regionala och internationella ansträngningar för att uppnå hållbar fred, säkerhet och utveckling i regionen. </w:t>
      </w:r>
    </w:p>
    <w:p w:rsidR="005F59DF" w:rsidRDefault="005F59DF" w:rsidP="00E648A9">
      <w:r>
        <w:t xml:space="preserve">Mandatet innefattar bland annat att </w:t>
      </w:r>
    </w:p>
    <w:p w:rsidR="005F59DF" w:rsidRDefault="005F59DF" w:rsidP="00E648A9">
      <w:r>
        <w:t xml:space="preserve">– aktivt bidra till genomförande, samordning och fortsatt utveckling av EU:s allsidiga angreppssätt i förhållande till den regionala krisen på basis av EU:s strategi för säkerhet och utveckling i Sahel och samordning av alla relevanta instrument för EU-insatser för att därigenom stärka koherens och effektivitet i EU:s olika insatser i Mali och Sahel. </w:t>
      </w:r>
    </w:p>
    <w:p w:rsidR="005F59DF" w:rsidRDefault="005F59DF" w:rsidP="00E648A9">
      <w:r>
        <w:t xml:space="preserve">– nära kontakter med relevanta intressenter i regionen, regeringar, regionala myndigheter, regionala och internationella organisationer, civilsamhället och diaspora för att främja EU:s mål och bidra till en bättre förståelse för Unionen i regionen. </w:t>
      </w:r>
    </w:p>
    <w:p w:rsidR="005F59DF" w:rsidRDefault="005F59DF" w:rsidP="00E648A9">
      <w:r>
        <w:t>– upprätthålla nära samarbete med relevanta internationella och regionala aktörer och på olika sätt representera Unionen i relevanta regionala och internationella fora och agera för förverkligandet av EU:s intressen och målsättningar.</w:t>
      </w:r>
    </w:p>
    <w:p w:rsidR="005F59DF" w:rsidRDefault="005F59DF" w:rsidP="00E648A9">
      <w:r>
        <w:t xml:space="preserve">Avseende Mali ska EUSR Sahel </w:t>
      </w:r>
    </w:p>
    <w:p w:rsidR="005F59DF" w:rsidRDefault="005F59DF" w:rsidP="00E648A9">
      <w:r>
        <w:t xml:space="preserve">– bidra till regionala och internationella ansträngningar för att främja lösningar av krisen, främst genomförandet av färdplanen för den politiska övergångsperioden, fri och transparent valprocess och en trovärdig nationell inkluderande dialog. </w:t>
      </w:r>
    </w:p>
    <w:p w:rsidR="005F59DF" w:rsidRDefault="005F59DF" w:rsidP="00E648A9">
      <w:r>
        <w:t xml:space="preserve">– främja institutionsbyggande säkerhetssektorreform och långsiktigt fredsbyggande och försoning i Mali. </w:t>
      </w:r>
    </w:p>
    <w:p w:rsidR="005F59DF" w:rsidRDefault="005F59DF" w:rsidP="00E648A9">
      <w:r>
        <w:t xml:space="preserve">– samarbeta med och upprätthålla regelbundna kontakter med EUSR för Mänskliga rättigheter samt andra relevanta myndigheter, organisationer och aktörer i Mali och regionen för att främja mänskliga rättigheter och internationell humanitär lag. Bidra till genomförande av Unionens mänskliga rättighetspolicy. </w:t>
      </w:r>
    </w:p>
    <w:p w:rsidR="005F59DF" w:rsidRDefault="005F59DF" w:rsidP="00E648A9">
      <w:r>
        <w:t>- följa upp och rapportera efterlevnaden av relevanta säkerhetsrådsresolutioner</w:t>
      </w:r>
    </w:p>
    <w:p w:rsidR="005F59DF" w:rsidRDefault="005F59DF" w:rsidP="00E648A9">
      <w:r>
        <w:t>EUSR Sahel ska regelbundet rapportera till den Höge Representanten och KUSP.</w:t>
      </w:r>
    </w:p>
    <w:p w:rsidR="005F59DF" w:rsidRDefault="005F59DF" w:rsidP="00E648A9"/>
    <w:p w:rsidR="005F59DF" w:rsidRDefault="005F59DF" w:rsidP="00C214BA">
      <w:r>
        <w:t xml:space="preserve">Efter godkännande i Coreper går dokumentet vidare till rådet för slutligt godkännande den 18 mars. Enligt Rådsbeslutet kommer EUSR Sahel att åtnjuta den högsta ersättningsnivån som förekommer inom EU systemet, AD16. Till följd av att medlemsstaterna inte är eniga ifråga om denna ersättningsnivå kommer beslutet att fattas genom omröstning. UK, NL, BE, DK, EE och SE har i en skriftlig röstförklaring deklarerat avsikten att lägga ner sina röster då man anser att den aktuella lönenivån är för hög. Sverige och övriga röstavstående medlemsstater stöder samtidigt beslutet att utnämna en EUSR för Sahel och har vinnlagt sig om att det gemensamma röstavståendet inte skall utgöra någon blockerande minoritet. </w:t>
      </w:r>
    </w:p>
    <w:p w:rsidR="005F59DF" w:rsidRDefault="005F59DF">
      <w:pPr>
        <w:pStyle w:val="RKnormal"/>
        <w:tabs>
          <w:tab w:val="clear" w:pos="1843"/>
          <w:tab w:val="left" w:pos="0"/>
        </w:tabs>
        <w:ind w:left="0"/>
      </w:pPr>
    </w:p>
    <w:sectPr w:rsidR="005F59DF" w:rsidSect="0002301D">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9DF" w:rsidRDefault="005F59DF">
      <w:r>
        <w:separator/>
      </w:r>
    </w:p>
  </w:endnote>
  <w:endnote w:type="continuationSeparator" w:id="0">
    <w:p w:rsidR="005F59DF" w:rsidRDefault="005F59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DF" w:rsidRDefault="005F59DF">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10</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11</w:t>
    </w:r>
    <w:r>
      <w:rPr>
        <w:rStyle w:val="PageNumber"/>
        <w:sz w:val="16"/>
      </w:rPr>
      <w:fldChar w:fldCharType="end"/>
    </w:r>
    <w:r>
      <w:rPr>
        <w:rStyle w:val="PageNumber"/>
        <w:sz w:val="16"/>
      </w:rPr>
      <w:t>)</w:t>
    </w:r>
  </w:p>
  <w:p w:rsidR="005F59DF" w:rsidRDefault="005F59D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DF" w:rsidRDefault="005F59DF">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11</w:t>
    </w:r>
    <w:r>
      <w:rPr>
        <w:rStyle w:val="PageNumber"/>
        <w:sz w:val="16"/>
      </w:rPr>
      <w:fldChar w:fldCharType="end"/>
    </w:r>
    <w:r>
      <w:rPr>
        <w:rStyle w:val="PageNumber"/>
        <w:sz w:val="16"/>
      </w:rPr>
      <w:t>)</w:t>
    </w:r>
  </w:p>
  <w:p w:rsidR="005F59DF" w:rsidRDefault="005F59D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DF" w:rsidRDefault="005F59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9DF" w:rsidRDefault="005F59DF">
      <w:r>
        <w:separator/>
      </w:r>
    </w:p>
  </w:footnote>
  <w:footnote w:type="continuationSeparator" w:id="0">
    <w:p w:rsidR="005F59DF" w:rsidRDefault="005F59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DF" w:rsidRDefault="005F59DF">
    <w:pPr>
      <w:pStyle w:val="Header"/>
      <w:framePr w:wrap="around" w:vAnchor="text" w:hAnchor="margin" w:xAlign="right" w:y="1"/>
      <w:rPr>
        <w:rStyle w:val="PageNumber"/>
      </w:rPr>
    </w:pPr>
  </w:p>
  <w:p w:rsidR="005F59DF" w:rsidRDefault="005F59DF">
    <w:pPr>
      <w:pStyle w:val="Header"/>
      <w:ind w:right="360"/>
    </w:pPr>
  </w:p>
  <w:p w:rsidR="005F59DF" w:rsidRDefault="005F59D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DF" w:rsidRDefault="005F59DF">
    <w:pPr>
      <w:framePr w:w="2948" w:h="1321" w:hRule="exact" w:wrap="notBeside" w:vAnchor="page" w:hAnchor="page" w:x="1362" w:y="653"/>
    </w:pPr>
    <w:r w:rsidRPr="00262EB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5F59DF" w:rsidRDefault="005F59DF">
    <w:pPr>
      <w:pStyle w:val="Header"/>
    </w:pPr>
  </w:p>
  <w:p w:rsidR="005F59DF" w:rsidRDefault="005F59DF">
    <w:pPr>
      <w:pStyle w:val="Header"/>
      <w:ind w:right="360"/>
    </w:pPr>
  </w:p>
  <w:p w:rsidR="005F59DF" w:rsidRDefault="005F59D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DF" w:rsidRDefault="005F59DF">
    <w:pPr>
      <w:framePr w:w="2948" w:h="1321" w:hRule="exact" w:wrap="notBeside" w:vAnchor="page" w:hAnchor="page" w:x="1362" w:y="653"/>
    </w:pPr>
    <w:r w:rsidRPr="00262EB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5F59DF" w:rsidRDefault="005F59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5FE1CA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E648A9"/>
    <w:rsid w:val="0002301D"/>
    <w:rsid w:val="000F6747"/>
    <w:rsid w:val="001D7262"/>
    <w:rsid w:val="00262EB1"/>
    <w:rsid w:val="00526211"/>
    <w:rsid w:val="005A23F9"/>
    <w:rsid w:val="005C212F"/>
    <w:rsid w:val="005F1820"/>
    <w:rsid w:val="005F59DF"/>
    <w:rsid w:val="00847B54"/>
    <w:rsid w:val="00862C40"/>
    <w:rsid w:val="00936272"/>
    <w:rsid w:val="00A72123"/>
    <w:rsid w:val="00AF0928"/>
    <w:rsid w:val="00B001CC"/>
    <w:rsid w:val="00BA6B91"/>
    <w:rsid w:val="00C214BA"/>
    <w:rsid w:val="00E35906"/>
    <w:rsid w:val="00E648A9"/>
    <w:rsid w:val="00EC3C7C"/>
    <w:rsid w:val="00ED5DCC"/>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01D"/>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02301D"/>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02301D"/>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02301D"/>
    <w:pPr>
      <w:spacing w:after="120" w:line="240" w:lineRule="atLeast"/>
      <w:outlineLvl w:val="2"/>
    </w:pPr>
    <w:rPr>
      <w:b w:val="0"/>
    </w:rPr>
  </w:style>
  <w:style w:type="paragraph" w:styleId="Heading4">
    <w:name w:val="heading 4"/>
    <w:basedOn w:val="Heading3"/>
    <w:next w:val="RKnormal"/>
    <w:link w:val="Heading4Char"/>
    <w:uiPriority w:val="99"/>
    <w:qFormat/>
    <w:rsid w:val="0002301D"/>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02301D"/>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94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C794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C794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C794B"/>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FC794B"/>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02301D"/>
    <w:pPr>
      <w:tabs>
        <w:tab w:val="left" w:pos="1843"/>
        <w:tab w:val="left" w:pos="2835"/>
      </w:tabs>
      <w:spacing w:line="240" w:lineRule="atLeast"/>
      <w:ind w:left="1843"/>
    </w:pPr>
  </w:style>
  <w:style w:type="paragraph" w:customStyle="1" w:styleId="Avsndare">
    <w:name w:val="Avsändare"/>
    <w:basedOn w:val="Normal"/>
    <w:uiPriority w:val="99"/>
    <w:rsid w:val="0002301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02301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C794B"/>
    <w:rPr>
      <w:rFonts w:ascii="OrigGarmnd BT" w:hAnsi="OrigGarmnd BT"/>
      <w:sz w:val="24"/>
      <w:szCs w:val="20"/>
      <w:lang w:eastAsia="en-US"/>
    </w:rPr>
  </w:style>
  <w:style w:type="paragraph" w:styleId="Header">
    <w:name w:val="header"/>
    <w:basedOn w:val="Normal"/>
    <w:link w:val="HeaderChar"/>
    <w:uiPriority w:val="99"/>
    <w:rsid w:val="0002301D"/>
    <w:pPr>
      <w:tabs>
        <w:tab w:val="center" w:pos="4153"/>
        <w:tab w:val="right" w:pos="8306"/>
      </w:tabs>
    </w:pPr>
  </w:style>
  <w:style w:type="character" w:customStyle="1" w:styleId="HeaderChar">
    <w:name w:val="Header Char"/>
    <w:basedOn w:val="DefaultParagraphFont"/>
    <w:link w:val="Header"/>
    <w:uiPriority w:val="99"/>
    <w:semiHidden/>
    <w:rsid w:val="00FC794B"/>
    <w:rPr>
      <w:rFonts w:ascii="OrigGarmnd BT" w:hAnsi="OrigGarmnd BT"/>
      <w:sz w:val="24"/>
      <w:szCs w:val="20"/>
      <w:lang w:eastAsia="en-US"/>
    </w:rPr>
  </w:style>
  <w:style w:type="paragraph" w:customStyle="1" w:styleId="RKrubrik">
    <w:name w:val="RKrubrik"/>
    <w:basedOn w:val="RKnormal"/>
    <w:next w:val="RKnormal"/>
    <w:uiPriority w:val="99"/>
    <w:rsid w:val="0002301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02301D"/>
    <w:rPr>
      <w:rFonts w:cs="Times New Roman"/>
    </w:rPr>
  </w:style>
  <w:style w:type="paragraph" w:styleId="BodyText">
    <w:name w:val="Body Text"/>
    <w:basedOn w:val="Normal"/>
    <w:link w:val="BodyTextChar"/>
    <w:uiPriority w:val="99"/>
    <w:rsid w:val="0002301D"/>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FC794B"/>
    <w:rPr>
      <w:rFonts w:ascii="OrigGarmnd BT" w:hAnsi="OrigGarmnd BT"/>
      <w:sz w:val="24"/>
      <w:szCs w:val="20"/>
      <w:lang w:eastAsia="en-US"/>
    </w:rPr>
  </w:style>
  <w:style w:type="paragraph" w:styleId="FootnoteText">
    <w:name w:val="footnote text"/>
    <w:basedOn w:val="Normal"/>
    <w:link w:val="FootnoteTextChar"/>
    <w:uiPriority w:val="99"/>
    <w:semiHidden/>
    <w:rsid w:val="0002301D"/>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FC794B"/>
    <w:rPr>
      <w:rFonts w:ascii="OrigGarmnd BT" w:hAnsi="OrigGarmnd BT"/>
      <w:sz w:val="20"/>
      <w:szCs w:val="20"/>
      <w:lang w:eastAsia="en-US"/>
    </w:rPr>
  </w:style>
  <w:style w:type="paragraph" w:customStyle="1" w:styleId="UDrubrik">
    <w:name w:val="UDrubrik"/>
    <w:basedOn w:val="Normal"/>
    <w:next w:val="BodyText"/>
    <w:uiPriority w:val="99"/>
    <w:rsid w:val="0002301D"/>
    <w:pPr>
      <w:spacing w:line="320" w:lineRule="exact"/>
    </w:pPr>
    <w:rPr>
      <w:rFonts w:ascii="Arial" w:hAnsi="Arial"/>
      <w:b/>
      <w:sz w:val="22"/>
    </w:rPr>
  </w:style>
  <w:style w:type="paragraph" w:styleId="TOC1">
    <w:name w:val="toc 1"/>
    <w:basedOn w:val="Normal"/>
    <w:next w:val="Normal"/>
    <w:autoRedefine/>
    <w:uiPriority w:val="99"/>
    <w:rsid w:val="0002301D"/>
    <w:pPr>
      <w:spacing w:before="360"/>
    </w:pPr>
    <w:rPr>
      <w:rFonts w:ascii="Arial" w:hAnsi="Arial"/>
      <w:b/>
      <w:bCs/>
      <w:caps/>
      <w:szCs w:val="28"/>
    </w:rPr>
  </w:style>
  <w:style w:type="paragraph" w:styleId="TOC2">
    <w:name w:val="toc 2"/>
    <w:basedOn w:val="Normal"/>
    <w:next w:val="Normal"/>
    <w:autoRedefine/>
    <w:uiPriority w:val="99"/>
    <w:rsid w:val="0002301D"/>
    <w:pPr>
      <w:spacing w:before="240"/>
    </w:pPr>
    <w:rPr>
      <w:rFonts w:ascii="Times New Roman" w:hAnsi="Times New Roman"/>
      <w:b/>
      <w:bCs/>
      <w:szCs w:val="24"/>
    </w:rPr>
  </w:style>
  <w:style w:type="paragraph" w:styleId="TOC3">
    <w:name w:val="toc 3"/>
    <w:basedOn w:val="Normal"/>
    <w:next w:val="Normal"/>
    <w:autoRedefine/>
    <w:uiPriority w:val="99"/>
    <w:semiHidden/>
    <w:rsid w:val="0002301D"/>
    <w:pPr>
      <w:ind w:left="240"/>
    </w:pPr>
    <w:rPr>
      <w:rFonts w:ascii="Times New Roman" w:hAnsi="Times New Roman"/>
      <w:szCs w:val="24"/>
    </w:rPr>
  </w:style>
  <w:style w:type="paragraph" w:styleId="TOC4">
    <w:name w:val="toc 4"/>
    <w:basedOn w:val="Normal"/>
    <w:next w:val="Normal"/>
    <w:autoRedefine/>
    <w:uiPriority w:val="99"/>
    <w:semiHidden/>
    <w:rsid w:val="0002301D"/>
    <w:pPr>
      <w:ind w:left="480"/>
    </w:pPr>
    <w:rPr>
      <w:rFonts w:ascii="Times New Roman" w:hAnsi="Times New Roman"/>
      <w:szCs w:val="24"/>
    </w:rPr>
  </w:style>
  <w:style w:type="paragraph" w:styleId="TOC5">
    <w:name w:val="toc 5"/>
    <w:basedOn w:val="Normal"/>
    <w:next w:val="Normal"/>
    <w:autoRedefine/>
    <w:uiPriority w:val="99"/>
    <w:semiHidden/>
    <w:rsid w:val="0002301D"/>
    <w:pPr>
      <w:ind w:left="720"/>
    </w:pPr>
    <w:rPr>
      <w:rFonts w:ascii="Times New Roman" w:hAnsi="Times New Roman"/>
      <w:szCs w:val="24"/>
    </w:rPr>
  </w:style>
  <w:style w:type="paragraph" w:styleId="TOC6">
    <w:name w:val="toc 6"/>
    <w:basedOn w:val="Normal"/>
    <w:next w:val="Normal"/>
    <w:autoRedefine/>
    <w:uiPriority w:val="99"/>
    <w:semiHidden/>
    <w:rsid w:val="0002301D"/>
    <w:pPr>
      <w:ind w:left="960"/>
    </w:pPr>
    <w:rPr>
      <w:rFonts w:ascii="Times New Roman" w:hAnsi="Times New Roman"/>
      <w:szCs w:val="24"/>
    </w:rPr>
  </w:style>
  <w:style w:type="paragraph" w:styleId="TOC7">
    <w:name w:val="toc 7"/>
    <w:basedOn w:val="Normal"/>
    <w:next w:val="Normal"/>
    <w:autoRedefine/>
    <w:uiPriority w:val="99"/>
    <w:semiHidden/>
    <w:rsid w:val="0002301D"/>
    <w:pPr>
      <w:ind w:left="1200"/>
    </w:pPr>
    <w:rPr>
      <w:rFonts w:ascii="Times New Roman" w:hAnsi="Times New Roman"/>
      <w:szCs w:val="24"/>
    </w:rPr>
  </w:style>
  <w:style w:type="paragraph" w:styleId="TOC8">
    <w:name w:val="toc 8"/>
    <w:basedOn w:val="Normal"/>
    <w:next w:val="Normal"/>
    <w:autoRedefine/>
    <w:uiPriority w:val="99"/>
    <w:semiHidden/>
    <w:rsid w:val="0002301D"/>
    <w:pPr>
      <w:ind w:left="1440"/>
    </w:pPr>
    <w:rPr>
      <w:rFonts w:ascii="Times New Roman" w:hAnsi="Times New Roman"/>
      <w:szCs w:val="24"/>
    </w:rPr>
  </w:style>
  <w:style w:type="paragraph" w:styleId="TOC9">
    <w:name w:val="toc 9"/>
    <w:basedOn w:val="Normal"/>
    <w:next w:val="Normal"/>
    <w:autoRedefine/>
    <w:uiPriority w:val="99"/>
    <w:semiHidden/>
    <w:rsid w:val="0002301D"/>
    <w:pPr>
      <w:ind w:left="1680"/>
    </w:pPr>
    <w:rPr>
      <w:rFonts w:ascii="Times New Roman" w:hAnsi="Times New Roman"/>
      <w:szCs w:val="24"/>
    </w:rPr>
  </w:style>
  <w:style w:type="paragraph" w:customStyle="1" w:styleId="Text1">
    <w:name w:val="Text 1"/>
    <w:basedOn w:val="Normal"/>
    <w:uiPriority w:val="99"/>
    <w:rsid w:val="0002301D"/>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02301D"/>
    <w:rPr>
      <w:rFonts w:cs="Times New Roman"/>
      <w:vertAlign w:val="superscript"/>
    </w:rPr>
  </w:style>
  <w:style w:type="paragraph" w:styleId="Index1">
    <w:name w:val="index 1"/>
    <w:basedOn w:val="Normal"/>
    <w:next w:val="Normal"/>
    <w:autoRedefine/>
    <w:uiPriority w:val="99"/>
    <w:semiHidden/>
    <w:rsid w:val="0002301D"/>
    <w:pPr>
      <w:ind w:left="240" w:hanging="240"/>
    </w:pPr>
    <w:rPr>
      <w:rFonts w:ascii="Times New Roman" w:hAnsi="Times New Roman"/>
      <w:szCs w:val="24"/>
    </w:rPr>
  </w:style>
  <w:style w:type="paragraph" w:styleId="Index2">
    <w:name w:val="index 2"/>
    <w:basedOn w:val="Normal"/>
    <w:next w:val="Normal"/>
    <w:autoRedefine/>
    <w:uiPriority w:val="99"/>
    <w:semiHidden/>
    <w:rsid w:val="0002301D"/>
    <w:pPr>
      <w:ind w:left="480" w:hanging="240"/>
    </w:pPr>
    <w:rPr>
      <w:rFonts w:ascii="Times New Roman" w:hAnsi="Times New Roman"/>
      <w:szCs w:val="24"/>
    </w:rPr>
  </w:style>
  <w:style w:type="paragraph" w:styleId="Index3">
    <w:name w:val="index 3"/>
    <w:basedOn w:val="Normal"/>
    <w:next w:val="Normal"/>
    <w:autoRedefine/>
    <w:uiPriority w:val="99"/>
    <w:semiHidden/>
    <w:rsid w:val="0002301D"/>
    <w:pPr>
      <w:ind w:left="720" w:hanging="240"/>
    </w:pPr>
    <w:rPr>
      <w:rFonts w:ascii="Times New Roman" w:hAnsi="Times New Roman"/>
      <w:szCs w:val="24"/>
    </w:rPr>
  </w:style>
  <w:style w:type="paragraph" w:styleId="Index4">
    <w:name w:val="index 4"/>
    <w:basedOn w:val="Normal"/>
    <w:next w:val="Normal"/>
    <w:autoRedefine/>
    <w:uiPriority w:val="99"/>
    <w:semiHidden/>
    <w:rsid w:val="0002301D"/>
    <w:pPr>
      <w:ind w:left="960" w:hanging="240"/>
    </w:pPr>
    <w:rPr>
      <w:rFonts w:ascii="Times New Roman" w:hAnsi="Times New Roman"/>
      <w:szCs w:val="24"/>
    </w:rPr>
  </w:style>
  <w:style w:type="paragraph" w:styleId="Index5">
    <w:name w:val="index 5"/>
    <w:basedOn w:val="Normal"/>
    <w:next w:val="Normal"/>
    <w:autoRedefine/>
    <w:uiPriority w:val="99"/>
    <w:semiHidden/>
    <w:rsid w:val="0002301D"/>
    <w:pPr>
      <w:ind w:left="1200" w:hanging="240"/>
    </w:pPr>
    <w:rPr>
      <w:rFonts w:ascii="Times New Roman" w:hAnsi="Times New Roman"/>
      <w:szCs w:val="24"/>
    </w:rPr>
  </w:style>
  <w:style w:type="paragraph" w:styleId="Index6">
    <w:name w:val="index 6"/>
    <w:basedOn w:val="Normal"/>
    <w:next w:val="Normal"/>
    <w:autoRedefine/>
    <w:uiPriority w:val="99"/>
    <w:semiHidden/>
    <w:rsid w:val="0002301D"/>
    <w:pPr>
      <w:ind w:left="1440" w:hanging="240"/>
    </w:pPr>
    <w:rPr>
      <w:rFonts w:ascii="Times New Roman" w:hAnsi="Times New Roman"/>
      <w:szCs w:val="24"/>
    </w:rPr>
  </w:style>
  <w:style w:type="paragraph" w:styleId="Index7">
    <w:name w:val="index 7"/>
    <w:basedOn w:val="Normal"/>
    <w:next w:val="Normal"/>
    <w:autoRedefine/>
    <w:uiPriority w:val="99"/>
    <w:semiHidden/>
    <w:rsid w:val="0002301D"/>
    <w:pPr>
      <w:ind w:left="1680" w:hanging="240"/>
    </w:pPr>
    <w:rPr>
      <w:rFonts w:ascii="Times New Roman" w:hAnsi="Times New Roman"/>
      <w:szCs w:val="24"/>
    </w:rPr>
  </w:style>
  <w:style w:type="paragraph" w:styleId="Index8">
    <w:name w:val="index 8"/>
    <w:basedOn w:val="Normal"/>
    <w:next w:val="Normal"/>
    <w:autoRedefine/>
    <w:uiPriority w:val="99"/>
    <w:semiHidden/>
    <w:rsid w:val="0002301D"/>
    <w:pPr>
      <w:ind w:left="1920" w:hanging="240"/>
    </w:pPr>
    <w:rPr>
      <w:rFonts w:ascii="Times New Roman" w:hAnsi="Times New Roman"/>
      <w:szCs w:val="24"/>
    </w:rPr>
  </w:style>
  <w:style w:type="paragraph" w:styleId="Index9">
    <w:name w:val="index 9"/>
    <w:basedOn w:val="Normal"/>
    <w:next w:val="Normal"/>
    <w:autoRedefine/>
    <w:uiPriority w:val="99"/>
    <w:semiHidden/>
    <w:rsid w:val="0002301D"/>
    <w:pPr>
      <w:ind w:left="2160" w:hanging="240"/>
    </w:pPr>
    <w:rPr>
      <w:rFonts w:ascii="Times New Roman" w:hAnsi="Times New Roman"/>
      <w:szCs w:val="24"/>
    </w:rPr>
  </w:style>
  <w:style w:type="paragraph" w:styleId="IndexHeading">
    <w:name w:val="index heading"/>
    <w:basedOn w:val="Normal"/>
    <w:next w:val="Index1"/>
    <w:uiPriority w:val="99"/>
    <w:semiHidden/>
    <w:rsid w:val="0002301D"/>
    <w:pPr>
      <w:spacing w:before="120" w:after="120"/>
    </w:pPr>
    <w:rPr>
      <w:rFonts w:ascii="Times New Roman" w:hAnsi="Times New Roman"/>
      <w:b/>
      <w:bCs/>
      <w:i/>
      <w:iCs/>
      <w:szCs w:val="24"/>
    </w:rPr>
  </w:style>
  <w:style w:type="paragraph" w:customStyle="1" w:styleId="EntEmet">
    <w:name w:val="EntEmet"/>
    <w:basedOn w:val="Normal"/>
    <w:uiPriority w:val="99"/>
    <w:rsid w:val="0002301D"/>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02301D"/>
    <w:pPr>
      <w:spacing w:line="240" w:lineRule="auto"/>
    </w:pPr>
    <w:rPr>
      <w:rFonts w:ascii="Arial" w:hAnsi="Arial"/>
      <w:lang w:val="en-GB"/>
    </w:rPr>
  </w:style>
  <w:style w:type="paragraph" w:customStyle="1" w:styleId="Avsndare0">
    <w:name w:val="Avsndare"/>
    <w:basedOn w:val="Normal"/>
    <w:next w:val="Normal"/>
    <w:uiPriority w:val="99"/>
    <w:rsid w:val="0002301D"/>
    <w:pPr>
      <w:spacing w:line="240" w:lineRule="auto"/>
    </w:pPr>
    <w:rPr>
      <w:rFonts w:ascii="Arial" w:hAnsi="Arial"/>
      <w:i/>
      <w:lang w:val="en-GB"/>
    </w:rPr>
  </w:style>
  <w:style w:type="character" w:styleId="Hyperlink">
    <w:name w:val="Hyperlink"/>
    <w:basedOn w:val="DefaultParagraphFont"/>
    <w:uiPriority w:val="99"/>
    <w:rsid w:val="0002301D"/>
    <w:rPr>
      <w:rFonts w:cs="Times New Roman"/>
      <w:color w:val="0000FF"/>
      <w:u w:val="single"/>
    </w:rPr>
  </w:style>
  <w:style w:type="paragraph" w:styleId="DocumentMap">
    <w:name w:val="Document Map"/>
    <w:basedOn w:val="Normal"/>
    <w:link w:val="DocumentMapChar"/>
    <w:uiPriority w:val="99"/>
    <w:semiHidden/>
    <w:rsid w:val="0002301D"/>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FC794B"/>
    <w:rPr>
      <w:sz w:val="0"/>
      <w:szCs w:val="0"/>
      <w:lang w:eastAsia="en-US"/>
    </w:rPr>
  </w:style>
  <w:style w:type="character" w:styleId="FollowedHyperlink">
    <w:name w:val="FollowedHyperlink"/>
    <w:basedOn w:val="DefaultParagraphFont"/>
    <w:uiPriority w:val="99"/>
    <w:rsid w:val="0002301D"/>
    <w:rPr>
      <w:rFonts w:cs="Times New Roman"/>
      <w:color w:val="800080"/>
      <w:u w:val="single"/>
    </w:rPr>
  </w:style>
  <w:style w:type="paragraph" w:customStyle="1" w:styleId="Par-number10">
    <w:name w:val="Par-number 1)"/>
    <w:basedOn w:val="Normal"/>
    <w:next w:val="Normal"/>
    <w:uiPriority w:val="99"/>
    <w:rsid w:val="0002301D"/>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02301D"/>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02301D"/>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02301D"/>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02301D"/>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02301D"/>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02301D"/>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02301D"/>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02301D"/>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02301D"/>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02301D"/>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02301D"/>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FC794B"/>
    <w:rPr>
      <w:rFonts w:ascii="OrigGarmnd BT" w:hAnsi="OrigGarmnd BT"/>
      <w:sz w:val="20"/>
      <w:szCs w:val="20"/>
      <w:lang w:eastAsia="en-US"/>
    </w:rPr>
  </w:style>
  <w:style w:type="paragraph" w:customStyle="1" w:styleId="EntRefer">
    <w:name w:val="EntRefer"/>
    <w:basedOn w:val="Normal"/>
    <w:uiPriority w:val="99"/>
    <w:rsid w:val="0002301D"/>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02301D"/>
    <w:pPr>
      <w:spacing w:line="240" w:lineRule="auto"/>
    </w:pPr>
    <w:rPr>
      <w:rFonts w:ascii="Times New Roman" w:hAnsi="Times New Roman"/>
      <w:lang w:val="en-GB" w:eastAsia="fr-BE"/>
    </w:rPr>
  </w:style>
  <w:style w:type="paragraph" w:customStyle="1" w:styleId="Tiret1">
    <w:name w:val="Tiret 1"/>
    <w:basedOn w:val="Normal"/>
    <w:uiPriority w:val="99"/>
    <w:rsid w:val="0002301D"/>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02301D"/>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02301D"/>
    <w:pPr>
      <w:overflowPunct w:val="0"/>
      <w:autoSpaceDE w:val="0"/>
      <w:autoSpaceDN w:val="0"/>
      <w:adjustRightInd w:val="0"/>
      <w:ind w:left="1843"/>
      <w:textAlignment w:val="baseline"/>
    </w:pPr>
  </w:style>
  <w:style w:type="paragraph" w:customStyle="1" w:styleId="Brdtext0">
    <w:name w:val="Brˆdtext"/>
    <w:basedOn w:val="Normal"/>
    <w:uiPriority w:val="99"/>
    <w:rsid w:val="0002301D"/>
    <w:pPr>
      <w:spacing w:line="320" w:lineRule="exact"/>
    </w:pPr>
    <w:rPr>
      <w:rFonts w:ascii="Times New Roman" w:hAnsi="Times New Roman"/>
    </w:rPr>
  </w:style>
  <w:style w:type="character" w:customStyle="1" w:styleId="term">
    <w:name w:val="term"/>
    <w:basedOn w:val="DefaultParagraphFont"/>
    <w:uiPriority w:val="99"/>
    <w:rsid w:val="0002301D"/>
    <w:rPr>
      <w:rFonts w:cs="Times New Roman"/>
    </w:rPr>
  </w:style>
  <w:style w:type="paragraph" w:customStyle="1" w:styleId="Brdtexthuvud">
    <w:name w:val="Brödtext huvud"/>
    <w:basedOn w:val="Normal"/>
    <w:uiPriority w:val="99"/>
    <w:rsid w:val="0002301D"/>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E648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648A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2223</Words>
  <Characters>13211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Sofia Wennerstrand</dc:creator>
  <cp:keywords/>
  <dc:description/>
  <cp:lastModifiedBy>ha0808ab</cp:lastModifiedBy>
  <cp:revision>2</cp:revision>
  <cp:lastPrinted>2006-02-01T09:16:00Z</cp:lastPrinted>
  <dcterms:created xsi:type="dcterms:W3CDTF">2013-03-15T14:41:00Z</dcterms:created>
  <dcterms:modified xsi:type="dcterms:W3CDTF">2013-03-15T14:41:00Z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b9ccc7fd-0d05-4fd0-9ce2-d4a2f2c70b81</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JE6N4JFJXNNF-9-54635</vt:lpwstr>
  </property>
  <property fmtid="{D5CDD505-2E9C-101B-9397-08002B2CF9AE}" pid="18" name="_dlc_DocIdUrl">
    <vt:lpwstr>http://rkdhs-sb/enhet/EUKansli/_layouts/DocIdRedir.aspx?ID=JE6N4JFJXNNF-9-54635, JE6N4JFJXNNF-9-54635</vt:lpwstr>
  </property>
</Properties>
</file>