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1415C">
        <w:tblPrEx>
          <w:tblCellMar>
            <w:top w:w="0" w:type="dxa"/>
            <w:bottom w:w="0" w:type="dxa"/>
          </w:tblCellMar>
        </w:tblPrEx>
        <w:trPr>
          <w:cantSplit/>
          <w:trHeight w:hRule="exact" w:val="1260"/>
        </w:trPr>
        <w:tc>
          <w:tcPr>
            <w:tcW w:w="6024" w:type="dxa"/>
            <w:gridSpan w:val="2"/>
            <w:vMerge w:val="restart"/>
          </w:tcPr>
          <w:p w:rsidR="00BC49B6" w:rsidRPr="0071415C" w:rsidRDefault="00BC49B6">
            <w:pPr>
              <w:pStyle w:val="HuvudRubrik"/>
            </w:pPr>
            <w:bookmarkStart w:id="0" w:name="BetänkandeRubrik"/>
            <w:bookmarkEnd w:id="0"/>
            <w:r w:rsidRPr="0071415C">
              <w:t>Trafikutskottets yttrande</w:t>
            </w:r>
            <w:r w:rsidR="0071415C" w:rsidRPr="0071415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51884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C49B6" w:rsidRDefault="00BC49B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47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C49B6" w:rsidRDefault="00BC49B6">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470" r:id="rId9"/>
                              </w:object>
                            </w:r>
                          </w:p>
                        </w:txbxContent>
                      </v:textbox>
                      <w10:wrap anchorx="page" anchory="page"/>
                    </v:shape>
                  </w:pict>
                </mc:Fallback>
              </mc:AlternateContent>
            </w:r>
          </w:p>
          <w:p w:rsidR="00BC49B6" w:rsidRPr="0071415C" w:rsidRDefault="00BC49B6">
            <w:pPr>
              <w:pStyle w:val="HuvudRubrikRad2"/>
            </w:pPr>
            <w:bookmarkStart w:id="17" w:name="BetänkandeNr"/>
            <w:bookmarkEnd w:id="17"/>
            <w:r w:rsidRPr="0071415C">
              <w:t>1998/99:TU2y</w:t>
            </w:r>
          </w:p>
          <w:p w:rsidR="00BC49B6" w:rsidRPr="0071415C" w:rsidRDefault="00BC49B6">
            <w:pPr>
              <w:pStyle w:val="BetnkandeRubrik"/>
            </w:pPr>
            <w:bookmarkStart w:id="18" w:name="Huvudrubrik"/>
            <w:bookmarkEnd w:id="18"/>
            <w:r w:rsidRPr="0071415C">
              <w:t>Tilläggsbudget till statsbudgeten för budgetåret 1999 (utg.omr. 22 Kommunikationer)</w:t>
            </w:r>
          </w:p>
        </w:tc>
        <w:tc>
          <w:tcPr>
            <w:tcW w:w="1559" w:type="dxa"/>
            <w:tcBorders>
              <w:bottom w:val="nil"/>
            </w:tcBorders>
          </w:tcPr>
          <w:p w:rsidR="00BC49B6" w:rsidRPr="0071415C" w:rsidRDefault="00BC49B6">
            <w:pPr>
              <w:spacing w:before="0" w:line="230" w:lineRule="auto"/>
              <w:rPr>
                <w:sz w:val="24"/>
              </w:rPr>
            </w:pPr>
          </w:p>
        </w:tc>
      </w:tr>
      <w:tr w:rsidR="00000000" w:rsidRPr="0071415C">
        <w:tblPrEx>
          <w:tblCellMar>
            <w:top w:w="0" w:type="dxa"/>
            <w:bottom w:w="0" w:type="dxa"/>
          </w:tblCellMar>
        </w:tblPrEx>
        <w:trPr>
          <w:cantSplit/>
          <w:trHeight w:hRule="exact" w:val="240"/>
        </w:trPr>
        <w:tc>
          <w:tcPr>
            <w:tcW w:w="6024" w:type="dxa"/>
            <w:gridSpan w:val="2"/>
            <w:vMerge/>
            <w:tcBorders>
              <w:top w:val="nil"/>
              <w:bottom w:val="nil"/>
            </w:tcBorders>
          </w:tcPr>
          <w:p w:rsidR="00BC49B6" w:rsidRPr="0071415C" w:rsidRDefault="00BC49B6">
            <w:pPr>
              <w:spacing w:before="40" w:after="900" w:line="280" w:lineRule="exact"/>
              <w:jc w:val="left"/>
              <w:rPr>
                <w:sz w:val="28"/>
              </w:rPr>
            </w:pPr>
          </w:p>
        </w:tc>
        <w:tc>
          <w:tcPr>
            <w:tcW w:w="1559" w:type="dxa"/>
          </w:tcPr>
          <w:p w:rsidR="00BC49B6" w:rsidRPr="0071415C" w:rsidRDefault="00BC49B6">
            <w:pPr>
              <w:pStyle w:val="rtal"/>
            </w:pPr>
            <w:r w:rsidRPr="0071415C">
              <w:t>1998/99</w:t>
            </w:r>
          </w:p>
        </w:tc>
      </w:tr>
      <w:tr w:rsidR="00000000" w:rsidRPr="0071415C">
        <w:tblPrEx>
          <w:tblCellMar>
            <w:top w:w="0" w:type="dxa"/>
            <w:bottom w:w="0" w:type="dxa"/>
          </w:tblCellMar>
        </w:tblPrEx>
        <w:trPr>
          <w:cantSplit/>
          <w:trHeight w:val="560"/>
        </w:trPr>
        <w:tc>
          <w:tcPr>
            <w:tcW w:w="6024" w:type="dxa"/>
            <w:gridSpan w:val="2"/>
            <w:vMerge/>
            <w:tcBorders>
              <w:top w:val="nil"/>
              <w:bottom w:val="single" w:sz="6" w:space="0" w:color="auto"/>
            </w:tcBorders>
          </w:tcPr>
          <w:p w:rsidR="00BC49B6" w:rsidRPr="0071415C" w:rsidRDefault="00BC49B6">
            <w:pPr>
              <w:spacing w:before="40" w:after="900" w:line="280" w:lineRule="exact"/>
              <w:jc w:val="left"/>
              <w:rPr>
                <w:sz w:val="28"/>
              </w:rPr>
            </w:pPr>
          </w:p>
        </w:tc>
        <w:tc>
          <w:tcPr>
            <w:tcW w:w="1559" w:type="dxa"/>
            <w:tcBorders>
              <w:bottom w:val="single" w:sz="6" w:space="0" w:color="auto"/>
            </w:tcBorders>
          </w:tcPr>
          <w:p w:rsidR="00BC49B6" w:rsidRPr="0071415C" w:rsidRDefault="00BC49B6">
            <w:pPr>
              <w:pStyle w:val="rtal"/>
            </w:pPr>
            <w:r w:rsidRPr="0071415C">
              <w:t>TU2y</w:t>
            </w:r>
          </w:p>
        </w:tc>
      </w:tr>
      <w:tr w:rsidR="00000000" w:rsidRPr="0071415C">
        <w:tblPrEx>
          <w:tblCellMar>
            <w:top w:w="0" w:type="dxa"/>
            <w:bottom w:w="0" w:type="dxa"/>
          </w:tblCellMar>
        </w:tblPrEx>
        <w:trPr>
          <w:cantSplit/>
          <w:trHeight w:hRule="exact" w:val="660"/>
        </w:trPr>
        <w:tc>
          <w:tcPr>
            <w:tcW w:w="3012" w:type="dxa"/>
          </w:tcPr>
          <w:p w:rsidR="00BC49B6" w:rsidRPr="0071415C" w:rsidRDefault="00BC49B6">
            <w:pPr>
              <w:pStyle w:val="StatusSida1"/>
            </w:pPr>
          </w:p>
        </w:tc>
        <w:tc>
          <w:tcPr>
            <w:tcW w:w="3012" w:type="dxa"/>
          </w:tcPr>
          <w:p w:rsidR="00BC49B6" w:rsidRPr="0071415C" w:rsidRDefault="00BC49B6">
            <w:pPr>
              <w:pStyle w:val="UtskriftsdatumSida1"/>
              <w:rPr>
                <w:b/>
                <w:sz w:val="28"/>
              </w:rPr>
            </w:pPr>
          </w:p>
        </w:tc>
        <w:tc>
          <w:tcPr>
            <w:tcW w:w="1559" w:type="dxa"/>
          </w:tcPr>
          <w:p w:rsidR="00BC49B6" w:rsidRPr="0071415C" w:rsidRDefault="00BC49B6"/>
        </w:tc>
      </w:tr>
    </w:tbl>
    <w:p w:rsidR="00BC49B6" w:rsidRPr="0071415C" w:rsidRDefault="00BC49B6">
      <w:pPr>
        <w:pStyle w:val="R1"/>
        <w:spacing w:before="123"/>
      </w:pPr>
      <w:bookmarkStart w:id="19" w:name="_Toc448803159"/>
      <w:r w:rsidRPr="0071415C">
        <w:t>Till finansutskottet</w:t>
      </w:r>
      <w:bookmarkEnd w:id="19"/>
    </w:p>
    <w:p w:rsidR="00BC49B6" w:rsidRPr="0071415C" w:rsidRDefault="00BC49B6">
      <w:bookmarkStart w:id="20" w:name="Textstart"/>
      <w:bookmarkEnd w:id="20"/>
      <w:r w:rsidRPr="0071415C">
        <w:t>Finansutskottet beslöt den 15 april 1999 att bereda övriga utskott tillfälle att yttra sig över 1999 års ekonomiska vårproposition (1998/99:100) i vad avser tilläggsbudget till statsbudgeten för budgetåret 1999 (yrkandena 6–24) jämte de motioner som kan komma att väckas, allt i de delar som berör respektive utskotts beredningsområde.</w:t>
      </w:r>
    </w:p>
    <w:p w:rsidR="00BC49B6" w:rsidRPr="0071415C" w:rsidRDefault="00BC49B6">
      <w:r w:rsidRPr="0071415C">
        <w:t>I detta yttrande behandlar trafikutskottet yrkandena 18–20 och 24 i propos</w:t>
      </w:r>
      <w:r w:rsidRPr="0071415C">
        <w:t>i</w:t>
      </w:r>
      <w:r w:rsidRPr="0071415C">
        <w:t>tionens förslag till riksdagsbeslut, i de delar som avser trafikutskottets bere</w:t>
      </w:r>
      <w:r w:rsidRPr="0071415C">
        <w:t>d</w:t>
      </w:r>
      <w:r w:rsidRPr="0071415C">
        <w:t>ningsområde.</w:t>
      </w:r>
    </w:p>
    <w:p w:rsidR="00BC49B6" w:rsidRPr="0071415C" w:rsidRDefault="00BC49B6">
      <w:r w:rsidRPr="0071415C">
        <w:t>Regeringen (Finansdepartementet) föreslår i propositionen, såvitt avser till-läggsbudget till statsbudgeten för budgetåret 1999</w:t>
      </w:r>
    </w:p>
    <w:p w:rsidR="00BC49B6" w:rsidRPr="0071415C" w:rsidRDefault="00BC49B6">
      <w:pPr>
        <w:pStyle w:val="Normaltindrag"/>
      </w:pPr>
      <w:r w:rsidRPr="0071415C">
        <w:t>18. att riksdagen bemyndigar regeringen att ge Statens Järnvägar rätt att   ta upp lån i och utanför Riksgäldskontoret inom en total ram om                      10 700 000 000 kronor,</w:t>
      </w:r>
    </w:p>
    <w:p w:rsidR="00BC49B6" w:rsidRPr="0071415C" w:rsidRDefault="00BC49B6">
      <w:pPr>
        <w:pStyle w:val="Normaltindrag"/>
      </w:pPr>
      <w:r w:rsidRPr="0071415C">
        <w:t>19. att riksdagen bemyndigar regeringen att inom ramen för det under u</w:t>
      </w:r>
      <w:r w:rsidRPr="0071415C">
        <w:t>t</w:t>
      </w:r>
      <w:r w:rsidRPr="0071415C">
        <w:t>giftsområde 22 Kommunikationer uppförda ramanslaget A 4 Banhållning göra utfästelser om att till Botniabanan AB betala ersättning som täcker driftskostnader och amorteringar samt räntekostnader och andra finansiella kostn</w:t>
      </w:r>
      <w:r w:rsidRPr="0071415C">
        <w:t>a</w:t>
      </w:r>
      <w:r w:rsidRPr="0071415C">
        <w:t>der,</w:t>
      </w:r>
    </w:p>
    <w:p w:rsidR="00BC49B6" w:rsidRPr="0071415C" w:rsidRDefault="00BC49B6">
      <w:pPr>
        <w:pStyle w:val="Normaltindrag"/>
      </w:pPr>
      <w:r w:rsidRPr="0071415C">
        <w:t>20. att riksdagen bemyndigar regeringen att besluta om förändrad ver</w:t>
      </w:r>
      <w:r w:rsidRPr="0071415C">
        <w:t>k</w:t>
      </w:r>
      <w:r w:rsidRPr="0071415C">
        <w:t>samhetsinriktning för Postgirot Bank AB samt besluta om en försäljning av Postgirot Bank AB,</w:t>
      </w:r>
    </w:p>
    <w:p w:rsidR="00BC49B6" w:rsidRPr="0071415C" w:rsidRDefault="00BC49B6">
      <w:pPr>
        <w:pStyle w:val="Normaltindrag"/>
      </w:pPr>
      <w:r w:rsidRPr="0071415C">
        <w:t>24. att riksdagen på tilläggsbudget till statsbudgeten för budgetåret 1999 godkänner ändrade ramar för utgiftsområden samt anvisar ändrade och nya anslag i enlighet med specifikation i tabell på s. 43–44 i propositionen.</w:t>
      </w:r>
    </w:p>
    <w:p w:rsidR="00BC49B6" w:rsidRPr="0071415C" w:rsidRDefault="00BC49B6">
      <w:r w:rsidRPr="0071415C">
        <w:t>Vidare behandlar utskottet följande motioner:</w:t>
      </w:r>
    </w:p>
    <w:p w:rsidR="00BC49B6" w:rsidRPr="0071415C" w:rsidRDefault="00BC49B6">
      <w:pPr>
        <w:spacing w:before="0"/>
      </w:pPr>
      <w:r w:rsidRPr="0071415C">
        <w:t>– 1998/99:Fi17 yrkande 8 av Lars Leijonborg m.fl. (fp),</w:t>
      </w:r>
    </w:p>
    <w:p w:rsidR="00BC49B6" w:rsidRPr="0071415C" w:rsidRDefault="00BC49B6">
      <w:pPr>
        <w:spacing w:before="0"/>
      </w:pPr>
      <w:r w:rsidRPr="0071415C">
        <w:t>– 1998/99:Fi19 av Yvonne Ångström (fp),</w:t>
      </w:r>
    </w:p>
    <w:p w:rsidR="00BC49B6" w:rsidRPr="0071415C" w:rsidRDefault="00BC49B6">
      <w:pPr>
        <w:spacing w:before="0"/>
      </w:pPr>
      <w:r w:rsidRPr="0071415C">
        <w:t>– 1998/99:Fi28 av Per-Richard Molén m.fl. (m).</w:t>
      </w:r>
    </w:p>
    <w:p w:rsidR="00BC49B6" w:rsidRPr="0071415C" w:rsidRDefault="00BC49B6">
      <w:pPr>
        <w:pStyle w:val="Normaltindrag"/>
      </w:pPr>
    </w:p>
    <w:p w:rsidR="00BC49B6" w:rsidRPr="0071415C" w:rsidRDefault="00BC49B6">
      <w:pPr>
        <w:pStyle w:val="R2"/>
      </w:pPr>
      <w:bookmarkStart w:id="21" w:name="_Toc448803160"/>
      <w:r w:rsidRPr="0071415C">
        <w:lastRenderedPageBreak/>
        <w:t>1 Anslagsfrågor</w:t>
      </w:r>
      <w:bookmarkEnd w:id="21"/>
    </w:p>
    <w:p w:rsidR="00BC49B6" w:rsidRPr="0071415C" w:rsidRDefault="00BC49B6">
      <w:pPr>
        <w:pStyle w:val="R3"/>
        <w:spacing w:before="123"/>
      </w:pPr>
      <w:r w:rsidRPr="0071415C">
        <w:t>1.1 Utgiftsbegränsande åtgärder 1999</w:t>
      </w:r>
    </w:p>
    <w:p w:rsidR="00BC49B6" w:rsidRPr="0071415C" w:rsidRDefault="00BC49B6">
      <w:r w:rsidRPr="0071415C">
        <w:t>I 42 § lagen (1996:1059) om statsbudgeten stadgas att regeringen, om det finns risk för att ett beslutat tak för statens utgifter kommer att överskridas, skall vidta sådana åtgärder som den har befogenhet till eller föreslå riksdagen lämpliga åtgärder. Vidare framgår av 8 § samma lag att regeringen får b</w:t>
      </w:r>
      <w:r w:rsidRPr="0071415C">
        <w:t>e</w:t>
      </w:r>
      <w:r w:rsidRPr="0071415C">
        <w:t>sluta att medel på ett anvisat anslag inte skall användas, om detta är motiv</w:t>
      </w:r>
      <w:r w:rsidRPr="0071415C">
        <w:t>e</w:t>
      </w:r>
      <w:r w:rsidRPr="0071415C">
        <w:t>rat av särskilda omständigheter i en verksamhet eller av statsfinansiella eller andra samhäll</w:t>
      </w:r>
      <w:r w:rsidRPr="0071415C">
        <w:t>s</w:t>
      </w:r>
      <w:r w:rsidRPr="0071415C">
        <w:t xml:space="preserve">ekonomiska skäl. </w:t>
      </w:r>
    </w:p>
    <w:p w:rsidR="00BC49B6" w:rsidRPr="0071415C" w:rsidRDefault="00BC49B6">
      <w:pPr>
        <w:pStyle w:val="Normaltindrag"/>
      </w:pPr>
      <w:r w:rsidRPr="0071415C">
        <w:t>I propositionen (avsnitt 5.3.1) konstaterar regeringen att utgiftstaket för staten år 1999 enligt Ekonomistyrningsverkets senaste prognos kommer att överskridas med 6,7 miljarder kronor. Regeringen säger sig dela Ekon</w:t>
      </w:r>
      <w:r w:rsidRPr="0071415C">
        <w:t>o</w:t>
      </w:r>
      <w:r w:rsidRPr="0071415C">
        <w:t>mistyrningsverkets bedömning angående risken för överskridande. Därför vidtar regeringen med stöd av bestämmelserna i lagen om statsbudgeten utgiftsbegränsande åtgärder för år 1999, motsvarande totalt ca 8 miljarder kronor. Åtgärderna är av två slag, besparingar och utgiftsreduktioner som uppkommer till följd av införandet av s.k. begränsningsbelopp för anslag</w:t>
      </w:r>
      <w:r w:rsidRPr="0071415C">
        <w:t>s</w:t>
      </w:r>
      <w:r w:rsidRPr="0071415C">
        <w:t>förbrukningen på vissa anslag. Begränsningsbeloppens syfte är att säkerställa att anslagsförbrukningen år 1999 inte överstiger en viss bestämd nivå.</w:t>
      </w:r>
      <w:r w:rsidRPr="0071415C">
        <w:t xml:space="preserve"> Besp</w:t>
      </w:r>
      <w:r w:rsidRPr="0071415C">
        <w:t>a</w:t>
      </w:r>
      <w:r w:rsidRPr="0071415C">
        <w:t>ringarna uppgår till totalt ca 4,2 miljarder kronor. Effekten av begränsning</w:t>
      </w:r>
      <w:r w:rsidRPr="0071415C">
        <w:t>s</w:t>
      </w:r>
      <w:r w:rsidRPr="0071415C">
        <w:t xml:space="preserve">beloppen beräknas till ca 3,7 miljarder  kronor. </w:t>
      </w:r>
    </w:p>
    <w:p w:rsidR="00BC49B6" w:rsidRPr="0071415C" w:rsidRDefault="00BC49B6">
      <w:r w:rsidRPr="0071415C">
        <w:t>Inom utgiftsområde 22 Kommunikationer redovisas besparingar om 500 miljoner kronor, avseende anslaget A 2 Väghållning och statsbidrag. Reg</w:t>
      </w:r>
      <w:r w:rsidRPr="0071415C">
        <w:t>e</w:t>
      </w:r>
      <w:r w:rsidRPr="0071415C">
        <w:t>ringen har innehållit 500 miljoner kronor av Vägverkets anslag för år 1999. Som redovisades i budgetpropositionen för år 1999 (utg.omr. 22, s. 37) var regeringens avsikt att beloppet vid behov, och om riksdagen så medgav, skulle tillföras Banverket som redovisat ett stort anslagsbehov. Eljest borde dispositionsrätten övergå till Vägverket. Den sparåtgärd som redovisas i den nu behandlade vårpropositionen innebär att varken Banverket eller Vägve</w:t>
      </w:r>
      <w:r w:rsidRPr="0071415C">
        <w:t>r</w:t>
      </w:r>
      <w:r w:rsidRPr="0071415C">
        <w:t xml:space="preserve">ket kommer i åtnjutande av medlen. </w:t>
      </w:r>
    </w:p>
    <w:p w:rsidR="00BC49B6" w:rsidRPr="0071415C" w:rsidRDefault="00BC49B6">
      <w:r w:rsidRPr="0071415C">
        <w:t>Begränsningsbelopp har ino</w:t>
      </w:r>
      <w:r w:rsidRPr="0071415C">
        <w:t>m utgiftsområde 22 införts för två anslag, näml</w:t>
      </w:r>
      <w:r w:rsidRPr="0071415C">
        <w:t>i</w:t>
      </w:r>
      <w:r w:rsidRPr="0071415C">
        <w:t>gen A 2 Väghållning och statsbidrag med 11 895 miljoner kronor och A 4 Banverket: Banhållning 7 290 miljoner kronor. För Vägverkets del innebär begränsningsbeloppet en minskad flexibilitet i verksamheten. Vad gäller Banverket torde, enligt vad utskottet inhämtat, begränsningsbeloppet inte innebära någon verksamhetsmässig begränsning.</w:t>
      </w:r>
    </w:p>
    <w:p w:rsidR="00BC49B6" w:rsidRPr="0071415C" w:rsidRDefault="00BC49B6">
      <w:pPr>
        <w:pStyle w:val="R3"/>
      </w:pPr>
      <w:bookmarkStart w:id="22" w:name="_Toc448803161"/>
      <w:r w:rsidRPr="0071415C">
        <w:t>1.2 Regeringens förslag</w:t>
      </w:r>
      <w:bookmarkEnd w:id="22"/>
    </w:p>
    <w:p w:rsidR="00BC49B6" w:rsidRPr="0071415C" w:rsidRDefault="00BC49B6">
      <w:r w:rsidRPr="0071415C">
        <w:t>Regeringen föreslår (yrkande 24) att riksdagen på tilläggsbudget till stat</w:t>
      </w:r>
      <w:r w:rsidRPr="0071415C">
        <w:t>s</w:t>
      </w:r>
      <w:r w:rsidRPr="0071415C">
        <w:t xml:space="preserve">budgeten för budgetåret 1999 godkänner ändrade ramar för utgiftsområden samt anvisar ändrade och nya anslag i enlighet med specifikation i tabell. </w:t>
      </w:r>
    </w:p>
    <w:p w:rsidR="00BC49B6" w:rsidRPr="0071415C" w:rsidRDefault="00BC49B6">
      <w:pPr>
        <w:pStyle w:val="Normaltindrag"/>
      </w:pPr>
      <w:r w:rsidRPr="0071415C">
        <w:t>I fråga om utgiftsområde 22 Kommunikationer har tabellen följande inn</w:t>
      </w:r>
      <w:r w:rsidRPr="0071415C">
        <w:t>e</w:t>
      </w:r>
      <w:r w:rsidRPr="0071415C">
        <w:t xml:space="preserve">håll. </w:t>
      </w:r>
    </w:p>
    <w:p w:rsidR="00BC49B6" w:rsidRPr="0071415C" w:rsidRDefault="00BC49B6">
      <w:pPr>
        <w:pStyle w:val="Normaltindrag"/>
        <w:rPr>
          <w:i/>
        </w:rPr>
      </w:pPr>
    </w:p>
    <w:p w:rsidR="00BC49B6" w:rsidRPr="0071415C" w:rsidRDefault="00BC49B6">
      <w:pPr>
        <w:rPr>
          <w:i/>
        </w:rPr>
      </w:pPr>
      <w:r w:rsidRPr="0071415C">
        <w:rPr>
          <w:i/>
        </w:rPr>
        <w:t>Tusental kronor</w:t>
      </w:r>
    </w:p>
    <w:p w:rsidR="00BC49B6" w:rsidRPr="0071415C" w:rsidRDefault="00BC49B6">
      <w:pPr>
        <w:pStyle w:val="Normaltindrag"/>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850"/>
        <w:gridCol w:w="1701"/>
        <w:gridCol w:w="851"/>
        <w:gridCol w:w="992"/>
        <w:gridCol w:w="851"/>
      </w:tblGrid>
      <w:tr w:rsidR="00000000" w:rsidRPr="0071415C">
        <w:tblPrEx>
          <w:tblCellMar>
            <w:top w:w="0" w:type="dxa"/>
            <w:bottom w:w="0" w:type="dxa"/>
          </w:tblCellMar>
        </w:tblPrEx>
        <w:tc>
          <w:tcPr>
            <w:tcW w:w="851" w:type="dxa"/>
          </w:tcPr>
          <w:p w:rsidR="00BC49B6" w:rsidRPr="0071415C" w:rsidRDefault="00BC49B6">
            <w:pPr>
              <w:pStyle w:val="Citat"/>
            </w:pPr>
            <w:r w:rsidRPr="0071415C">
              <w:t>Utg.omr.</w:t>
            </w:r>
          </w:p>
        </w:tc>
        <w:tc>
          <w:tcPr>
            <w:tcW w:w="850" w:type="dxa"/>
          </w:tcPr>
          <w:p w:rsidR="00BC49B6" w:rsidRPr="0071415C" w:rsidRDefault="00BC49B6">
            <w:pPr>
              <w:pStyle w:val="Citat"/>
            </w:pPr>
            <w:r w:rsidRPr="0071415C">
              <w:t>A</w:t>
            </w:r>
            <w:r w:rsidRPr="0071415C">
              <w:t>n</w:t>
            </w:r>
            <w:r w:rsidRPr="0071415C">
              <w:t>slags-</w:t>
            </w:r>
          </w:p>
          <w:p w:rsidR="00BC49B6" w:rsidRPr="0071415C" w:rsidRDefault="00BC49B6">
            <w:pPr>
              <w:pStyle w:val="Citat"/>
              <w:spacing w:before="0"/>
            </w:pPr>
            <w:r w:rsidRPr="0071415C">
              <w:t>nu</w:t>
            </w:r>
            <w:r w:rsidRPr="0071415C">
              <w:t>m</w:t>
            </w:r>
            <w:r w:rsidRPr="0071415C">
              <w:t xml:space="preserve">mer </w:t>
            </w:r>
          </w:p>
        </w:tc>
        <w:tc>
          <w:tcPr>
            <w:tcW w:w="1701" w:type="dxa"/>
          </w:tcPr>
          <w:p w:rsidR="00BC49B6" w:rsidRPr="0071415C" w:rsidRDefault="00BC49B6">
            <w:pPr>
              <w:pStyle w:val="Citat"/>
            </w:pPr>
          </w:p>
        </w:tc>
        <w:tc>
          <w:tcPr>
            <w:tcW w:w="851" w:type="dxa"/>
          </w:tcPr>
          <w:p w:rsidR="00BC49B6" w:rsidRPr="0071415C" w:rsidRDefault="00BC49B6">
            <w:pPr>
              <w:pStyle w:val="Citat"/>
            </w:pPr>
            <w:r w:rsidRPr="0071415C">
              <w:t>Belopp enligt stat</w:t>
            </w:r>
            <w:r w:rsidRPr="0071415C">
              <w:t>s</w:t>
            </w:r>
            <w:r w:rsidRPr="0071415C">
              <w:t>budget 1999</w:t>
            </w:r>
          </w:p>
          <w:p w:rsidR="00BC49B6" w:rsidRPr="0071415C" w:rsidRDefault="00BC49B6">
            <w:pPr>
              <w:spacing w:before="0"/>
            </w:pPr>
          </w:p>
        </w:tc>
        <w:tc>
          <w:tcPr>
            <w:tcW w:w="992" w:type="dxa"/>
          </w:tcPr>
          <w:p w:rsidR="00BC49B6" w:rsidRPr="0071415C" w:rsidRDefault="00BC49B6">
            <w:pPr>
              <w:pStyle w:val="Citat"/>
            </w:pPr>
            <w:r w:rsidRPr="0071415C">
              <w:t xml:space="preserve">Förändring av ram/  </w:t>
            </w:r>
          </w:p>
          <w:p w:rsidR="00BC49B6" w:rsidRPr="0071415C" w:rsidRDefault="00BC49B6">
            <w:pPr>
              <w:pStyle w:val="Citat"/>
              <w:spacing w:before="0"/>
            </w:pPr>
            <w:r w:rsidRPr="0071415C">
              <w:t>anslag</w:t>
            </w:r>
          </w:p>
        </w:tc>
        <w:tc>
          <w:tcPr>
            <w:tcW w:w="851" w:type="dxa"/>
          </w:tcPr>
          <w:p w:rsidR="00BC49B6" w:rsidRPr="0071415C" w:rsidRDefault="00BC49B6">
            <w:pPr>
              <w:pStyle w:val="Citat"/>
            </w:pPr>
            <w:r w:rsidRPr="0071415C">
              <w:t>Ny ram/</w:t>
            </w:r>
          </w:p>
          <w:p w:rsidR="00BC49B6" w:rsidRPr="0071415C" w:rsidRDefault="00BC49B6">
            <w:pPr>
              <w:pStyle w:val="Citat"/>
              <w:spacing w:before="0"/>
            </w:pPr>
            <w:r w:rsidRPr="0071415C">
              <w:t>anslags- nivå</w:t>
            </w:r>
          </w:p>
        </w:tc>
      </w:tr>
    </w:tbl>
    <w:p w:rsidR="00BC49B6" w:rsidRPr="0071415C" w:rsidRDefault="00BC49B6">
      <w:pPr>
        <w:pStyle w:val="Normaltindrag"/>
        <w:rPr>
          <w:b/>
        </w:rPr>
      </w:pPr>
    </w:p>
    <w:p w:rsidR="00BC49B6" w:rsidRPr="0071415C" w:rsidRDefault="00BC49B6">
      <w:pPr>
        <w:pStyle w:val="Normaltindrag"/>
        <w:rPr>
          <w:b/>
        </w:rPr>
      </w:pPr>
      <w:r w:rsidRPr="0071415C">
        <w:rPr>
          <w:b/>
        </w:rPr>
        <w:t>––  ––  ––</w:t>
      </w:r>
    </w:p>
    <w:p w:rsidR="00BC49B6" w:rsidRPr="0071415C" w:rsidRDefault="00BC49B6">
      <w:pPr>
        <w:pStyle w:val="Normaltindrag"/>
        <w:rPr>
          <w:b/>
        </w:rPr>
      </w:pPr>
    </w:p>
    <w:p w:rsidR="00BC49B6" w:rsidRPr="0071415C" w:rsidRDefault="00BC49B6">
      <w:pPr>
        <w:spacing w:before="0"/>
        <w:rPr>
          <w:b/>
        </w:rPr>
      </w:pPr>
      <w:r w:rsidRPr="0071415C">
        <w:rPr>
          <w:b/>
        </w:rPr>
        <w:t>22 Kommunikationer</w:t>
      </w:r>
    </w:p>
    <w:p w:rsidR="00BC49B6" w:rsidRPr="0071415C" w:rsidRDefault="00BC49B6">
      <w:pPr>
        <w:pStyle w:val="Normaltindrag"/>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09"/>
        <w:gridCol w:w="1842"/>
        <w:gridCol w:w="851"/>
        <w:gridCol w:w="992"/>
        <w:gridCol w:w="851"/>
      </w:tblGrid>
      <w:tr w:rsidR="00000000" w:rsidRPr="0071415C">
        <w:tblPrEx>
          <w:tblCellMar>
            <w:top w:w="0" w:type="dxa"/>
            <w:bottom w:w="0" w:type="dxa"/>
          </w:tblCellMar>
        </w:tblPrEx>
        <w:tc>
          <w:tcPr>
            <w:tcW w:w="851" w:type="dxa"/>
          </w:tcPr>
          <w:p w:rsidR="00BC49B6" w:rsidRPr="0071415C" w:rsidRDefault="00BC49B6">
            <w:pPr>
              <w:pStyle w:val="Citat"/>
            </w:pPr>
          </w:p>
        </w:tc>
        <w:tc>
          <w:tcPr>
            <w:tcW w:w="709" w:type="dxa"/>
          </w:tcPr>
          <w:p w:rsidR="00BC49B6" w:rsidRPr="0071415C" w:rsidRDefault="00BC49B6">
            <w:pPr>
              <w:pStyle w:val="Citat"/>
              <w:spacing w:before="0"/>
            </w:pPr>
          </w:p>
          <w:p w:rsidR="00BC49B6" w:rsidRPr="0071415C" w:rsidRDefault="00BC49B6">
            <w:pPr>
              <w:pStyle w:val="Citat"/>
              <w:spacing w:before="0"/>
            </w:pPr>
            <w:r w:rsidRPr="0071415C">
              <w:t>B 6</w:t>
            </w:r>
          </w:p>
        </w:tc>
        <w:tc>
          <w:tcPr>
            <w:tcW w:w="1842" w:type="dxa"/>
          </w:tcPr>
          <w:p w:rsidR="00BC49B6" w:rsidRPr="0071415C" w:rsidRDefault="00BC49B6">
            <w:pPr>
              <w:pStyle w:val="Citat"/>
              <w:spacing w:before="0"/>
            </w:pPr>
          </w:p>
          <w:p w:rsidR="00BC49B6" w:rsidRPr="0071415C" w:rsidRDefault="00BC49B6">
            <w:pPr>
              <w:pStyle w:val="Citat"/>
              <w:spacing w:before="0"/>
            </w:pPr>
            <w:r w:rsidRPr="0071415C">
              <w:t>Vissa kostnader med anledning av M/S Es-tonias förlisning, obe-tecknat anslag</w:t>
            </w:r>
          </w:p>
          <w:p w:rsidR="00BC49B6" w:rsidRPr="0071415C" w:rsidRDefault="00BC49B6">
            <w:pPr>
              <w:spacing w:before="0"/>
            </w:pPr>
          </w:p>
        </w:tc>
        <w:tc>
          <w:tcPr>
            <w:tcW w:w="851" w:type="dxa"/>
          </w:tcPr>
          <w:p w:rsidR="00BC49B6" w:rsidRPr="0071415C" w:rsidRDefault="00BC49B6">
            <w:pPr>
              <w:pStyle w:val="Citat"/>
              <w:spacing w:before="0"/>
            </w:pPr>
          </w:p>
          <w:p w:rsidR="00BC49B6" w:rsidRPr="0071415C" w:rsidRDefault="00BC49B6">
            <w:pPr>
              <w:pStyle w:val="Citat"/>
              <w:spacing w:before="0"/>
            </w:pPr>
            <w:r w:rsidRPr="0071415C">
              <w:t xml:space="preserve">  nytt </w:t>
            </w:r>
          </w:p>
          <w:p w:rsidR="00BC49B6" w:rsidRPr="0071415C" w:rsidRDefault="00BC49B6">
            <w:pPr>
              <w:pStyle w:val="Citat"/>
              <w:spacing w:before="0"/>
            </w:pPr>
            <w:r w:rsidRPr="0071415C">
              <w:t xml:space="preserve">  a</w:t>
            </w:r>
            <w:r w:rsidRPr="0071415C">
              <w:t>n</w:t>
            </w:r>
            <w:r w:rsidRPr="0071415C">
              <w:t>slag</w:t>
            </w:r>
          </w:p>
        </w:tc>
        <w:tc>
          <w:tcPr>
            <w:tcW w:w="992" w:type="dxa"/>
          </w:tcPr>
          <w:p w:rsidR="00BC49B6" w:rsidRPr="0071415C" w:rsidRDefault="00BC49B6">
            <w:pPr>
              <w:pStyle w:val="Citat"/>
              <w:spacing w:before="0"/>
            </w:pPr>
          </w:p>
          <w:p w:rsidR="00BC49B6" w:rsidRPr="0071415C" w:rsidRDefault="00BC49B6">
            <w:pPr>
              <w:pStyle w:val="Citat"/>
              <w:spacing w:before="0"/>
            </w:pPr>
            <w:r w:rsidRPr="0071415C">
              <w:t xml:space="preserve">    10 600 </w:t>
            </w:r>
          </w:p>
        </w:tc>
        <w:tc>
          <w:tcPr>
            <w:tcW w:w="851" w:type="dxa"/>
          </w:tcPr>
          <w:p w:rsidR="00BC49B6" w:rsidRPr="0071415C" w:rsidRDefault="00BC49B6">
            <w:pPr>
              <w:pStyle w:val="Citat"/>
              <w:spacing w:before="0"/>
            </w:pPr>
          </w:p>
          <w:p w:rsidR="00BC49B6" w:rsidRPr="0071415C" w:rsidRDefault="00BC49B6">
            <w:pPr>
              <w:pStyle w:val="Citat"/>
              <w:spacing w:before="0"/>
            </w:pPr>
            <w:r w:rsidRPr="0071415C">
              <w:t xml:space="preserve">  10 600</w:t>
            </w:r>
          </w:p>
        </w:tc>
      </w:tr>
      <w:tr w:rsidR="00000000" w:rsidRPr="0071415C">
        <w:tblPrEx>
          <w:tblCellMar>
            <w:top w:w="0" w:type="dxa"/>
            <w:bottom w:w="0" w:type="dxa"/>
          </w:tblCellMar>
        </w:tblPrEx>
        <w:tc>
          <w:tcPr>
            <w:tcW w:w="851" w:type="dxa"/>
          </w:tcPr>
          <w:p w:rsidR="00BC49B6" w:rsidRPr="0071415C" w:rsidRDefault="00BC49B6">
            <w:pPr>
              <w:pStyle w:val="Citat"/>
            </w:pPr>
          </w:p>
        </w:tc>
        <w:tc>
          <w:tcPr>
            <w:tcW w:w="709" w:type="dxa"/>
          </w:tcPr>
          <w:p w:rsidR="00BC49B6" w:rsidRPr="0071415C" w:rsidRDefault="00BC49B6">
            <w:pPr>
              <w:pStyle w:val="Citat"/>
              <w:spacing w:before="0"/>
            </w:pPr>
          </w:p>
          <w:p w:rsidR="00BC49B6" w:rsidRPr="0071415C" w:rsidRDefault="00BC49B6">
            <w:pPr>
              <w:pStyle w:val="Citat"/>
              <w:spacing w:before="0"/>
            </w:pPr>
            <w:r w:rsidRPr="0071415C">
              <w:t>C 2</w:t>
            </w:r>
          </w:p>
        </w:tc>
        <w:tc>
          <w:tcPr>
            <w:tcW w:w="1842" w:type="dxa"/>
          </w:tcPr>
          <w:p w:rsidR="00BC49B6" w:rsidRPr="0071415C" w:rsidRDefault="00BC49B6">
            <w:pPr>
              <w:pStyle w:val="Citat"/>
              <w:spacing w:before="0"/>
            </w:pPr>
          </w:p>
          <w:p w:rsidR="00BC49B6" w:rsidRPr="0071415C" w:rsidRDefault="00BC49B6">
            <w:pPr>
              <w:pStyle w:val="Citat"/>
              <w:spacing w:before="0"/>
            </w:pPr>
            <w:r w:rsidRPr="0071415C">
              <w:t>Upphandling av sam- samhällsåtaganden, rama</w:t>
            </w:r>
            <w:r w:rsidRPr="0071415C">
              <w:t>n</w:t>
            </w:r>
            <w:r w:rsidRPr="0071415C">
              <w:t>slag</w:t>
            </w:r>
          </w:p>
          <w:p w:rsidR="00BC49B6" w:rsidRPr="0071415C" w:rsidRDefault="00BC49B6">
            <w:pPr>
              <w:spacing w:before="0"/>
            </w:pPr>
          </w:p>
        </w:tc>
        <w:tc>
          <w:tcPr>
            <w:tcW w:w="851" w:type="dxa"/>
          </w:tcPr>
          <w:p w:rsidR="00BC49B6" w:rsidRPr="0071415C" w:rsidRDefault="00BC49B6">
            <w:pPr>
              <w:pStyle w:val="Citat"/>
              <w:spacing w:before="0"/>
            </w:pPr>
          </w:p>
          <w:p w:rsidR="00BC49B6" w:rsidRPr="0071415C" w:rsidRDefault="00BC49B6">
            <w:pPr>
              <w:pStyle w:val="Citat"/>
              <w:spacing w:before="0"/>
            </w:pPr>
            <w:r w:rsidRPr="0071415C">
              <w:t xml:space="preserve"> 157 484</w:t>
            </w:r>
          </w:p>
        </w:tc>
        <w:tc>
          <w:tcPr>
            <w:tcW w:w="992" w:type="dxa"/>
          </w:tcPr>
          <w:p w:rsidR="00BC49B6" w:rsidRPr="0071415C" w:rsidRDefault="00BC49B6">
            <w:pPr>
              <w:pStyle w:val="Citat"/>
              <w:spacing w:before="0"/>
            </w:pPr>
          </w:p>
          <w:p w:rsidR="00BC49B6" w:rsidRPr="0071415C" w:rsidRDefault="00BC49B6">
            <w:pPr>
              <w:pStyle w:val="Citat"/>
              <w:spacing w:before="0"/>
            </w:pPr>
            <w:r w:rsidRPr="0071415C">
              <w:t xml:space="preserve">    -10 000</w:t>
            </w:r>
          </w:p>
        </w:tc>
        <w:tc>
          <w:tcPr>
            <w:tcW w:w="851" w:type="dxa"/>
          </w:tcPr>
          <w:p w:rsidR="00BC49B6" w:rsidRPr="0071415C" w:rsidRDefault="00BC49B6">
            <w:pPr>
              <w:pStyle w:val="Citat"/>
              <w:spacing w:before="0"/>
            </w:pPr>
          </w:p>
          <w:p w:rsidR="00BC49B6" w:rsidRPr="0071415C" w:rsidRDefault="00BC49B6">
            <w:pPr>
              <w:pStyle w:val="Citat"/>
              <w:spacing w:before="0"/>
            </w:pPr>
            <w:r w:rsidRPr="0071415C">
              <w:t>147 484</w:t>
            </w:r>
          </w:p>
        </w:tc>
      </w:tr>
      <w:tr w:rsidR="00000000" w:rsidRPr="0071415C">
        <w:tblPrEx>
          <w:tblCellMar>
            <w:top w:w="0" w:type="dxa"/>
            <w:bottom w:w="0" w:type="dxa"/>
          </w:tblCellMar>
        </w:tblPrEx>
        <w:tc>
          <w:tcPr>
            <w:tcW w:w="851" w:type="dxa"/>
          </w:tcPr>
          <w:p w:rsidR="00BC49B6" w:rsidRPr="0071415C" w:rsidRDefault="00BC49B6">
            <w:pPr>
              <w:pStyle w:val="Citat"/>
            </w:pPr>
          </w:p>
        </w:tc>
        <w:tc>
          <w:tcPr>
            <w:tcW w:w="709" w:type="dxa"/>
          </w:tcPr>
          <w:p w:rsidR="00BC49B6" w:rsidRPr="0071415C" w:rsidRDefault="00BC49B6">
            <w:pPr>
              <w:pStyle w:val="Citat"/>
              <w:spacing w:before="0"/>
            </w:pPr>
          </w:p>
          <w:p w:rsidR="00BC49B6" w:rsidRPr="0071415C" w:rsidRDefault="00BC49B6">
            <w:pPr>
              <w:pStyle w:val="Citat"/>
              <w:spacing w:before="0"/>
            </w:pPr>
            <w:r w:rsidRPr="0071415C">
              <w:t>C 5</w:t>
            </w:r>
          </w:p>
        </w:tc>
        <w:tc>
          <w:tcPr>
            <w:tcW w:w="1842" w:type="dxa"/>
          </w:tcPr>
          <w:p w:rsidR="00BC49B6" w:rsidRPr="0071415C" w:rsidRDefault="00BC49B6">
            <w:pPr>
              <w:pStyle w:val="Citat"/>
              <w:spacing w:before="0"/>
            </w:pPr>
          </w:p>
          <w:p w:rsidR="00BC49B6" w:rsidRPr="0071415C" w:rsidRDefault="00BC49B6">
            <w:pPr>
              <w:pStyle w:val="Citat"/>
              <w:spacing w:before="0"/>
            </w:pPr>
            <w:r w:rsidRPr="0071415C">
              <w:t>Informationsteknik: Telekommunikation m.m., rama</w:t>
            </w:r>
            <w:r w:rsidRPr="0071415C">
              <w:t>n</w:t>
            </w:r>
            <w:r w:rsidRPr="0071415C">
              <w:t>slag</w:t>
            </w:r>
          </w:p>
          <w:p w:rsidR="00BC49B6" w:rsidRPr="0071415C" w:rsidRDefault="00BC49B6">
            <w:pPr>
              <w:spacing w:before="0"/>
            </w:pPr>
          </w:p>
        </w:tc>
        <w:tc>
          <w:tcPr>
            <w:tcW w:w="851" w:type="dxa"/>
          </w:tcPr>
          <w:p w:rsidR="00BC49B6" w:rsidRPr="0071415C" w:rsidRDefault="00BC49B6">
            <w:pPr>
              <w:pStyle w:val="Citat"/>
              <w:spacing w:before="0"/>
            </w:pPr>
          </w:p>
          <w:p w:rsidR="00BC49B6" w:rsidRPr="0071415C" w:rsidRDefault="00BC49B6">
            <w:pPr>
              <w:pStyle w:val="Citat"/>
              <w:spacing w:before="0"/>
            </w:pPr>
            <w:r w:rsidRPr="0071415C">
              <w:t xml:space="preserve">   50 000</w:t>
            </w:r>
          </w:p>
        </w:tc>
        <w:tc>
          <w:tcPr>
            <w:tcW w:w="992" w:type="dxa"/>
          </w:tcPr>
          <w:p w:rsidR="00BC49B6" w:rsidRPr="0071415C" w:rsidRDefault="00BC49B6">
            <w:pPr>
              <w:pStyle w:val="Citat"/>
              <w:spacing w:before="0"/>
            </w:pPr>
          </w:p>
          <w:p w:rsidR="00BC49B6" w:rsidRPr="0071415C" w:rsidRDefault="00BC49B6">
            <w:pPr>
              <w:pStyle w:val="Citat"/>
              <w:spacing w:before="0"/>
            </w:pPr>
            <w:r w:rsidRPr="0071415C">
              <w:t xml:space="preserve">    10 000</w:t>
            </w:r>
          </w:p>
        </w:tc>
        <w:tc>
          <w:tcPr>
            <w:tcW w:w="851" w:type="dxa"/>
          </w:tcPr>
          <w:p w:rsidR="00BC49B6" w:rsidRPr="0071415C" w:rsidRDefault="00BC49B6">
            <w:pPr>
              <w:pStyle w:val="Citat"/>
              <w:spacing w:before="0"/>
            </w:pPr>
          </w:p>
          <w:p w:rsidR="00BC49B6" w:rsidRPr="0071415C" w:rsidRDefault="00BC49B6">
            <w:pPr>
              <w:pStyle w:val="Citat"/>
              <w:spacing w:before="0"/>
            </w:pPr>
            <w:r w:rsidRPr="0071415C">
              <w:t xml:space="preserve">  60 000</w:t>
            </w:r>
          </w:p>
        </w:tc>
      </w:tr>
      <w:tr w:rsidR="00000000" w:rsidRPr="0071415C">
        <w:tblPrEx>
          <w:tblCellMar>
            <w:top w:w="0" w:type="dxa"/>
            <w:bottom w:w="0" w:type="dxa"/>
          </w:tblCellMar>
        </w:tblPrEx>
        <w:tc>
          <w:tcPr>
            <w:tcW w:w="851" w:type="dxa"/>
          </w:tcPr>
          <w:p w:rsidR="00BC49B6" w:rsidRPr="0071415C" w:rsidRDefault="00BC49B6">
            <w:pPr>
              <w:pStyle w:val="Citat"/>
            </w:pPr>
          </w:p>
        </w:tc>
        <w:tc>
          <w:tcPr>
            <w:tcW w:w="709" w:type="dxa"/>
          </w:tcPr>
          <w:p w:rsidR="00BC49B6" w:rsidRPr="0071415C" w:rsidRDefault="00BC49B6">
            <w:pPr>
              <w:pStyle w:val="Citat"/>
              <w:spacing w:before="0"/>
            </w:pPr>
          </w:p>
          <w:p w:rsidR="00BC49B6" w:rsidRPr="0071415C" w:rsidRDefault="00BC49B6">
            <w:pPr>
              <w:pStyle w:val="Citat"/>
              <w:spacing w:before="0"/>
            </w:pPr>
            <w:r w:rsidRPr="0071415C">
              <w:t>D 2</w:t>
            </w:r>
          </w:p>
        </w:tc>
        <w:tc>
          <w:tcPr>
            <w:tcW w:w="1842" w:type="dxa"/>
          </w:tcPr>
          <w:p w:rsidR="00BC49B6" w:rsidRPr="0071415C" w:rsidRDefault="00BC49B6">
            <w:pPr>
              <w:pStyle w:val="Citat"/>
              <w:spacing w:before="0"/>
            </w:pPr>
          </w:p>
          <w:p w:rsidR="00BC49B6" w:rsidRPr="0071415C" w:rsidRDefault="00BC49B6">
            <w:pPr>
              <w:pStyle w:val="Citat"/>
              <w:spacing w:before="0"/>
            </w:pPr>
            <w:r w:rsidRPr="0071415C">
              <w:t>Köp av interregional persontrafik på jär</w:t>
            </w:r>
            <w:r w:rsidRPr="0071415C">
              <w:t>n</w:t>
            </w:r>
            <w:r w:rsidRPr="0071415C">
              <w:t>väg m.m., r</w:t>
            </w:r>
            <w:r w:rsidRPr="0071415C">
              <w:t>a</w:t>
            </w:r>
            <w:r w:rsidRPr="0071415C">
              <w:t xml:space="preserve">manslag </w:t>
            </w:r>
          </w:p>
          <w:p w:rsidR="00BC49B6" w:rsidRPr="0071415C" w:rsidRDefault="00BC49B6">
            <w:pPr>
              <w:spacing w:before="0"/>
            </w:pPr>
          </w:p>
        </w:tc>
        <w:tc>
          <w:tcPr>
            <w:tcW w:w="851" w:type="dxa"/>
          </w:tcPr>
          <w:p w:rsidR="00BC49B6" w:rsidRPr="0071415C" w:rsidRDefault="00BC49B6">
            <w:pPr>
              <w:pStyle w:val="Citat"/>
              <w:spacing w:before="0"/>
            </w:pPr>
            <w:r w:rsidRPr="0071415C">
              <w:t xml:space="preserve"> </w:t>
            </w:r>
          </w:p>
          <w:p w:rsidR="00BC49B6" w:rsidRPr="0071415C" w:rsidRDefault="00BC49B6">
            <w:pPr>
              <w:pStyle w:val="Citat"/>
              <w:spacing w:before="0"/>
            </w:pPr>
            <w:r w:rsidRPr="0071415C">
              <w:t xml:space="preserve"> 405 000</w:t>
            </w:r>
          </w:p>
        </w:tc>
        <w:tc>
          <w:tcPr>
            <w:tcW w:w="992" w:type="dxa"/>
          </w:tcPr>
          <w:p w:rsidR="00BC49B6" w:rsidRPr="0071415C" w:rsidRDefault="00BC49B6">
            <w:pPr>
              <w:pStyle w:val="Citat"/>
              <w:spacing w:before="0"/>
            </w:pPr>
          </w:p>
          <w:p w:rsidR="00BC49B6" w:rsidRPr="0071415C" w:rsidRDefault="00BC49B6">
            <w:pPr>
              <w:pStyle w:val="Citat"/>
              <w:spacing w:before="0"/>
            </w:pPr>
            <w:r w:rsidRPr="0071415C">
              <w:t xml:space="preserve">  -10 600</w:t>
            </w:r>
          </w:p>
        </w:tc>
        <w:tc>
          <w:tcPr>
            <w:tcW w:w="851" w:type="dxa"/>
          </w:tcPr>
          <w:p w:rsidR="00BC49B6" w:rsidRPr="0071415C" w:rsidRDefault="00BC49B6">
            <w:pPr>
              <w:pStyle w:val="Citat"/>
              <w:spacing w:before="0"/>
            </w:pPr>
            <w:r w:rsidRPr="0071415C">
              <w:t xml:space="preserve"> </w:t>
            </w:r>
          </w:p>
          <w:p w:rsidR="00BC49B6" w:rsidRPr="0071415C" w:rsidRDefault="00BC49B6">
            <w:pPr>
              <w:pStyle w:val="Citat"/>
              <w:spacing w:before="0"/>
            </w:pPr>
            <w:r w:rsidRPr="0071415C">
              <w:t>394 400</w:t>
            </w:r>
          </w:p>
        </w:tc>
      </w:tr>
    </w:tbl>
    <w:p w:rsidR="00BC49B6" w:rsidRPr="0071415C" w:rsidRDefault="00BC49B6"/>
    <w:p w:rsidR="00BC49B6" w:rsidRPr="0071415C" w:rsidRDefault="00BC49B6">
      <w:pPr>
        <w:spacing w:before="0"/>
      </w:pPr>
      <w:r w:rsidRPr="0071415C">
        <w:t xml:space="preserve">Som framgår av tabellen innebär regeringens förslag anslagsökningar med 20,6 miljoner kronor och anslagsminskningar med samma belopp. Ramen för utgiftsområde 22 är därmed oförändrad. </w:t>
      </w:r>
    </w:p>
    <w:p w:rsidR="00BC49B6" w:rsidRPr="0071415C" w:rsidRDefault="00BC49B6">
      <w:pPr>
        <w:pStyle w:val="R4"/>
      </w:pPr>
      <w:r w:rsidRPr="0071415C">
        <w:t>Anslagen B 6 Vissa kostnader med anledning av M/S Estonias förlisning  och D 2 Köp av interregional persontrafik på järnväg m.m.</w:t>
      </w:r>
    </w:p>
    <w:p w:rsidR="00BC49B6" w:rsidRPr="0071415C" w:rsidRDefault="00BC49B6">
      <w:r w:rsidRPr="0071415C">
        <w:t>Regeringen föreslår att ett nytt obetecknat anslag B 6 Vissa kostnader med anledning av M/S Estonias förlisning uppgående till 10,6 miljoner kronor anvisas för år 1999. Anslaget föreslås finansieras genom att anslaget D 2 Köp av interregional persontrafik minskas med motsvarande belopp. Av propositionen framgår att regeringen i mars 1995 uppdrog åt Sjöfartsverket att upphandla och låta genomföra en övertäckning av M/S Estonia med b</w:t>
      </w:r>
      <w:r w:rsidRPr="0071415C">
        <w:t>e</w:t>
      </w:r>
      <w:r w:rsidRPr="0071415C">
        <w:t>tong. I september 1996 uppdrog regeringen åt verket att avbryta övertäc</w:t>
      </w:r>
      <w:r w:rsidRPr="0071415C">
        <w:t>k</w:t>
      </w:r>
      <w:r w:rsidRPr="0071415C">
        <w:t>ningen. Sjöfartsverket har fått ersättning för de kostnader verket haft för genomförandet av uppdragen under åren 1995 och 1996. Men även under åren 1997 och 1998 har verket haft vissa kostnader, avseende främst teknisk och juridisk konsultation, om konsekvenserna av avbrottet och den skada som uppstått på sjöbottnen under arbetet. Dessa kostnader uppgår till totalt 5,6 miljoner kronor. Vidare redovisas i propositionen att fartygskatas</w:t>
      </w:r>
      <w:r w:rsidRPr="0071415C">
        <w:t>trofen medfört behov av åtgärder till stöd för anhöriga till de omkomna samt till de överlevande. Regeringen bedömer att 5 miljoner kronor behöver användas för sådan verksamhet. Det föreslagna nya anslaget bör enligt regeringen finansieras genom motsvarande minskning av anslaget D 2 Köp av interreg</w:t>
      </w:r>
      <w:r w:rsidRPr="0071415C">
        <w:t>i</w:t>
      </w:r>
      <w:r w:rsidRPr="0071415C">
        <w:t>onal persontrafik. Detta anslag skulle därmed enligt förslaget minska från för närvarande 405 milj</w:t>
      </w:r>
      <w:r w:rsidRPr="0071415C">
        <w:t>o</w:t>
      </w:r>
      <w:r w:rsidRPr="0071415C">
        <w:t xml:space="preserve">ner kronor till 394,4 miljoner kronor. </w:t>
      </w:r>
    </w:p>
    <w:p w:rsidR="00BC49B6" w:rsidRPr="0071415C" w:rsidRDefault="00BC49B6">
      <w:pPr>
        <w:pStyle w:val="R4"/>
      </w:pPr>
      <w:r w:rsidRPr="0071415C">
        <w:t xml:space="preserve">Anslaget C 5 Informationsteknik: Telekommunikation m.m. och              </w:t>
      </w:r>
      <w:r w:rsidRPr="0071415C">
        <w:t xml:space="preserve">             C 2 Upphandling av samhällsåtaganden</w:t>
      </w:r>
    </w:p>
    <w:p w:rsidR="00BC49B6" w:rsidRPr="0071415C" w:rsidRDefault="00BC49B6">
      <w:r w:rsidRPr="0071415C">
        <w:t xml:space="preserve">Regeringens förslag innebär att anslaget ökas med 10 miljoner kronor till 50 miljoner kronor för budgetåret 1999. Uppräkningen föreslås finansieras inom utgiftsområdet genom att anslaget C 2 Upphandling av samhällsåtaganden minskas med motsvarande belopp till totalt 147,484 miljoner kronor. Den föreslagna förstärkningen av IT-anslaget motiveras med att regeringen ger högsta prioritet åt frågan om IT-omställningen inför år 2000. </w:t>
      </w:r>
    </w:p>
    <w:p w:rsidR="00BC49B6" w:rsidRPr="0071415C" w:rsidRDefault="00BC49B6">
      <w:pPr>
        <w:pStyle w:val="R3"/>
      </w:pPr>
      <w:r w:rsidRPr="0071415C">
        <w:t>1.3 Motionsförslag</w:t>
      </w:r>
    </w:p>
    <w:p w:rsidR="00BC49B6" w:rsidRPr="0071415C" w:rsidRDefault="00BC49B6">
      <w:r w:rsidRPr="0071415C">
        <w:t>I motion Fi28 tillstyrker Per-Richard Molén m.fl. (m) regeringens förslag om 10,6 miljoner kronor för att täcka vissa kostnader med anledning av M/S Estonias förlisning. Men motionärerna motsätter sig att medlen tas från a</w:t>
      </w:r>
      <w:r w:rsidRPr="0071415C">
        <w:t>n</w:t>
      </w:r>
      <w:r w:rsidRPr="0071415C">
        <w:t>slaget för köp av interregional persontrafik (D 2). Motionärerna uppmanar regeringen att hitta en annan finansiering  (yrkande 2).</w:t>
      </w:r>
    </w:p>
    <w:p w:rsidR="00BC49B6" w:rsidRPr="0071415C" w:rsidRDefault="00BC49B6">
      <w:r w:rsidRPr="0071415C">
        <w:t>Också i motion Fi19 välkomnas förslaget om stöd till dem som drabbats av Estoniakatastrofen. Men motionären, Yvonne Åström (fp), hävdar att reg</w:t>
      </w:r>
      <w:r w:rsidRPr="0071415C">
        <w:t>e</w:t>
      </w:r>
      <w:r w:rsidRPr="0071415C">
        <w:t>ringens förslag till finansiering ytterst kommer att drabba järnvägs- och flygtrafiken i Norrland. För dem som är bosatta i Norrland är det av största vikt att nattågstrafik och inomregionala flygtransporter, t.ex. den s.k. sju</w:t>
      </w:r>
      <w:r w:rsidRPr="0071415C">
        <w:t>k</w:t>
      </w:r>
      <w:r w:rsidRPr="0071415C">
        <w:t>vårdslinjen mellan Östersund och Umeå, får fortsätta. Därför bör finansi</w:t>
      </w:r>
      <w:r w:rsidRPr="0071415C">
        <w:t>e</w:t>
      </w:r>
      <w:r w:rsidRPr="0071415C">
        <w:t>ringen av det nya anslaget i stället lösas genom omfördelning av medel från Vägverkets administrationsanslag (A 1) och Banverkets anslag för se</w:t>
      </w:r>
      <w:r w:rsidRPr="0071415C">
        <w:t>k</w:t>
      </w:r>
      <w:r w:rsidRPr="0071415C">
        <w:t>torsuppgifter (A 3).</w:t>
      </w:r>
    </w:p>
    <w:p w:rsidR="00BC49B6" w:rsidRPr="0071415C" w:rsidRDefault="00BC49B6">
      <w:r w:rsidRPr="0071415C">
        <w:t xml:space="preserve">Ett förslag av samma innebörd redovisar Lars </w:t>
      </w:r>
      <w:r w:rsidRPr="0071415C">
        <w:t>Leijonborg m.fl. (fp) i motion Fi17 (yrkande 8).</w:t>
      </w:r>
    </w:p>
    <w:p w:rsidR="00BC49B6" w:rsidRPr="0071415C" w:rsidRDefault="00BC49B6">
      <w:pPr>
        <w:pStyle w:val="R3"/>
      </w:pPr>
      <w:r w:rsidRPr="0071415C">
        <w:t>1.4 Trafikutskottets ställningstagande</w:t>
      </w:r>
    </w:p>
    <w:p w:rsidR="00BC49B6" w:rsidRPr="0071415C" w:rsidRDefault="00BC49B6">
      <w:pPr>
        <w:pStyle w:val="R4"/>
        <w:spacing w:before="123"/>
      </w:pPr>
      <w:r w:rsidRPr="0071415C">
        <w:t>Anslagen B 6 Vissa kostnader med anledning av M/S Estonias förlisning och D 2 Köp av interregional persontrafik på järnväg m.m.</w:t>
      </w:r>
    </w:p>
    <w:p w:rsidR="00BC49B6" w:rsidRPr="0071415C" w:rsidRDefault="00BC49B6">
      <w:r w:rsidRPr="0071415C">
        <w:t>Utskottet konstaterar att ingen av motionärerna motsätter sig regeringens förslag om att ett nytt anslag med anledning av M/S Estonias förlisning skall inrättas. Vad motionärerna invänder mot är förslaget om anslagets finansi</w:t>
      </w:r>
      <w:r w:rsidRPr="0071415C">
        <w:t>e</w:t>
      </w:r>
      <w:r w:rsidRPr="0071415C">
        <w:t>ring. Den av regeringen föreslagna finansieringskällan, ramanslaget D 2 Köp av interregional persontrafik, är i statsbudgeten för år 1999 upptaget till 405 miljoner kronor. Enligt Ekonomistyrningsverkets budgetprognos 1999:1 fanns vid ingången av året en anslagsbehållning om 72 miljoner kronor.        I prognosen förutses en förbrukning under året på 385 miljoner kronor. Dä</w:t>
      </w:r>
      <w:r w:rsidRPr="0071415C">
        <w:t>r</w:t>
      </w:r>
      <w:r w:rsidRPr="0071415C">
        <w:t>med skulle anslagsbehållningen vid utgången av år 1999 uppgå till 92 milj</w:t>
      </w:r>
      <w:r w:rsidRPr="0071415C">
        <w:t>o</w:t>
      </w:r>
      <w:r w:rsidRPr="0071415C">
        <w:t>ner kronor. Utskottet gör mot bakgrund av denna prognos bedö</w:t>
      </w:r>
      <w:r w:rsidRPr="0071415C">
        <w:t>mningen att en minskning av anslaget med 10,6 miljoner kronor inte kommer att få neg</w:t>
      </w:r>
      <w:r w:rsidRPr="0071415C">
        <w:t>a</w:t>
      </w:r>
      <w:r w:rsidRPr="0071415C">
        <w:t>tiva återverkningar på upphandlingen av interregional trafik under innev</w:t>
      </w:r>
      <w:r w:rsidRPr="0071415C">
        <w:t>a</w:t>
      </w:r>
      <w:r w:rsidRPr="0071415C">
        <w:t>rande år. Med hänvisning härtill tillstyrker trafikutskottet för sin del reg</w:t>
      </w:r>
      <w:r w:rsidRPr="0071415C">
        <w:t>e</w:t>
      </w:r>
      <w:r w:rsidRPr="0071415C">
        <w:t>ringens förslag vad gäller såväl inrättande av ett nytt obetecknat anslag B 6 Vissa kostnader med anledning av M/S Estonias förlisning uppgående till 10,6 miljoner kronor för år 1999 som anslagets finansiering genom en mo</w:t>
      </w:r>
      <w:r w:rsidRPr="0071415C">
        <w:t>t</w:t>
      </w:r>
      <w:r w:rsidRPr="0071415C">
        <w:t>svarande minskning av anslaget D 2 Köp av interregional</w:t>
      </w:r>
      <w:r w:rsidRPr="0071415C">
        <w:t xml:space="preserve"> persontrafik på järnväg m.m. Utskottets ställningstagande innebär att motionerna Fi17 (fp) yrkande 8, Fi19 (fp) och Fi28 (m) yrkande 2 a</w:t>
      </w:r>
      <w:r w:rsidRPr="0071415C">
        <w:t>v</w:t>
      </w:r>
      <w:r w:rsidRPr="0071415C">
        <w:t xml:space="preserve">styrks. </w:t>
      </w:r>
    </w:p>
    <w:p w:rsidR="00BC49B6" w:rsidRPr="0071415C" w:rsidRDefault="00BC49B6">
      <w:pPr>
        <w:pStyle w:val="R4"/>
      </w:pPr>
      <w:r w:rsidRPr="0071415C">
        <w:t>Anslagen  C 5  Informationsteknik: Telekommunikation  m.m.  och  C 2 Upp-handling av samhällsåtaganden</w:t>
      </w:r>
    </w:p>
    <w:p w:rsidR="00BC49B6" w:rsidRPr="0071415C" w:rsidRDefault="00BC49B6">
      <w:r w:rsidRPr="0071415C">
        <w:t>Trafikutskottet har ingen erinran mot regeringens förslag rörande anslagen   C 5 Informationsteknik: Telekommunikation m.m. och C 2 Upphandling av samhällsåtaganden.</w:t>
      </w:r>
    </w:p>
    <w:p w:rsidR="00BC49B6" w:rsidRPr="0071415C" w:rsidRDefault="00BC49B6">
      <w:pPr>
        <w:pStyle w:val="R2"/>
      </w:pPr>
      <w:r w:rsidRPr="0071415C">
        <w:t>2 Statens Järnvägar</w:t>
      </w:r>
    </w:p>
    <w:p w:rsidR="00BC49B6" w:rsidRPr="0071415C" w:rsidRDefault="00BC49B6">
      <w:pPr>
        <w:pStyle w:val="R3"/>
        <w:spacing w:before="123"/>
      </w:pPr>
      <w:r w:rsidRPr="0071415C">
        <w:t>2.1 Regeringens förslag</w:t>
      </w:r>
    </w:p>
    <w:p w:rsidR="00BC49B6" w:rsidRPr="0071415C" w:rsidRDefault="00BC49B6">
      <w:r w:rsidRPr="0071415C">
        <w:t>Enligt vad regeringen redovisar i vårpropositionen har Statens Järnvägar (SJ) i sin balansräkning avsättningar för pensionsåtaganden. För delar av dessa åtaganden är räntan så hög som 11 %. Utredningar uppges ha visat att det skulle vara fördelaktigare för SJ att överlåta delar av pensionsåtagandena till en extern försäkringsgivare. Med en sådan transaktion skulle SJ:s avsättnin</w:t>
      </w:r>
      <w:r w:rsidRPr="0071415C">
        <w:t>g</w:t>
      </w:r>
      <w:r w:rsidRPr="0071415C">
        <w:t>ar om totalt ca 1,5 miljarder kronor omfinansieras och redovisas som l</w:t>
      </w:r>
      <w:r w:rsidRPr="0071415C">
        <w:t>å</w:t>
      </w:r>
      <w:r w:rsidRPr="0071415C">
        <w:t>neskuld. På låneskulden skulle fortsättningsvis betalas normal ränta, dvs. för närvarande ca 4 %. För att omfinansieringen skall klaras krävs att SJ:s lån</w:t>
      </w:r>
      <w:r w:rsidRPr="0071415C">
        <w:t>e</w:t>
      </w:r>
      <w:r w:rsidRPr="0071415C">
        <w:t xml:space="preserve">ram utökas med 1,5 miljarder kronor till totalt 10,7 miljarder kronor. Mot denna bakgrund föreslås riksdagen (yrkande 18) bemyndiga regeringen att ge Statens Järnvägar rätt att ta upp lån i och utanför Riksgäldskontoret inom en total ram om 10,7 miljarder kronor. </w:t>
      </w:r>
    </w:p>
    <w:p w:rsidR="00BC49B6" w:rsidRPr="0071415C" w:rsidRDefault="00BC49B6">
      <w:pPr>
        <w:pStyle w:val="R3"/>
      </w:pPr>
      <w:r w:rsidRPr="0071415C">
        <w:t>2.2 Trafikutskottets</w:t>
      </w:r>
      <w:r w:rsidRPr="0071415C">
        <w:t xml:space="preserve"> ställningstagande</w:t>
      </w:r>
    </w:p>
    <w:p w:rsidR="00BC49B6" w:rsidRPr="0071415C" w:rsidRDefault="00BC49B6">
      <w:r w:rsidRPr="0071415C">
        <w:t xml:space="preserve">Trafikutskottet tillstyrker för sin del regeringens förslag. </w:t>
      </w:r>
    </w:p>
    <w:p w:rsidR="00BC49B6" w:rsidRPr="0071415C" w:rsidRDefault="00BC49B6">
      <w:pPr>
        <w:pStyle w:val="R2"/>
      </w:pPr>
      <w:r w:rsidRPr="0071415C">
        <w:t>3 Ersättning till Botniabanan AB</w:t>
      </w:r>
    </w:p>
    <w:p w:rsidR="00BC49B6" w:rsidRPr="0071415C" w:rsidRDefault="00BC49B6">
      <w:pPr>
        <w:pStyle w:val="R3"/>
        <w:spacing w:before="123"/>
      </w:pPr>
      <w:r w:rsidRPr="0071415C">
        <w:t>3.1 Bakgrund</w:t>
      </w:r>
    </w:p>
    <w:p w:rsidR="00BC49B6" w:rsidRPr="0071415C" w:rsidRDefault="00BC49B6">
      <w:r w:rsidRPr="0071415C">
        <w:t>I proposition 1997/98:62 Regional tillväxt – för arbete och välfärd redovis</w:t>
      </w:r>
      <w:r w:rsidRPr="0071415C">
        <w:t>a</w:t>
      </w:r>
      <w:r w:rsidRPr="0071415C">
        <w:t>de regeringen att kostnaderna för finansiering, planering, projektering, up</w:t>
      </w:r>
      <w:r w:rsidRPr="0071415C">
        <w:t>p</w:t>
      </w:r>
      <w:r w:rsidRPr="0071415C">
        <w:t>handling och byggande av Botniabanan men exklusive resecentra, totalt beräknade till högst 8,2 miljarder kronor, borde finansieras med lån. Enligt propositionen borde staten och berörda kommuner bilda ett aktiebolag, Bo</w:t>
      </w:r>
      <w:r w:rsidRPr="0071415C">
        <w:t>t</w:t>
      </w:r>
      <w:r w:rsidRPr="0071415C">
        <w:t>niabanan AB, med ansvar att finansiera, projektera, upphandla, bygga och hyra ut Botniabanan. Förslaget antogs av riksdagen (bet. 1997/98:TU10, rskr. 1997/98:267). I enlighet med dessa riktlinjer föreslogs i  1998 å</w:t>
      </w:r>
      <w:r w:rsidRPr="0071415C">
        <w:t>rs vårprop</w:t>
      </w:r>
      <w:r w:rsidRPr="0071415C">
        <w:t>o</w:t>
      </w:r>
      <w:r w:rsidRPr="0071415C">
        <w:t>sition att regeringen skulle bemyndigas att för den första utbyggnadsetappen mellan Örnsköldsvik och Husum samt för det fortsatta planeringsarbetet ställa ut kapitaltäckningsgarantier till skydd för Botniabanan AB:s eget k</w:t>
      </w:r>
      <w:r w:rsidRPr="0071415C">
        <w:t>a</w:t>
      </w:r>
      <w:r w:rsidRPr="0071415C">
        <w:t>pital och att garantera bolagets förpliktelser gentemot långivare, rättighetsi</w:t>
      </w:r>
      <w:r w:rsidRPr="0071415C">
        <w:t>n</w:t>
      </w:r>
      <w:r w:rsidRPr="0071415C">
        <w:t>nehavare och fordringsägare, inom en ram exklusive mervärdesskatt om 1,495 miljarder kronor i prisnivå 1 januari 1997. För att Botniabanan AB utan dröjsmål skulle kunna inleda och bygga upp sin verks</w:t>
      </w:r>
      <w:r w:rsidRPr="0071415C">
        <w:t>amhet föreslogs i samma proposition att Banverket skulle få använda anslaget A 4 Investerin</w:t>
      </w:r>
      <w:r w:rsidRPr="0071415C">
        <w:t>g</w:t>
      </w:r>
      <w:r w:rsidRPr="0071415C">
        <w:t xml:space="preserve">ar samt drift och underhåll av statliga järnvägar för lån till Botniabanan AB:s verksamhet inom en ram på 50 miljoner kronor. Botniabanan AB skulle återbetala medlen till Banverket senast den 1 juli 1999. Riksdagen lämnade det begärda bemyndigandet (prop. 1997/98:150, bet. 1997/98:FiU27, rskr. 1997/98:317). </w:t>
      </w:r>
    </w:p>
    <w:p w:rsidR="00BC49B6" w:rsidRPr="0071415C" w:rsidRDefault="00BC49B6">
      <w:pPr>
        <w:pStyle w:val="R3"/>
      </w:pPr>
      <w:r w:rsidRPr="0071415C">
        <w:t>3.2 Regeringens förslag</w:t>
      </w:r>
    </w:p>
    <w:p w:rsidR="00BC49B6" w:rsidRPr="0071415C" w:rsidRDefault="00BC49B6">
      <w:r w:rsidRPr="0071415C">
        <w:t>Regeringen begär (yrkande 19) riksdagens bemyndigande att inom ramen för ramanslaget A 4 Banhållning (utg.omr. 22) göra utfästelser om att till Bot-niabanan AB betala ersättning som täcker driftkostnader och amorteringar samt räntekostnader och andra finansiella kostnader. I propositionen erinras om riksdagsbeslutet med anledning av 1998 års ekonomiska vårproposition, vilket bl.a. innebar att medel för att täcka statens kostnader för hyra av Bo</w:t>
      </w:r>
      <w:r w:rsidRPr="0071415C">
        <w:t>t</w:t>
      </w:r>
      <w:r w:rsidRPr="0071415C">
        <w:t>niabanan och andra betalningar som följer av garanterade lån och av kapita</w:t>
      </w:r>
      <w:r w:rsidRPr="0071415C">
        <w:t>l</w:t>
      </w:r>
      <w:r w:rsidRPr="0071415C">
        <w:t>täckningsgarantin skall inrymmas i statsbudgeten fr.o.m. år 2004. Det nu föreslagna bemyndigandet motiverar regeringen med att det bör klarläggas att Botniabanan under alla förhållanden kommer att betalas över statsbudg</w:t>
      </w:r>
      <w:r w:rsidRPr="0071415C">
        <w:t>e</w:t>
      </w:r>
      <w:r w:rsidRPr="0071415C">
        <w:t>ten vilket minimerar den garantiavgift som Riksgäldskontoret kommer att beh</w:t>
      </w:r>
      <w:r w:rsidRPr="0071415C">
        <w:t>ö</w:t>
      </w:r>
      <w:r w:rsidRPr="0071415C">
        <w:t xml:space="preserve">va ta ut för sina kapitalkostnadsgarantier till Botniabanan AB. </w:t>
      </w:r>
    </w:p>
    <w:p w:rsidR="00BC49B6" w:rsidRPr="0071415C" w:rsidRDefault="00BC49B6">
      <w:pPr>
        <w:pStyle w:val="R3"/>
      </w:pPr>
      <w:r w:rsidRPr="0071415C">
        <w:t>3.3 Motionsförslag</w:t>
      </w:r>
    </w:p>
    <w:p w:rsidR="00BC49B6" w:rsidRPr="0071415C" w:rsidRDefault="00BC49B6">
      <w:r w:rsidRPr="0071415C">
        <w:t>I motion Fi28 avvisar Per-Richard Molén m.fl. (m) regeringens förslag (y</w:t>
      </w:r>
      <w:r w:rsidRPr="0071415C">
        <w:t>r</w:t>
      </w:r>
      <w:r w:rsidRPr="0071415C">
        <w:t>kande 1). Eftersom den totala kostnaden för Botniabanan ännu inte är redov</w:t>
      </w:r>
      <w:r w:rsidRPr="0071415C">
        <w:t>i</w:t>
      </w:r>
      <w:r w:rsidRPr="0071415C">
        <w:t>sad är det enligt motionärerna omöjligt att ställa detta järnvägsprojekt mot andra angelägna infrastrukturinvesteringar. Samtidigt är det allmänt känt att det norrländska vägnätet håller på att förfalla. Mot bakgrund av regeringens njugga inställning till väginvesteringar och vägunderhåll anser motionärerna att kostnaderna för hela Botniabanan inklusive de kommunala investeringa</w:t>
      </w:r>
      <w:r w:rsidRPr="0071415C">
        <w:t>r</w:t>
      </w:r>
      <w:r w:rsidRPr="0071415C">
        <w:t>na och övriga åtgärder i sin helhet skall redovisas, i</w:t>
      </w:r>
      <w:r w:rsidRPr="0071415C">
        <w:t xml:space="preserve">nnan pengar anslås till någon del av Botniabaneprojektet. </w:t>
      </w:r>
    </w:p>
    <w:p w:rsidR="00BC49B6" w:rsidRPr="0071415C" w:rsidRDefault="00BC49B6">
      <w:pPr>
        <w:pStyle w:val="R3"/>
      </w:pPr>
      <w:r w:rsidRPr="0071415C">
        <w:t>3.4 Trafikutskottets ställningstagande</w:t>
      </w:r>
    </w:p>
    <w:p w:rsidR="00BC49B6" w:rsidRPr="0071415C" w:rsidRDefault="00BC49B6">
      <w:r w:rsidRPr="0071415C">
        <w:t xml:space="preserve">Trafikutskottet anser i likhet med regeringen att omfattningen av statens finansiella åtaganden vad gäller Botniabanan bör preciseras på det sätt som föreslås i vårpropositionen (yrkande 19). Propositionen tillstyrks således i denna del. Härav följer att utskottet avstyrker motion Fi28 (m) yrkande 1. </w:t>
      </w:r>
    </w:p>
    <w:p w:rsidR="00BC49B6" w:rsidRPr="0071415C" w:rsidRDefault="00BC49B6">
      <w:pPr>
        <w:pStyle w:val="R2"/>
      </w:pPr>
      <w:r w:rsidRPr="0071415C">
        <w:t>4 Postgirot Bank AB</w:t>
      </w:r>
    </w:p>
    <w:p w:rsidR="00BC49B6" w:rsidRPr="0071415C" w:rsidRDefault="00BC49B6">
      <w:r w:rsidRPr="0071415C">
        <w:t xml:space="preserve">Regeringen begär (yrkande 20) riksdagens bemyndigande att få besluta om förändrad verksamhetsinriktning för Postgirot Bank AB. Bemyndigandet föreslås också innefatta rätten att besluta om en försäljning av Postgirot Bank AB. </w:t>
      </w:r>
    </w:p>
    <w:p w:rsidR="00BC49B6" w:rsidRPr="0071415C" w:rsidRDefault="00BC49B6">
      <w:r w:rsidRPr="0071415C">
        <w:t>Per-Richard Molén m.fl. (m) uttalar i motion Fi28 sitt stöd för regeringens tankar på en utförsäljning av Postgirot Bank AB. Men propositionen inn</w:t>
      </w:r>
      <w:r w:rsidRPr="0071415C">
        <w:t>e</w:t>
      </w:r>
      <w:r w:rsidRPr="0071415C">
        <w:t>håller inga konkreta uppgifter om en tidsplan för en sådan försäljning. En sådan plan bör fastställas snarast, anser motionärerna. Vidare anser de att försäljningslikviden skall användas för investeringar i infrastruktur. Därig</w:t>
      </w:r>
      <w:r w:rsidRPr="0071415C">
        <w:t>e</w:t>
      </w:r>
      <w:r w:rsidRPr="0071415C">
        <w:t xml:space="preserve">nom möjliggörs en temporär insats för att klara eftersatt vägunderhåll och vissa investeringar på det nationella vägnätet (yrkande 3). </w:t>
      </w:r>
    </w:p>
    <w:p w:rsidR="00BC49B6" w:rsidRPr="0071415C" w:rsidRDefault="00BC49B6">
      <w:pPr>
        <w:pStyle w:val="R3"/>
      </w:pPr>
      <w:r w:rsidRPr="0071415C">
        <w:t>Trafikutskottets ställningstagande</w:t>
      </w:r>
    </w:p>
    <w:p w:rsidR="00BC49B6" w:rsidRPr="0071415C" w:rsidRDefault="00BC49B6">
      <w:r w:rsidRPr="0071415C">
        <w:t>Med hänsyn till att de frågor om Postgirot Bank AB som behandlas i prop</w:t>
      </w:r>
      <w:r w:rsidRPr="0071415C">
        <w:t>o</w:t>
      </w:r>
      <w:r w:rsidRPr="0071415C">
        <w:t xml:space="preserve">sitionen huvudsakligen ligger utanför trafikutskottets beredningsområde avstår trafikutskottet från att yttra sig över propositionen och motionen i denna del. </w:t>
      </w:r>
    </w:p>
    <w:p w:rsidR="00BC49B6" w:rsidRPr="0071415C" w:rsidRDefault="00BC49B6"/>
    <w:p w:rsidR="00BC49B6" w:rsidRPr="0071415C" w:rsidRDefault="00BC49B6">
      <w:pPr>
        <w:pStyle w:val="Stockholm"/>
        <w:spacing w:before="0"/>
      </w:pPr>
      <w:r w:rsidRPr="0071415C">
        <w:t xml:space="preserve">Stockholm den 7 maj 1999 </w:t>
      </w:r>
    </w:p>
    <w:p w:rsidR="00BC49B6" w:rsidRPr="0071415C" w:rsidRDefault="00BC49B6">
      <w:pPr>
        <w:pStyle w:val="Vgnar"/>
      </w:pPr>
      <w:r w:rsidRPr="0071415C">
        <w:t>På trafikutskottets vägnar</w:t>
      </w:r>
    </w:p>
    <w:p w:rsidR="00BC49B6" w:rsidRPr="0071415C" w:rsidRDefault="00BC49B6">
      <w:pPr>
        <w:pStyle w:val="Ordfnamn"/>
      </w:pPr>
      <w:bookmarkStart w:id="23" w:name="Ordförande"/>
      <w:bookmarkEnd w:id="23"/>
      <w:r w:rsidRPr="0071415C">
        <w:t xml:space="preserve">Monica Öhman </w:t>
      </w:r>
    </w:p>
    <w:p w:rsidR="00BC49B6" w:rsidRPr="0071415C" w:rsidRDefault="00BC49B6">
      <w:pPr>
        <w:pStyle w:val="Deltagare"/>
        <w:spacing w:before="123"/>
      </w:pPr>
      <w:bookmarkStart w:id="24" w:name="Deltagare"/>
      <w:bookmarkStart w:id="25" w:name="_Toc448803168"/>
      <w:bookmarkEnd w:id="24"/>
    </w:p>
    <w:p w:rsidR="00BC49B6" w:rsidRPr="0071415C" w:rsidRDefault="00BC49B6">
      <w:pPr>
        <w:pStyle w:val="Deltagare"/>
        <w:spacing w:before="123"/>
      </w:pPr>
      <w:r w:rsidRPr="0071415C">
        <w:br w:type="page"/>
        <w:t>I beslutet har deltagit: Monica Öhman (s), Per-Richard Molén (m), Jarl La</w:t>
      </w:r>
      <w:r w:rsidRPr="0071415C">
        <w:t>n</w:t>
      </w:r>
      <w:r w:rsidRPr="0071415C">
        <w:t>der (s), Karin Svensson Smith (v), Johnny Gylling (kd), Tom Heyman (m), Krister Örnfjäder (s), Inger Segelström (s), Stig Eriksson (v), Tuve Skånberg (kd), Mikael Johansson (mp), Kenth Skårvik (fp), Claes-Görasn Brandin (s), Jan-Evert Rådhström (m), Christina Axelsson (s), Elizabeth Nyström (m) och Viviann Gerdin (c).</w:t>
      </w:r>
    </w:p>
    <w:p w:rsidR="00BC49B6" w:rsidRPr="0071415C" w:rsidRDefault="00BC49B6">
      <w:pPr>
        <w:pStyle w:val="R2"/>
      </w:pPr>
      <w:r w:rsidRPr="0071415C">
        <w:t>Avvikande meningar</w:t>
      </w:r>
      <w:bookmarkEnd w:id="25"/>
    </w:p>
    <w:p w:rsidR="00BC49B6" w:rsidRPr="0071415C" w:rsidRDefault="00BC49B6">
      <w:pPr>
        <w:pStyle w:val="R3"/>
        <w:spacing w:before="123"/>
      </w:pPr>
      <w:r w:rsidRPr="0071415C">
        <w:t>1. Anslagen  B 6 Vissa kostnader  med  anledning  av  M/S  Estonias för-lisning och D 2 Köp av interregional persontrafik  på järnväg m.m.  (av-snitt 1)</w:t>
      </w:r>
    </w:p>
    <w:p w:rsidR="00BC49B6" w:rsidRPr="0071415C" w:rsidRDefault="00BC49B6">
      <w:r w:rsidRPr="0071415C">
        <w:t>Per-Richard Molén (m), Tom Heyman (m), Jan-Evert Rådhström (m) och Elizabeth Nyström (m) anför:</w:t>
      </w:r>
    </w:p>
    <w:p w:rsidR="00BC49B6" w:rsidRPr="0071415C" w:rsidRDefault="00BC49B6">
      <w:r w:rsidRPr="0071415C">
        <w:t>Vi moderater anser att det är rätt att avsätta 10,6 miljoner kronor till det av regeringen föreslagna ändamålet. Men, som vi redovisat i motion Fi28 (m), motsätter vi oss att det nya anslaget finansieras genom en minskning av anslaget D 2 Köp av interregional persontrafik på järnväg m.m. Det bör ankomma på finansutskottet att överväga hur det nya anslaget skall finansi</w:t>
      </w:r>
      <w:r w:rsidRPr="0071415C">
        <w:t>e</w:t>
      </w:r>
      <w:r w:rsidRPr="0071415C">
        <w:t xml:space="preserve">ras. </w:t>
      </w:r>
    </w:p>
    <w:p w:rsidR="00BC49B6" w:rsidRPr="0071415C" w:rsidRDefault="00BC49B6">
      <w:pPr>
        <w:pStyle w:val="R3"/>
        <w:spacing w:before="123"/>
      </w:pPr>
    </w:p>
    <w:p w:rsidR="00BC49B6" w:rsidRPr="0071415C" w:rsidRDefault="00BC49B6">
      <w:pPr>
        <w:pStyle w:val="R3"/>
        <w:spacing w:before="123"/>
      </w:pPr>
      <w:r w:rsidRPr="0071415C">
        <w:t>2. Anslagen B 6 Vissa  kostnader  med  anledning  av M/S Estonias för-lisning och D 2 Köp av interregional persontrafik på järnväg m.m. (av-snitt 1)</w:t>
      </w:r>
    </w:p>
    <w:p w:rsidR="00BC49B6" w:rsidRPr="0071415C" w:rsidRDefault="00BC49B6">
      <w:r w:rsidRPr="0071415C">
        <w:t>Kenth Skårvik (fp) anför:</w:t>
      </w:r>
    </w:p>
    <w:p w:rsidR="00BC49B6" w:rsidRPr="0071415C" w:rsidRDefault="00BC49B6">
      <w:r w:rsidRPr="0071415C">
        <w:t>Jag motsätter mig inte regeringens förslag om att ett nytt anslag med anle</w:t>
      </w:r>
      <w:r w:rsidRPr="0071415C">
        <w:t>d</w:t>
      </w:r>
      <w:r w:rsidRPr="0071415C">
        <w:t>ning av M/S Estonias förlisning förs upp på statsbudgeten med det av reg</w:t>
      </w:r>
      <w:r w:rsidRPr="0071415C">
        <w:t>e</w:t>
      </w:r>
      <w:r w:rsidRPr="0071415C">
        <w:t>ringen föreslagna beloppet. Däremot har jag invändningar mot den föresla</w:t>
      </w:r>
      <w:r w:rsidRPr="0071415C">
        <w:t>g</w:t>
      </w:r>
      <w:r w:rsidRPr="0071415C">
        <w:t>na finansieringen. Det kan enligt min uppfattning inte vara rätt att, som reg</w:t>
      </w:r>
      <w:r w:rsidRPr="0071415C">
        <w:t>e</w:t>
      </w:r>
      <w:r w:rsidRPr="0071415C">
        <w:t>ringen förordar, minska anslaget för upphandling av interregional järnväg</w:t>
      </w:r>
      <w:r w:rsidRPr="0071415C">
        <w:t>s</w:t>
      </w:r>
      <w:r w:rsidRPr="0071415C">
        <w:t xml:space="preserve">trafik (D 2) som är av stor betydelse för möjligheterna att bedriva tågtrafik och annan trafik i olika delar av landet. Som föreslås i motionerna Fi17 (fp) och Fi19 (fp) bör det nya anslaget i stället finansieras </w:t>
      </w:r>
      <w:r w:rsidRPr="0071415C">
        <w:t>med en motsvarande minskning av Vägverkets administrationsanslag (A 1)  och Banverkets a</w:t>
      </w:r>
      <w:r w:rsidRPr="0071415C">
        <w:t>n</w:t>
      </w:r>
      <w:r w:rsidRPr="0071415C">
        <w:t>slag för sektorsup</w:t>
      </w:r>
      <w:r w:rsidRPr="0071415C">
        <w:t>p</w:t>
      </w:r>
      <w:r w:rsidRPr="0071415C">
        <w:t xml:space="preserve">gifter (A 3). </w:t>
      </w:r>
    </w:p>
    <w:p w:rsidR="00BC49B6" w:rsidRPr="0071415C" w:rsidRDefault="00BC49B6">
      <w:pPr>
        <w:pStyle w:val="R3"/>
      </w:pPr>
      <w:r w:rsidRPr="0071415C">
        <w:t>3. Ersättning till Botniabanan AB (avsnitt 3)</w:t>
      </w:r>
    </w:p>
    <w:p w:rsidR="00BC49B6" w:rsidRPr="0071415C" w:rsidRDefault="00BC49B6">
      <w:r w:rsidRPr="0071415C">
        <w:t>Per-Richard Molén (m), Tom Heyman (m), Jan-Evert Rådhström (m) och Elizabeth Nyström (m) anför:</w:t>
      </w:r>
    </w:p>
    <w:p w:rsidR="00BC49B6" w:rsidRPr="0071415C" w:rsidRDefault="00BC49B6">
      <w:r w:rsidRPr="0071415C">
        <w:t>I den ekonomiska vårpropositionen (yrkande 19) begär regeringen riksd</w:t>
      </w:r>
      <w:r w:rsidRPr="0071415C">
        <w:t>a</w:t>
      </w:r>
      <w:r w:rsidRPr="0071415C">
        <w:t>gens bemyndigande att från anslaget A 4 Banhållning (utg.omr. 22) till Bo</w:t>
      </w:r>
      <w:r w:rsidRPr="0071415C">
        <w:t>t</w:t>
      </w:r>
      <w:r w:rsidRPr="0071415C">
        <w:t>niabanan AB betala ersättning som täcker driftskostnader och amorteringar samt räntekostnader och andra finansiella kos</w:t>
      </w:r>
      <w:r w:rsidRPr="0071415C">
        <w:t>t</w:t>
      </w:r>
      <w:r w:rsidRPr="0071415C">
        <w:t xml:space="preserve">nader. </w:t>
      </w:r>
    </w:p>
    <w:p w:rsidR="00BC49B6" w:rsidRPr="0071415C" w:rsidRDefault="00BC49B6">
      <w:pPr>
        <w:pStyle w:val="Normaltindrag"/>
      </w:pPr>
      <w:r w:rsidRPr="0071415C">
        <w:t>Vi kan med anledning härav konstatera att projektets totalkostnad ännu inte har redovisats. Därmed kan inte projektet ställas mot andra angelägna infrastrukturinvesteringar. Möjligheten att göra sådana jämförelser är särskilt angelägen mot bakgrund av att det norrländska vägnätet håller på att fö</w:t>
      </w:r>
      <w:r w:rsidRPr="0071415C">
        <w:t>r</w:t>
      </w:r>
      <w:r w:rsidRPr="0071415C">
        <w:t xml:space="preserve">falla. </w:t>
      </w:r>
    </w:p>
    <w:p w:rsidR="00BC49B6" w:rsidRPr="0071415C" w:rsidRDefault="00BC49B6">
      <w:pPr>
        <w:pStyle w:val="Normaltindrag"/>
      </w:pPr>
      <w:r w:rsidRPr="0071415C">
        <w:t>Dessutom vill vi peka på att Botniabanan förutsätter andra dyrbara invest</w:t>
      </w:r>
      <w:r w:rsidRPr="0071415C">
        <w:t>e</w:t>
      </w:r>
      <w:r w:rsidRPr="0071415C">
        <w:t>ringsåtgärder. Bland annat krävs en upprustning av Ådalsbanan. Vidare måste Ostkustbanan mellan Härnösand och Sundsvall rustas upp för den tunga trafiken. Härtill kommer miljöåtgärder på den del av Ostkustbanan som går genom Sundsvalls centrum.</w:t>
      </w:r>
    </w:p>
    <w:p w:rsidR="00BC49B6" w:rsidRPr="0071415C" w:rsidRDefault="00BC49B6">
      <w:pPr>
        <w:pStyle w:val="Normaltindrag"/>
      </w:pPr>
      <w:r w:rsidRPr="0071415C">
        <w:t>Vi anser sammanfattningsvis att kostnaderna för hela Botniabanan inklus</w:t>
      </w:r>
      <w:r w:rsidRPr="0071415C">
        <w:t>i</w:t>
      </w:r>
      <w:r w:rsidRPr="0071415C">
        <w:t>ve kommunala investeringar och övriga åtgärder från Nyland söderut måste redovisas i sin helhet innan medel anslås till Botniabanan. Detta bör riksd</w:t>
      </w:r>
      <w:r w:rsidRPr="0071415C">
        <w:t>a</w:t>
      </w:r>
      <w:r w:rsidRPr="0071415C">
        <w:t xml:space="preserve">gen med bifall till motion Fi28 (m) yrkande 1 och med avslag på regeringens förslag som sin mening ge regeringen till känna. </w:t>
      </w:r>
    </w:p>
    <w:p w:rsidR="00BC49B6" w:rsidRPr="0071415C" w:rsidRDefault="00BC49B6">
      <w:pPr>
        <w:pStyle w:val="R3"/>
        <w:rPr>
          <w:sz w:val="17"/>
        </w:rPr>
      </w:pPr>
      <w:r w:rsidRPr="0071415C">
        <w:t xml:space="preserve">4. Postgirot Bank AB (avsnitt 4) </w:t>
      </w:r>
    </w:p>
    <w:p w:rsidR="00BC49B6" w:rsidRPr="0071415C" w:rsidRDefault="00BC49B6">
      <w:r w:rsidRPr="0071415C">
        <w:t>Per-Richard Molén (m), Tom Heyman (m), Jan-Evert Rådhström (m) och Elizabeth Nyström (m) anför:</w:t>
      </w:r>
    </w:p>
    <w:p w:rsidR="00BC49B6" w:rsidRPr="0071415C" w:rsidRDefault="00BC49B6">
      <w:r w:rsidRPr="0071415C">
        <w:t>Frågan om försäljning av Postgirot Bank AB har stor betydelse för Postens ekonomi och därmed för möjligheterna för Posten att upprätthålla en god postservice i hela landet. Därför anser vi moderater att trafikutskottet borde ha yttrat sig över regeringens förslag rörande Postgirot Bank AB. För vår del välkomnar vi regeringens tankar på en utförsäljning av Postgirot. Som fra</w:t>
      </w:r>
      <w:r w:rsidRPr="0071415C">
        <w:t>m</w:t>
      </w:r>
      <w:r w:rsidRPr="0071415C">
        <w:t>hålls i motion  Fi28 (m) bör en tidsplan för försäljningen fastställas snarast. Med hänsyn till att Posten AB med dotterbolag ingår i utgiftsområde 22 Kommunikationer anser vi att försäljningsintäkten bör behållas inom utgift</w:t>
      </w:r>
      <w:r w:rsidRPr="0071415C">
        <w:t>s</w:t>
      </w:r>
      <w:r w:rsidRPr="0071415C">
        <w:t>området och användas för angelägna infrastrukturinvesteringar. Detta skulle möjliggöra en temporär insats för att klara eftersatt vägunderhåll och invest</w:t>
      </w:r>
      <w:r w:rsidRPr="0071415C">
        <w:t>e</w:t>
      </w:r>
      <w:r w:rsidRPr="0071415C">
        <w:t>ringar på det nationella vägnätet. Vad vi nu anfört bör riksdagen med bifall till motion Fi28 (m) yrkande 3 som sin mening ge reger</w:t>
      </w:r>
      <w:r w:rsidRPr="0071415C">
        <w:t>ingen till kä</w:t>
      </w:r>
      <w:r w:rsidRPr="0071415C">
        <w:t>n</w:t>
      </w:r>
      <w:r w:rsidRPr="0071415C">
        <w:t xml:space="preserve">na. </w:t>
      </w:r>
    </w:p>
    <w:p w:rsidR="00BC49B6" w:rsidRPr="0071415C" w:rsidRDefault="00BC49B6">
      <w:pPr>
        <w:pStyle w:val="R2"/>
      </w:pPr>
      <w:r w:rsidRPr="0071415C">
        <w:t>Särskilt yttrande</w:t>
      </w:r>
    </w:p>
    <w:p w:rsidR="00BC49B6" w:rsidRPr="0071415C" w:rsidRDefault="00BC49B6">
      <w:pPr>
        <w:pStyle w:val="R3"/>
        <w:spacing w:before="123"/>
        <w:rPr>
          <w:sz w:val="17"/>
        </w:rPr>
      </w:pPr>
      <w:r w:rsidRPr="0071415C">
        <w:t xml:space="preserve">Postgirot Bank AB (avsnitt 4) </w:t>
      </w:r>
    </w:p>
    <w:p w:rsidR="00BC49B6" w:rsidRPr="0071415C" w:rsidRDefault="00BC49B6">
      <w:r w:rsidRPr="0071415C">
        <w:t>Johnny Gylling (kd), Tuve Skånberg (kd) och Kenth Skårvik (fp) anför:</w:t>
      </w:r>
    </w:p>
    <w:p w:rsidR="00BC49B6" w:rsidRPr="0071415C" w:rsidRDefault="00BC49B6">
      <w:r w:rsidRPr="0071415C">
        <w:t>Vi anser att trafikutskottet borde ha yttrat sig över regeringens förslag röra</w:t>
      </w:r>
      <w:r w:rsidRPr="0071415C">
        <w:t>n</w:t>
      </w:r>
      <w:r w:rsidRPr="0071415C">
        <w:t xml:space="preserve">de Postgirot Bank AB. </w:t>
      </w:r>
    </w:p>
    <w:p w:rsidR="00BC49B6" w:rsidRPr="0071415C" w:rsidRDefault="00BC49B6">
      <w:pPr>
        <w:pStyle w:val="Normaltindrag"/>
      </w:pPr>
      <w:r w:rsidRPr="0071415C">
        <w:t>Vi ställer oss bakom förslaget enligt yrkande 20 i propositionen om ett bemyndigande för regeringen att besluta om en förändrad verksamhetsinrik</w:t>
      </w:r>
      <w:r w:rsidRPr="0071415C">
        <w:t>t</w:t>
      </w:r>
      <w:r w:rsidRPr="0071415C">
        <w:t>ning för Postgirot Bank AB alternativt en försäljning av företaget. Såsom framhålls i motion Fi15 (kd) förordar vi försäljningsalternativet och anser att en tidsplan för avyt</w:t>
      </w:r>
      <w:r w:rsidRPr="0071415C">
        <w:t>t</w:t>
      </w:r>
      <w:r w:rsidRPr="0071415C">
        <w:t xml:space="preserve">ringen bör fastställas så snart som möjligt. </w:t>
      </w:r>
    </w:p>
    <w:p w:rsidR="00BC49B6" w:rsidRPr="0071415C" w:rsidRDefault="00BC49B6">
      <w:pPr>
        <w:pStyle w:val="Normaltindrag"/>
      </w:pPr>
    </w:p>
    <w:p w:rsidR="00BC49B6" w:rsidRPr="0071415C" w:rsidRDefault="00BC49B6">
      <w:pPr>
        <w:pStyle w:val="Tryckort"/>
        <w:framePr w:wrap="around"/>
      </w:pPr>
      <w:r w:rsidRPr="0071415C">
        <w:t>Elanders Gotab, Stockholm  1999</w:t>
      </w:r>
    </w:p>
    <w:p w:rsidR="00BC49B6" w:rsidRPr="0071415C" w:rsidRDefault="00BC49B6">
      <w:pPr>
        <w:pStyle w:val="Normaltindrag"/>
      </w:pPr>
    </w:p>
    <w:sectPr w:rsidR="00BC49B6" w:rsidRPr="0071415C">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49B6" w:rsidRDefault="00BC49B6">
      <w:pPr>
        <w:spacing w:before="0" w:line="240" w:lineRule="auto"/>
      </w:pPr>
      <w:r>
        <w:separator/>
      </w:r>
    </w:p>
  </w:endnote>
  <w:endnote w:type="continuationSeparator" w:id="0">
    <w:p w:rsidR="00BC49B6" w:rsidRDefault="00BC49B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9B6" w:rsidRDefault="00BC49B6">
    <w:pPr>
      <w:pStyle w:val="SidfotH"/>
      <w:framePr w:wrap="around"/>
    </w:pPr>
    <w:r>
      <w:fldChar w:fldCharType="begin" w:fldLock="1"/>
    </w:r>
    <w:r>
      <w:instrText xml:space="preserve"> PAGE </w:instrText>
    </w:r>
    <w:r>
      <w:fldChar w:fldCharType="separate"/>
    </w:r>
    <w:r>
      <w:rPr>
        <w:noProof/>
      </w:rPr>
      <w:t>1</w:t>
    </w:r>
    <w:r>
      <w:fldChar w:fldCharType="end"/>
    </w:r>
  </w:p>
  <w:p w:rsidR="00BC49B6" w:rsidRDefault="00BC4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49B6" w:rsidRDefault="00BC49B6">
      <w:pPr>
        <w:pStyle w:val="Sidfot"/>
      </w:pPr>
    </w:p>
  </w:footnote>
  <w:footnote w:type="continuationSeparator" w:id="0">
    <w:p w:rsidR="00BC49B6" w:rsidRDefault="00BC49B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9B6" w:rsidRDefault="00BC49B6">
    <w:pPr>
      <w:pStyle w:val="SidhuvudKant"/>
      <w:framePr w:w="1985" w:h="2743" w:hRule="exact" w:wrap="around" w:vAnchor="page" w:hAnchor="page" w:x="7372" w:y="568" w:anchorLock="0"/>
    </w:pPr>
  </w:p>
  <w:p w:rsidR="00BC49B6" w:rsidRDefault="00BC49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92198"/>
    <w:multiLevelType w:val="singleLevel"/>
    <w:tmpl w:val="041D000F"/>
    <w:lvl w:ilvl="0">
      <w:start w:val="1"/>
      <w:numFmt w:val="decimal"/>
      <w:lvlText w:val="%1."/>
      <w:lvlJc w:val="left"/>
      <w:pPr>
        <w:tabs>
          <w:tab w:val="num" w:pos="360"/>
        </w:tabs>
        <w:ind w:left="360" w:hanging="360"/>
      </w:pPr>
    </w:lvl>
  </w:abstractNum>
  <w:num w:numId="1" w16cid:durableId="205692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899"/>
  </w:docVars>
  <w:rsids>
    <w:rsidRoot w:val="006D58BA"/>
    <w:rsid w:val="006D58BA"/>
    <w:rsid w:val="0071415C"/>
    <w:rsid w:val="00BC49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0EDFA8-2D56-4DDB-88A2-0DB6DB12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2928</Words>
  <Characters>17979</Characters>
  <Application>Microsoft Office Word</Application>
  <DocSecurity>4</DocSecurity>
  <Lines>428</Lines>
  <Paragraphs>135</Paragraphs>
  <ScaleCrop>false</ScaleCrop>
  <HeadingPairs>
    <vt:vector size="2" baseType="variant">
      <vt:variant>
        <vt:lpstr>Title</vt:lpstr>
      </vt:variant>
      <vt:variant>
        <vt:i4>1</vt:i4>
      </vt:variant>
    </vt:vector>
  </HeadingPairs>
  <TitlesOfParts>
    <vt:vector size="1" baseType="lpstr">
      <vt:lpstr>Trafikutskottets yttrande</vt:lpstr>
    </vt:vector>
  </TitlesOfParts>
  <Company>Riksdagen</Company>
  <LinksUpToDate>false</LinksUpToDate>
  <CharactersWithSpaces>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yttrande</dc:title>
  <dc:subject>Trafikutskottets yttrande</dc:subject>
  <dc:creator>Riksdagen</dc:creator>
  <cp:keywords>Riksdagen</cp:keywords>
  <cp:lastModifiedBy>Lars Brink</cp:lastModifiedBy>
  <cp:revision>2</cp:revision>
  <cp:lastPrinted>1999-05-07T13:07:00Z</cp:lastPrinted>
  <dcterms:created xsi:type="dcterms:W3CDTF">2025-12-15T21:00:00Z</dcterms:created>
  <dcterms:modified xsi:type="dcterms:W3CDTF">2025-12-15T21:00:00Z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TU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