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971690" w:rsidTr="006B01A8">
        <w:tblPrEx>
          <w:tblCellMar>
            <w:top w:w="0" w:type="dxa"/>
            <w:bottom w:w="0" w:type="dxa"/>
          </w:tblCellMar>
        </w:tblPrEx>
        <w:tc>
          <w:tcPr>
            <w:tcW w:w="2268" w:type="dxa"/>
          </w:tcPr>
          <w:p w:rsidR="006E4E11" w:rsidRPr="00971690"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971690" w:rsidRDefault="006E4E11" w:rsidP="007242A3">
            <w:pPr>
              <w:framePr w:w="5035" w:h="1644" w:wrap="notBeside" w:vAnchor="page" w:hAnchor="page" w:x="6573" w:y="721"/>
              <w:rPr>
                <w:rFonts w:ascii="TradeGothic" w:hAnsi="TradeGothic"/>
                <w:i/>
                <w:sz w:val="18"/>
              </w:rPr>
            </w:pPr>
          </w:p>
        </w:tc>
      </w:tr>
      <w:tr w:rsidR="006B01A8" w:rsidRPr="00971690" w:rsidTr="006B01A8">
        <w:tblPrEx>
          <w:tblCellMar>
            <w:top w:w="0" w:type="dxa"/>
            <w:bottom w:w="0" w:type="dxa"/>
          </w:tblCellMar>
        </w:tblPrEx>
        <w:tc>
          <w:tcPr>
            <w:tcW w:w="5267" w:type="dxa"/>
            <w:gridSpan w:val="3"/>
          </w:tcPr>
          <w:p w:rsidR="006B01A8" w:rsidRPr="00971690" w:rsidRDefault="006B01A8" w:rsidP="007242A3">
            <w:pPr>
              <w:framePr w:w="5035" w:h="1644" w:wrap="notBeside" w:vAnchor="page" w:hAnchor="page" w:x="6573" w:y="721"/>
              <w:rPr>
                <w:rFonts w:ascii="TradeGothic" w:hAnsi="TradeGothic"/>
                <w:b/>
                <w:sz w:val="22"/>
              </w:rPr>
            </w:pPr>
            <w:r w:rsidRPr="00971690">
              <w:rPr>
                <w:rFonts w:ascii="TradeGothic" w:hAnsi="TradeGothic"/>
                <w:b/>
                <w:sz w:val="22"/>
              </w:rPr>
              <w:t>Rådspromemoria</w:t>
            </w:r>
          </w:p>
        </w:tc>
      </w:tr>
      <w:tr w:rsidR="006E4E11" w:rsidRPr="00971690" w:rsidTr="006B01A8">
        <w:tblPrEx>
          <w:tblCellMar>
            <w:top w:w="0" w:type="dxa"/>
            <w:bottom w:w="0" w:type="dxa"/>
          </w:tblCellMar>
        </w:tblPrEx>
        <w:tc>
          <w:tcPr>
            <w:tcW w:w="3402" w:type="dxa"/>
            <w:gridSpan w:val="2"/>
          </w:tcPr>
          <w:p w:rsidR="006E4E11" w:rsidRPr="00971690" w:rsidRDefault="006E4E11" w:rsidP="007242A3">
            <w:pPr>
              <w:framePr w:w="5035" w:h="1644" w:wrap="notBeside" w:vAnchor="page" w:hAnchor="page" w:x="6573" w:y="721"/>
            </w:pPr>
          </w:p>
        </w:tc>
        <w:tc>
          <w:tcPr>
            <w:tcW w:w="1865" w:type="dxa"/>
          </w:tcPr>
          <w:p w:rsidR="006E4E11" w:rsidRPr="00971690" w:rsidRDefault="006E4E11" w:rsidP="007242A3">
            <w:pPr>
              <w:framePr w:w="5035" w:h="1644" w:wrap="notBeside" w:vAnchor="page" w:hAnchor="page" w:x="6573" w:y="721"/>
            </w:pPr>
          </w:p>
        </w:tc>
      </w:tr>
      <w:tr w:rsidR="006E4E11" w:rsidRPr="00971690" w:rsidTr="006B01A8">
        <w:tblPrEx>
          <w:tblCellMar>
            <w:top w:w="0" w:type="dxa"/>
            <w:bottom w:w="0" w:type="dxa"/>
          </w:tblCellMar>
        </w:tblPrEx>
        <w:tc>
          <w:tcPr>
            <w:tcW w:w="2268" w:type="dxa"/>
          </w:tcPr>
          <w:p w:rsidR="006E4E11" w:rsidRPr="00971690" w:rsidRDefault="006B01A8" w:rsidP="007242A3">
            <w:pPr>
              <w:framePr w:w="5035" w:h="1644" w:wrap="notBeside" w:vAnchor="page" w:hAnchor="page" w:x="6573" w:y="721"/>
            </w:pPr>
            <w:r w:rsidRPr="00971690">
              <w:t>2008-</w:t>
            </w:r>
            <w:r w:rsidR="0078130B" w:rsidRPr="00971690">
              <w:t>04-07</w:t>
            </w:r>
          </w:p>
        </w:tc>
        <w:tc>
          <w:tcPr>
            <w:tcW w:w="2999" w:type="dxa"/>
            <w:gridSpan w:val="2"/>
          </w:tcPr>
          <w:p w:rsidR="006E4E11" w:rsidRPr="00971690" w:rsidRDefault="006E4E11" w:rsidP="007242A3">
            <w:pPr>
              <w:framePr w:w="5035" w:h="1644" w:wrap="notBeside" w:vAnchor="page" w:hAnchor="page" w:x="6573" w:y="721"/>
            </w:pPr>
          </w:p>
        </w:tc>
      </w:tr>
      <w:tr w:rsidR="006E4E11" w:rsidRPr="00971690" w:rsidTr="006B01A8">
        <w:tblPrEx>
          <w:tblCellMar>
            <w:top w:w="0" w:type="dxa"/>
            <w:bottom w:w="0" w:type="dxa"/>
          </w:tblCellMar>
        </w:tblPrEx>
        <w:tc>
          <w:tcPr>
            <w:tcW w:w="2268" w:type="dxa"/>
          </w:tcPr>
          <w:p w:rsidR="006E4E11" w:rsidRPr="00971690" w:rsidRDefault="006E4E11" w:rsidP="007242A3">
            <w:pPr>
              <w:framePr w:w="5035" w:h="1644" w:wrap="notBeside" w:vAnchor="page" w:hAnchor="page" w:x="6573" w:y="721"/>
            </w:pPr>
          </w:p>
        </w:tc>
        <w:tc>
          <w:tcPr>
            <w:tcW w:w="2999" w:type="dxa"/>
            <w:gridSpan w:val="2"/>
          </w:tcPr>
          <w:p w:rsidR="006E4E11" w:rsidRPr="00971690"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971690">
        <w:tblPrEx>
          <w:tblCellMar>
            <w:top w:w="0" w:type="dxa"/>
            <w:bottom w:w="0" w:type="dxa"/>
          </w:tblCellMar>
        </w:tblPrEx>
        <w:trPr>
          <w:trHeight w:val="284"/>
        </w:trPr>
        <w:tc>
          <w:tcPr>
            <w:tcW w:w="4911" w:type="dxa"/>
          </w:tcPr>
          <w:p w:rsidR="006E4E11" w:rsidRPr="00971690" w:rsidRDefault="006B01A8">
            <w:pPr>
              <w:pStyle w:val="Avsndare"/>
              <w:framePr w:h="2483" w:wrap="notBeside" w:x="1504"/>
              <w:rPr>
                <w:b/>
                <w:i w:val="0"/>
                <w:sz w:val="22"/>
              </w:rPr>
            </w:pPr>
            <w:r w:rsidRPr="00971690">
              <w:rPr>
                <w:b/>
                <w:i w:val="0"/>
                <w:sz w:val="22"/>
              </w:rPr>
              <w:t>Justitiedepartementet</w:t>
            </w: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r w:rsidR="006E4E11" w:rsidRPr="00971690">
        <w:tblPrEx>
          <w:tblCellMar>
            <w:top w:w="0" w:type="dxa"/>
            <w:bottom w:w="0" w:type="dxa"/>
          </w:tblCellMar>
        </w:tblPrEx>
        <w:trPr>
          <w:trHeight w:val="284"/>
        </w:trPr>
        <w:tc>
          <w:tcPr>
            <w:tcW w:w="4911" w:type="dxa"/>
          </w:tcPr>
          <w:p w:rsidR="006E4E11" w:rsidRPr="00971690" w:rsidRDefault="006B01A8">
            <w:pPr>
              <w:pStyle w:val="Avsndare"/>
              <w:framePr w:h="2483" w:wrap="notBeside" w:x="1504"/>
              <w:rPr>
                <w:bCs/>
                <w:iCs/>
              </w:rPr>
            </w:pPr>
            <w:r w:rsidRPr="00971690">
              <w:rPr>
                <w:bCs/>
                <w:iCs/>
              </w:rPr>
              <w:t>Enheten för polisfrågor samt allmän ordning och säkerhet</w:t>
            </w: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r w:rsidR="006E4E11" w:rsidRPr="00971690">
        <w:tblPrEx>
          <w:tblCellMar>
            <w:top w:w="0" w:type="dxa"/>
            <w:bottom w:w="0" w:type="dxa"/>
          </w:tblCellMar>
        </w:tblPrEx>
        <w:trPr>
          <w:trHeight w:val="284"/>
        </w:trPr>
        <w:tc>
          <w:tcPr>
            <w:tcW w:w="4911" w:type="dxa"/>
          </w:tcPr>
          <w:p w:rsidR="006E4E11" w:rsidRPr="00971690" w:rsidRDefault="006E4E11">
            <w:pPr>
              <w:pStyle w:val="Avsndare"/>
              <w:framePr w:h="2483" w:wrap="notBeside" w:x="1504"/>
              <w:rPr>
                <w:bCs/>
                <w:iCs/>
              </w:rPr>
            </w:pPr>
          </w:p>
        </w:tc>
      </w:tr>
    </w:tbl>
    <w:p w:rsidR="006E4E11" w:rsidRPr="00971690" w:rsidRDefault="006E4E11">
      <w:pPr>
        <w:framePr w:w="4400" w:h="2523" w:wrap="notBeside" w:vAnchor="page" w:hAnchor="page" w:x="6453" w:y="2445"/>
        <w:ind w:left="142"/>
        <w:rPr>
          <w:b/>
        </w:rPr>
      </w:pPr>
    </w:p>
    <w:p w:rsidR="006B01A8" w:rsidRPr="00971690" w:rsidRDefault="006B01A8">
      <w:pPr>
        <w:pStyle w:val="RKrubrik"/>
        <w:pBdr>
          <w:bottom w:val="single" w:sz="6" w:space="1" w:color="auto"/>
        </w:pBdr>
      </w:pPr>
      <w:bookmarkStart w:id="0" w:name="bRubrik"/>
      <w:bookmarkEnd w:id="0"/>
      <w:r w:rsidRPr="00971690">
        <w:t xml:space="preserve">Rådets möte </w:t>
      </w:r>
      <w:r w:rsidR="000B5EAE" w:rsidRPr="00971690">
        <w:t>(</w:t>
      </w:r>
      <w:r w:rsidRPr="00971690">
        <w:t>rättsliga och inrikes frågor</w:t>
      </w:r>
      <w:r w:rsidR="000B5EAE" w:rsidRPr="00971690">
        <w:t>)</w:t>
      </w:r>
      <w:r w:rsidRPr="00971690">
        <w:t xml:space="preserve"> den 18 april 2008</w:t>
      </w:r>
    </w:p>
    <w:p w:rsidR="006B01A8" w:rsidRPr="00971690" w:rsidRDefault="006B01A8">
      <w:pPr>
        <w:pStyle w:val="RKnormal"/>
      </w:pPr>
    </w:p>
    <w:p w:rsidR="006B01A8" w:rsidRPr="00971690" w:rsidRDefault="006B01A8">
      <w:pPr>
        <w:pStyle w:val="RKnormal"/>
        <w:rPr>
          <w:b/>
        </w:rPr>
      </w:pPr>
      <w:r w:rsidRPr="00971690">
        <w:rPr>
          <w:b/>
        </w:rPr>
        <w:t xml:space="preserve">Dagordningspunkt </w:t>
      </w:r>
      <w:r w:rsidR="00DF7A1C" w:rsidRPr="00971690">
        <w:rPr>
          <w:b/>
        </w:rPr>
        <w:t>10</w:t>
      </w:r>
    </w:p>
    <w:p w:rsidR="006B01A8" w:rsidRPr="00971690" w:rsidRDefault="006B01A8">
      <w:pPr>
        <w:pStyle w:val="RKnormal"/>
      </w:pPr>
    </w:p>
    <w:p w:rsidR="006B01A8" w:rsidRPr="00971690" w:rsidRDefault="00DF7A1C">
      <w:pPr>
        <w:pStyle w:val="RKnormal"/>
        <w:rPr>
          <w:b/>
        </w:rPr>
      </w:pPr>
      <w:r w:rsidRPr="00971690">
        <w:rPr>
          <w:b/>
        </w:rPr>
        <w:t>EU:s h</w:t>
      </w:r>
      <w:r w:rsidR="006B01A8" w:rsidRPr="00971690">
        <w:rPr>
          <w:b/>
        </w:rPr>
        <w:t>andlingsplan för bättre sprängämnessäkerhet</w:t>
      </w:r>
    </w:p>
    <w:p w:rsidR="006B01A8" w:rsidRPr="00971690" w:rsidRDefault="006B01A8">
      <w:pPr>
        <w:pStyle w:val="RKnormal"/>
      </w:pPr>
    </w:p>
    <w:p w:rsidR="006B01A8" w:rsidRPr="00971690" w:rsidRDefault="006B01A8">
      <w:pPr>
        <w:pStyle w:val="RKnormal"/>
      </w:pPr>
      <w:r w:rsidRPr="00971690">
        <w:t>Dokument:</w:t>
      </w:r>
      <w:r w:rsidR="00F06B08" w:rsidRPr="00971690">
        <w:t xml:space="preserve"> 7712/</w:t>
      </w:r>
      <w:r w:rsidR="00584324" w:rsidRPr="00971690">
        <w:t>1/</w:t>
      </w:r>
      <w:r w:rsidR="00F06B08" w:rsidRPr="00971690">
        <w:t>08 ENFOPOL 53</w:t>
      </w:r>
      <w:r w:rsidR="00BE1787" w:rsidRPr="00971690">
        <w:t xml:space="preserve"> REV 1</w:t>
      </w:r>
      <w:r w:rsidR="00EE5D9B" w:rsidRPr="00971690">
        <w:t xml:space="preserve"> (bifogas)</w:t>
      </w:r>
    </w:p>
    <w:p w:rsidR="006B01A8" w:rsidRPr="00971690" w:rsidRDefault="006B01A8">
      <w:pPr>
        <w:pStyle w:val="RKnormal"/>
      </w:pPr>
    </w:p>
    <w:p w:rsidR="009C5C84" w:rsidRPr="00971690" w:rsidRDefault="006B01A8" w:rsidP="00F671CB">
      <w:r w:rsidRPr="00971690">
        <w:t xml:space="preserve">Tidigare dokument: </w:t>
      </w:r>
      <w:bookmarkStart w:id="1" w:name="Text7"/>
    </w:p>
    <w:p w:rsidR="009C5C84" w:rsidRPr="00971690" w:rsidRDefault="00584324" w:rsidP="00F671CB">
      <w:r w:rsidRPr="00971690">
        <w:t>14959/07 CATS 12 ENFOPOL 184 TRANS 357 MI 287 EEE 69</w:t>
      </w:r>
    </w:p>
    <w:p w:rsidR="009C5C84" w:rsidRPr="00971690" w:rsidRDefault="00F671CB" w:rsidP="00F671CB">
      <w:r w:rsidRPr="00971690">
        <w:t>15618/07 CATS 135 ENFOPOL 199</w:t>
      </w:r>
    </w:p>
    <w:p w:rsidR="006B01A8" w:rsidRPr="00971690" w:rsidRDefault="00F671CB" w:rsidP="00F671CB">
      <w:r w:rsidRPr="00971690">
        <w:t xml:space="preserve"> 2007/08:FPM47 </w:t>
      </w:r>
      <w:r w:rsidR="009A7B9D" w:rsidRPr="00971690">
        <w:t xml:space="preserve">Justitiedepartementet </w:t>
      </w:r>
      <w:bookmarkEnd w:id="1"/>
    </w:p>
    <w:p w:rsidR="006B01A8" w:rsidRPr="00971690" w:rsidRDefault="006B01A8">
      <w:pPr>
        <w:pStyle w:val="RKnormal"/>
      </w:pPr>
    </w:p>
    <w:p w:rsidR="006B01A8" w:rsidRPr="00971690" w:rsidRDefault="006B01A8">
      <w:pPr>
        <w:pStyle w:val="RKnormal"/>
      </w:pPr>
      <w:r w:rsidRPr="00971690">
        <w:t>Tidigare behandlad vid samråd med EU-nämnden:</w:t>
      </w:r>
      <w:r w:rsidR="006C4023" w:rsidRPr="00971690">
        <w:t xml:space="preserve">, </w:t>
      </w:r>
      <w:r w:rsidR="003B07E6" w:rsidRPr="00971690">
        <w:t>2007-11-30</w:t>
      </w:r>
    </w:p>
    <w:p w:rsidR="00746CA3" w:rsidRPr="00971690" w:rsidRDefault="006C4023">
      <w:pPr>
        <w:pStyle w:val="RKnormal"/>
      </w:pPr>
      <w:r w:rsidRPr="00971690">
        <w:t>Tidigare behandlad vid Justitieutskottet: 2007-11-29</w:t>
      </w:r>
    </w:p>
    <w:p w:rsidR="006B01A8" w:rsidRPr="00971690" w:rsidRDefault="006B01A8">
      <w:pPr>
        <w:pStyle w:val="RKrubrik"/>
      </w:pPr>
      <w:r w:rsidRPr="00971690">
        <w:t>Bakgrund</w:t>
      </w:r>
    </w:p>
    <w:p w:rsidR="00EA2D2D" w:rsidRPr="00971690" w:rsidRDefault="00EA2D2D" w:rsidP="00EA2D2D">
      <w:pPr>
        <w:pStyle w:val="RKnormal"/>
      </w:pPr>
      <w:r w:rsidRPr="00971690">
        <w:t xml:space="preserve">Förslaget till handlingsplan för förbättrad sprängämnessäkerhet presenterades av </w:t>
      </w:r>
      <w:r w:rsidR="00FF29ED" w:rsidRPr="00971690">
        <w:t>kommissionen</w:t>
      </w:r>
      <w:r w:rsidRPr="00971690">
        <w:t xml:space="preserve"> den 6 november 2007 som ett av tre</w:t>
      </w:r>
      <w:r w:rsidR="00527D5A" w:rsidRPr="00971690">
        <w:t xml:space="preserve"> förslag i ett åtgärdspaket för arbetet mot </w:t>
      </w:r>
      <w:r w:rsidRPr="00971690">
        <w:t>terrorism</w:t>
      </w:r>
      <w:r w:rsidR="00527D5A" w:rsidRPr="00971690">
        <w:t xml:space="preserve">en. </w:t>
      </w:r>
      <w:r w:rsidR="00746CA3" w:rsidRPr="00971690">
        <w:t>H</w:t>
      </w:r>
      <w:r w:rsidRPr="00971690">
        <w:t>andlingsplan</w:t>
      </w:r>
      <w:r w:rsidR="00746CA3" w:rsidRPr="00971690">
        <w:t>en</w:t>
      </w:r>
      <w:r w:rsidRPr="00971690">
        <w:t xml:space="preserve"> innehåller ca. 50 stycken åtgärdsförslag som rör både den första och de</w:t>
      </w:r>
      <w:r w:rsidR="00746CA3" w:rsidRPr="00971690">
        <w:t xml:space="preserve">n tredje pelaren och avsikten är att dessa ska förhandlas </w:t>
      </w:r>
      <w:r w:rsidR="00662BDD" w:rsidRPr="00971690">
        <w:t xml:space="preserve">under en kommande femårsperiod. </w:t>
      </w:r>
    </w:p>
    <w:p w:rsidR="00B741D1" w:rsidRPr="00971690" w:rsidRDefault="00B741D1" w:rsidP="00EA2D2D">
      <w:pPr>
        <w:pStyle w:val="RKnormal"/>
      </w:pPr>
    </w:p>
    <w:p w:rsidR="00EA2D2D" w:rsidRPr="00971690" w:rsidRDefault="00CC0EA4" w:rsidP="00EA2D2D">
      <w:pPr>
        <w:pStyle w:val="RKnormal"/>
      </w:pPr>
      <w:r w:rsidRPr="00971690">
        <w:t>R</w:t>
      </w:r>
      <w:r w:rsidR="00746CA3" w:rsidRPr="00971690">
        <w:t xml:space="preserve">ådsslutsatser </w:t>
      </w:r>
      <w:r w:rsidRPr="00971690">
        <w:t xml:space="preserve">om handlingsplanen antogs </w:t>
      </w:r>
      <w:r w:rsidR="00B741D1" w:rsidRPr="00971690">
        <w:t>i december 2007</w:t>
      </w:r>
      <w:r w:rsidR="00585BD3" w:rsidRPr="00971690">
        <w:t>. Ett antal</w:t>
      </w:r>
      <w:r w:rsidR="00746CA3" w:rsidRPr="00971690">
        <w:t xml:space="preserve"> åtgärdsförslag </w:t>
      </w:r>
      <w:r w:rsidRPr="00971690">
        <w:t>framhölls i slutsatserna som</w:t>
      </w:r>
      <w:r w:rsidR="00585BD3" w:rsidRPr="00971690">
        <w:t xml:space="preserve"> särskilt prioriterade:</w:t>
      </w:r>
    </w:p>
    <w:p w:rsidR="00EA2D2D" w:rsidRPr="00971690" w:rsidRDefault="00EA2D2D" w:rsidP="00EA2D2D">
      <w:pPr>
        <w:pStyle w:val="RKnormal"/>
      </w:pPr>
    </w:p>
    <w:p w:rsidR="00EA2D2D" w:rsidRPr="00971690" w:rsidRDefault="00EA2D2D" w:rsidP="00EA2D2D">
      <w:pPr>
        <w:pStyle w:val="RKnormal"/>
        <w:numPr>
          <w:ilvl w:val="0"/>
          <w:numId w:val="1"/>
        </w:numPr>
      </w:pPr>
      <w:r w:rsidRPr="00971690">
        <w:t>Inrättande</w:t>
      </w:r>
      <w:r w:rsidR="00746CA3" w:rsidRPr="00971690">
        <w:t>t</w:t>
      </w:r>
      <w:r w:rsidRPr="00971690">
        <w:t xml:space="preserve"> av ett system för tidig varning</w:t>
      </w:r>
    </w:p>
    <w:p w:rsidR="00EA2D2D" w:rsidRPr="00971690" w:rsidRDefault="00EA2D2D" w:rsidP="00EA2D2D">
      <w:pPr>
        <w:pStyle w:val="RKnormal"/>
        <w:numPr>
          <w:ilvl w:val="0"/>
          <w:numId w:val="1"/>
        </w:numPr>
      </w:pPr>
      <w:r w:rsidRPr="00971690">
        <w:t>Inrättandet av ett nätverk av enheter för desarmering av sprängämnen</w:t>
      </w:r>
    </w:p>
    <w:p w:rsidR="00EA2D2D" w:rsidRPr="00971690" w:rsidRDefault="00EA2D2D" w:rsidP="00EA2D2D">
      <w:pPr>
        <w:pStyle w:val="RKnormal"/>
        <w:numPr>
          <w:ilvl w:val="0"/>
          <w:numId w:val="1"/>
        </w:numPr>
      </w:pPr>
      <w:r w:rsidRPr="00971690">
        <w:t>Säkerhet i distributionskedjan (åtgärder gällande tillverkning, lagring, transport och spårbarhet)</w:t>
      </w:r>
    </w:p>
    <w:p w:rsidR="00EA2D2D" w:rsidRPr="00971690" w:rsidRDefault="00EA2D2D" w:rsidP="00EA2D2D">
      <w:pPr>
        <w:pStyle w:val="RKnormal"/>
        <w:numPr>
          <w:ilvl w:val="0"/>
          <w:numId w:val="1"/>
        </w:numPr>
      </w:pPr>
      <w:r w:rsidRPr="00971690">
        <w:lastRenderedPageBreak/>
        <w:t>Inrättande av en ständig kommitté av experter på prekursorer</w:t>
      </w:r>
      <w:r w:rsidR="000B476D" w:rsidRPr="00971690">
        <w:rPr>
          <w:rStyle w:val="Fotnotsreferens"/>
        </w:rPr>
        <w:footnoteReference w:id="1"/>
      </w:r>
    </w:p>
    <w:p w:rsidR="00EA2D2D" w:rsidRPr="00971690" w:rsidRDefault="00EA2D2D" w:rsidP="00EA2D2D">
      <w:pPr>
        <w:pStyle w:val="RKnormal"/>
        <w:numPr>
          <w:ilvl w:val="0"/>
          <w:numId w:val="1"/>
        </w:numPr>
      </w:pPr>
      <w:r w:rsidRPr="00971690">
        <w:t xml:space="preserve">Inrättande av en ad hoc-grupp för spårning av sprängämnen </w:t>
      </w:r>
    </w:p>
    <w:p w:rsidR="00EA2D2D" w:rsidRPr="00971690" w:rsidRDefault="00EA2D2D" w:rsidP="00EA2D2D">
      <w:pPr>
        <w:pStyle w:val="RKnormal"/>
        <w:numPr>
          <w:ilvl w:val="0"/>
          <w:numId w:val="1"/>
        </w:numPr>
      </w:pPr>
      <w:r w:rsidRPr="00971690">
        <w:t>Samarbete gällande spridning av bombtillverkningsinformation på Internet (</w:t>
      </w:r>
      <w:r w:rsidR="00662E1C" w:rsidRPr="00971690">
        <w:t>medlemsstaterna</w:t>
      </w:r>
      <w:r w:rsidRPr="00971690">
        <w:t xml:space="preserve"> ska samarbeta för att bekämpa spridningen av bombtillverkningsinformation på Internet. Arbetet ska genomföras med full respekt för pressfrihet, yttrandefrihet och informationsfrihet. De berörda myndigheterna ska utbyta information om möjligheterna till övervakning av hemsidor, samarbete med Internetleverantörer, medvetandehöjningar m.m.)</w:t>
      </w:r>
    </w:p>
    <w:p w:rsidR="00EA2D2D" w:rsidRPr="00971690" w:rsidRDefault="00EA2D2D" w:rsidP="00EA2D2D">
      <w:pPr>
        <w:pStyle w:val="RKnormal"/>
        <w:numPr>
          <w:ilvl w:val="0"/>
          <w:numId w:val="1"/>
        </w:numPr>
      </w:pPr>
      <w:r w:rsidRPr="00971690">
        <w:t>Skapande av en europeiskt bombdatasystem</w:t>
      </w:r>
    </w:p>
    <w:p w:rsidR="00EA2D2D" w:rsidRPr="00971690" w:rsidRDefault="00EA2D2D" w:rsidP="00EA2D2D">
      <w:pPr>
        <w:pStyle w:val="RKnormal"/>
        <w:rPr>
          <w:highlight w:val="yellow"/>
        </w:rPr>
      </w:pPr>
    </w:p>
    <w:p w:rsidR="00EA2D2D" w:rsidRPr="00971690" w:rsidRDefault="00662E1C" w:rsidP="00EA2D2D">
      <w:pPr>
        <w:pStyle w:val="RKnormal"/>
        <w:rPr>
          <w:color w:val="000000"/>
        </w:rPr>
      </w:pPr>
      <w:r w:rsidRPr="00971690">
        <w:t>Sverige</w:t>
      </w:r>
      <w:r w:rsidR="00EA2D2D" w:rsidRPr="00971690">
        <w:t xml:space="preserve"> har försvarat </w:t>
      </w:r>
      <w:r w:rsidR="00EA2D2D" w:rsidRPr="00971690">
        <w:rPr>
          <w:color w:val="000000"/>
        </w:rPr>
        <w:t xml:space="preserve">respekten för den grundlagsfästa tryck-,  yttrande- och informationsfriheten, såväl när det gäller möjligheterna att ingripa mot grundlagsskyddad media, som att – vid sidan om tryckfrihetsförordningens och yttrandefrihetsgrundlagens bestämmelser – värna yttrande- och informationsfriheten på ett generellt plan. Mot den bakgrunden kan </w:t>
      </w:r>
      <w:r w:rsidRPr="00971690">
        <w:rPr>
          <w:color w:val="000000"/>
        </w:rPr>
        <w:t>Sverige</w:t>
      </w:r>
      <w:r w:rsidR="00EA2D2D" w:rsidRPr="00971690">
        <w:rPr>
          <w:color w:val="000000"/>
        </w:rPr>
        <w:t xml:space="preserve"> inte godta skrivningar som ålägger </w:t>
      </w:r>
      <w:r w:rsidRPr="00971690">
        <w:rPr>
          <w:color w:val="000000"/>
        </w:rPr>
        <w:t>medlemsstaterna</w:t>
      </w:r>
      <w:r w:rsidR="00EA2D2D" w:rsidRPr="00971690">
        <w:rPr>
          <w:color w:val="000000"/>
        </w:rPr>
        <w:t xml:space="preserve"> en skyldighet att stänga ner servrar/hemsidor som innehåller grundlagsskyddade uppgifter. </w:t>
      </w:r>
      <w:r w:rsidR="00D6423C" w:rsidRPr="00971690">
        <w:rPr>
          <w:color w:val="000000"/>
        </w:rPr>
        <w:t>Denna önskan har tillmötesgåtts både i rådsslutsatserna och i handlingsplanen</w:t>
      </w:r>
      <w:r w:rsidR="00EE5D9B" w:rsidRPr="00971690">
        <w:rPr>
          <w:color w:val="000000"/>
        </w:rPr>
        <w:t xml:space="preserve"> (</w:t>
      </w:r>
      <w:r w:rsidR="00067417" w:rsidRPr="00971690">
        <w:rPr>
          <w:color w:val="000000"/>
        </w:rPr>
        <w:t>förslag 2.8.1.)</w:t>
      </w:r>
      <w:r w:rsidR="00D6423C" w:rsidRPr="00971690">
        <w:rPr>
          <w:color w:val="000000"/>
        </w:rPr>
        <w:t xml:space="preserve">. </w:t>
      </w:r>
    </w:p>
    <w:p w:rsidR="00EA2D2D" w:rsidRPr="00971690" w:rsidRDefault="00EA2D2D" w:rsidP="00EA2D2D">
      <w:pPr>
        <w:tabs>
          <w:tab w:val="left" w:pos="2835"/>
        </w:tabs>
        <w:overflowPunct/>
        <w:spacing w:line="240" w:lineRule="auto"/>
        <w:textAlignment w:val="auto"/>
        <w:rPr>
          <w:rFonts w:cs="OrigGarmnd BT"/>
          <w:color w:val="000000"/>
          <w:szCs w:val="24"/>
        </w:rPr>
      </w:pPr>
    </w:p>
    <w:p w:rsidR="006B01A8" w:rsidRPr="00971690" w:rsidRDefault="00D6423C" w:rsidP="00EA2D2D">
      <w:r w:rsidRPr="00971690">
        <w:t xml:space="preserve">Sverige </w:t>
      </w:r>
      <w:r w:rsidR="00401054" w:rsidRPr="00971690">
        <w:t xml:space="preserve">har även </w:t>
      </w:r>
      <w:r w:rsidRPr="00971690">
        <w:t xml:space="preserve">verkat för att </w:t>
      </w:r>
      <w:r w:rsidR="00EA2D2D" w:rsidRPr="00971690">
        <w:t xml:space="preserve">åtgärderna måste vara proportionerliga </w:t>
      </w:r>
      <w:r w:rsidR="00BD1D31" w:rsidRPr="00971690">
        <w:t>och ge ett tydligt me</w:t>
      </w:r>
      <w:r w:rsidR="00EA2D2D" w:rsidRPr="00971690">
        <w:t>rvärde</w:t>
      </w:r>
      <w:r w:rsidR="00BD1D31" w:rsidRPr="00971690">
        <w:t xml:space="preserve">. </w:t>
      </w:r>
      <w:r w:rsidRPr="00971690">
        <w:t>Sverige</w:t>
      </w:r>
      <w:r w:rsidR="00EA2D2D" w:rsidRPr="00971690">
        <w:t xml:space="preserve"> har förespråkat informationsspridning och ett ökat informations- och erfarenhetsutbyte framför lagstiftningsåtgärder samt </w:t>
      </w:r>
      <w:r w:rsidRPr="00971690">
        <w:t xml:space="preserve">framfört </w:t>
      </w:r>
      <w:r w:rsidR="00EA2D2D" w:rsidRPr="00971690">
        <w:t xml:space="preserve">att hänsyn måste tas till befintliga regler och pågående arbeten på de berörda områdena. </w:t>
      </w:r>
    </w:p>
    <w:p w:rsidR="00163825" w:rsidRPr="00971690" w:rsidRDefault="00163825" w:rsidP="00EA2D2D"/>
    <w:p w:rsidR="00163825" w:rsidRPr="00971690" w:rsidRDefault="00163825" w:rsidP="00EA2D2D">
      <w:r w:rsidRPr="00971690">
        <w:t xml:space="preserve">Syftet med behandlingen i rådet är att </w:t>
      </w:r>
      <w:r w:rsidR="0039293C" w:rsidRPr="00971690">
        <w:t xml:space="preserve">nå politisk överenskommelse om </w:t>
      </w:r>
      <w:r w:rsidRPr="00971690">
        <w:t xml:space="preserve">handlingsplanen.  </w:t>
      </w:r>
    </w:p>
    <w:p w:rsidR="006B01A8" w:rsidRPr="00971690" w:rsidRDefault="006B01A8">
      <w:pPr>
        <w:pStyle w:val="RKrubrik"/>
      </w:pPr>
      <w:r w:rsidRPr="00971690">
        <w:t>Rättslig grund och beslutsförfarande</w:t>
      </w:r>
    </w:p>
    <w:p w:rsidR="007A6C3F" w:rsidRPr="00971690" w:rsidRDefault="003E7DE4" w:rsidP="007A6C3F">
      <w:r w:rsidRPr="00971690">
        <w:t xml:space="preserve">En handlingsplan är ingen rättsakt utan en viljeyttring ifrån kommissionen. </w:t>
      </w:r>
      <w:r w:rsidR="00536ABC" w:rsidRPr="00971690">
        <w:t>Åtgärderna som sådana kommer att förses med rättslig grund när förhandlingar blir aktue</w:t>
      </w:r>
      <w:r w:rsidR="008E2B3A" w:rsidRPr="00971690">
        <w:t>lla.</w:t>
      </w:r>
    </w:p>
    <w:p w:rsidR="006B01A8" w:rsidRPr="00971690" w:rsidRDefault="006B01A8">
      <w:pPr>
        <w:pStyle w:val="RKrubrik"/>
        <w:rPr>
          <w:i/>
          <w:iCs/>
        </w:rPr>
      </w:pPr>
      <w:r w:rsidRPr="00971690">
        <w:rPr>
          <w:i/>
          <w:iCs/>
        </w:rPr>
        <w:t>Svensk ståndpunkt</w:t>
      </w:r>
    </w:p>
    <w:p w:rsidR="001E45C2" w:rsidRPr="00971690" w:rsidRDefault="00D53AA2" w:rsidP="00E4073D">
      <w:pPr>
        <w:spacing w:line="240" w:lineRule="atLeast"/>
      </w:pPr>
      <w:r w:rsidRPr="00971690">
        <w:t>Det pågående arbetet inom EU med att</w:t>
      </w:r>
      <w:r w:rsidR="00E4073D" w:rsidRPr="00971690">
        <w:t xml:space="preserve"> utveckla förmågan att skydda samhället mot det hot som den internationella terrorismen innebär</w:t>
      </w:r>
      <w:r w:rsidRPr="00971690">
        <w:t xml:space="preserve"> är av stor betydelse</w:t>
      </w:r>
      <w:r w:rsidR="00E4073D" w:rsidRPr="00971690">
        <w:t xml:space="preserve">. Regeringen verkar för att en mycket hög säkerhet ska upprätthållas i landet </w:t>
      </w:r>
      <w:r w:rsidR="0036027E" w:rsidRPr="00971690">
        <w:t xml:space="preserve">och inom EU </w:t>
      </w:r>
      <w:r w:rsidR="00E4073D" w:rsidRPr="00971690">
        <w:t xml:space="preserve">och att Sverige inte ska kunna utnyttjas för att planera och stödja terroristverksamhet. </w:t>
      </w:r>
    </w:p>
    <w:p w:rsidR="006B01A8" w:rsidRPr="00971690" w:rsidRDefault="007B190B" w:rsidP="00E4073D">
      <w:pPr>
        <w:spacing w:line="240" w:lineRule="atLeast"/>
      </w:pPr>
      <w:r w:rsidRPr="00971690">
        <w:t>Sverige</w:t>
      </w:r>
      <w:r w:rsidR="00E4073D" w:rsidRPr="00971690">
        <w:t xml:space="preserve"> ser ett värde i ett tätare praktiskt samarbete mellan medlemsstaterna och stödjer </w:t>
      </w:r>
      <w:r w:rsidR="001E45C2" w:rsidRPr="00971690">
        <w:t xml:space="preserve">ett antagande av handlingsplanen. </w:t>
      </w:r>
      <w:r w:rsidR="00E4073D" w:rsidRPr="00971690">
        <w:t xml:space="preserve">Inför förhandlingarna </w:t>
      </w:r>
      <w:r w:rsidR="001E45C2" w:rsidRPr="00971690">
        <w:t xml:space="preserve">av respektive åtgärdsförslag </w:t>
      </w:r>
      <w:r w:rsidR="00E4073D" w:rsidRPr="00971690">
        <w:t xml:space="preserve">kommer det </w:t>
      </w:r>
      <w:r w:rsidR="001E45C2" w:rsidRPr="00971690">
        <w:t xml:space="preserve">att </w:t>
      </w:r>
      <w:r w:rsidR="00E4073D" w:rsidRPr="00971690">
        <w:t>krävas en noggrann analys och omfattande samordning av olika intressen till följd av handlingsplanens komplexitet och övergripande karaktär.</w:t>
      </w:r>
    </w:p>
    <w:p w:rsidR="006B01A8" w:rsidRPr="00971690" w:rsidRDefault="006B01A8">
      <w:pPr>
        <w:pStyle w:val="RKrubrik"/>
      </w:pPr>
      <w:r w:rsidRPr="00971690">
        <w:t>Europaparlamentets inställning</w:t>
      </w:r>
    </w:p>
    <w:p w:rsidR="006B01A8" w:rsidRPr="00971690" w:rsidRDefault="003E7DE4">
      <w:pPr>
        <w:pStyle w:val="RKnormal"/>
      </w:pPr>
      <w:r w:rsidRPr="00971690">
        <w:t>Eu</w:t>
      </w:r>
      <w:r w:rsidR="006A1182" w:rsidRPr="00971690">
        <w:t xml:space="preserve">ropaparlamentet har inte hörts och kommer inte att lämna synpunkter på handlingsplanen. </w:t>
      </w:r>
    </w:p>
    <w:p w:rsidR="006B01A8" w:rsidRPr="00971690" w:rsidRDefault="006B01A8">
      <w:pPr>
        <w:pStyle w:val="RKrubrik"/>
        <w:rPr>
          <w:iCs/>
        </w:rPr>
      </w:pPr>
      <w:r w:rsidRPr="00971690">
        <w:rPr>
          <w:iCs/>
        </w:rPr>
        <w:t>Förslaget</w:t>
      </w:r>
    </w:p>
    <w:p w:rsidR="001E45C2" w:rsidRPr="00971690" w:rsidRDefault="0014576E" w:rsidP="001E45C2">
      <w:r w:rsidRPr="00971690">
        <w:t>I korthet</w:t>
      </w:r>
      <w:r w:rsidR="0053334D" w:rsidRPr="00971690">
        <w:t xml:space="preserve"> består h</w:t>
      </w:r>
      <w:r w:rsidR="001E45C2" w:rsidRPr="00971690">
        <w:t xml:space="preserve">andlingsplanen </w:t>
      </w:r>
      <w:r w:rsidR="0053334D" w:rsidRPr="00971690">
        <w:t xml:space="preserve">av </w:t>
      </w:r>
      <w:r w:rsidR="001E45C2" w:rsidRPr="00971690">
        <w:t>fyra åtgärdskategorier</w:t>
      </w:r>
      <w:r w:rsidR="003A23F6" w:rsidRPr="00971690">
        <w:t xml:space="preserve"> för att förbättra säkerheten kring sprängämnen</w:t>
      </w:r>
      <w:r w:rsidR="001E45C2" w:rsidRPr="00971690">
        <w:t xml:space="preserve">: </w:t>
      </w:r>
    </w:p>
    <w:p w:rsidR="001E45C2" w:rsidRPr="00971690" w:rsidRDefault="001E45C2" w:rsidP="001E45C2">
      <w:pPr>
        <w:numPr>
          <w:ilvl w:val="0"/>
          <w:numId w:val="7"/>
        </w:numPr>
      </w:pPr>
      <w:r w:rsidRPr="00971690">
        <w:rPr>
          <w:i/>
        </w:rPr>
        <w:t>Horisontella åtgärder</w:t>
      </w:r>
      <w:r w:rsidR="002B421F" w:rsidRPr="00971690">
        <w:t xml:space="preserve"> (främst att förbättra utbytet av aktuell information och bästa metoder samt att främja sprängämnesrelaterad forskning)</w:t>
      </w:r>
    </w:p>
    <w:p w:rsidR="001E45C2" w:rsidRPr="00971690" w:rsidRDefault="001E45C2" w:rsidP="002B421F">
      <w:pPr>
        <w:numPr>
          <w:ilvl w:val="0"/>
          <w:numId w:val="7"/>
        </w:numPr>
      </w:pPr>
      <w:r w:rsidRPr="00971690">
        <w:rPr>
          <w:i/>
        </w:rPr>
        <w:t>Förebyggande åtgärder</w:t>
      </w:r>
      <w:r w:rsidR="002B421F" w:rsidRPr="00971690">
        <w:t xml:space="preserve"> (t.ex. öka medvetenheten, förbättra reglering av tillgängligheten av prekursorer på marknaden, ökad säkerhet i sprängämnesanläggningar, ökad säkerhet vid sprängämnestransporter, minskad tillgång till information om olaglig tillverkning av sprängämnen.) </w:t>
      </w:r>
    </w:p>
    <w:p w:rsidR="001E45C2" w:rsidRPr="00971690" w:rsidRDefault="001E45C2" w:rsidP="002B421F">
      <w:pPr>
        <w:numPr>
          <w:ilvl w:val="0"/>
          <w:numId w:val="7"/>
        </w:numPr>
      </w:pPr>
      <w:r w:rsidRPr="00971690">
        <w:rPr>
          <w:i/>
        </w:rPr>
        <w:t>Upptäcktsåtgärder</w:t>
      </w:r>
      <w:r w:rsidR="002B421F" w:rsidRPr="00971690">
        <w:t xml:space="preserve"> (</w:t>
      </w:r>
      <w:r w:rsidR="00662E1C" w:rsidRPr="00971690">
        <w:t xml:space="preserve">främst </w:t>
      </w:r>
      <w:r w:rsidR="002B421F" w:rsidRPr="00971690">
        <w:t>förbättrat informationsutbyte mellan den privata och den offentliga sektorn, utveckling av system för certifiering, testning och provning av sprängämnesdetektionssystem i EU, bättre utnyttjande av detektionsteknik i specifika situationer och lokaler)</w:t>
      </w:r>
    </w:p>
    <w:p w:rsidR="006B01A8" w:rsidRPr="00971690" w:rsidRDefault="001E45C2" w:rsidP="002B421F">
      <w:pPr>
        <w:numPr>
          <w:ilvl w:val="0"/>
          <w:numId w:val="7"/>
        </w:numPr>
      </w:pPr>
      <w:r w:rsidRPr="00971690">
        <w:rPr>
          <w:i/>
        </w:rPr>
        <w:t>Beredskaps- och reaktionsåtgärder</w:t>
      </w:r>
      <w:r w:rsidR="002B421F" w:rsidRPr="00971690">
        <w:t xml:space="preserve"> (t.ex. förbättrat informationsutbyte och utbyte av bästa metoder mellan medlemsstater, utveckling av utvärderingssystem för hot, utveckling av specifik förberedelse inför och specifika reaktionsåtgärder för terroristhot som omfattar sprängämnen.</w:t>
      </w:r>
    </w:p>
    <w:p w:rsidR="006B01A8" w:rsidRPr="00971690" w:rsidRDefault="006B01A8">
      <w:pPr>
        <w:pStyle w:val="RKrubrik"/>
        <w:rPr>
          <w:iCs/>
        </w:rPr>
      </w:pPr>
      <w:r w:rsidRPr="00971690">
        <w:rPr>
          <w:iCs/>
        </w:rPr>
        <w:t>Gällande svenska regler och förslagets effekter på dessa</w:t>
      </w:r>
    </w:p>
    <w:p w:rsidR="0053334D" w:rsidRPr="00971690" w:rsidRDefault="00EE4C35" w:rsidP="0053334D">
      <w:pPr>
        <w:pStyle w:val="RKnormal"/>
      </w:pPr>
      <w:r w:rsidRPr="00971690">
        <w:t>De enskilda åtgärdsförslagen</w:t>
      </w:r>
      <w:r w:rsidR="00727FD5" w:rsidRPr="00971690">
        <w:t xml:space="preserve"> kommer sannolikt att medföra mindre lagändringar men det är i dagsläget </w:t>
      </w:r>
      <w:r w:rsidR="0053334D" w:rsidRPr="00971690">
        <w:t xml:space="preserve">svårt att </w:t>
      </w:r>
      <w:r w:rsidR="001B0737" w:rsidRPr="00971690">
        <w:t>bedöma</w:t>
      </w:r>
      <w:r w:rsidR="0053334D" w:rsidRPr="00971690">
        <w:t xml:space="preserve"> lagstiftningskonsekvenser</w:t>
      </w:r>
      <w:r w:rsidRPr="00971690">
        <w:t>na.</w:t>
      </w:r>
      <w:r w:rsidR="0053334D" w:rsidRPr="00971690">
        <w:t xml:space="preserve"> </w:t>
      </w:r>
    </w:p>
    <w:p w:rsidR="0053334D" w:rsidRPr="00971690" w:rsidRDefault="0053334D" w:rsidP="0053334D">
      <w:pPr>
        <w:pStyle w:val="RKrubrik"/>
      </w:pPr>
      <w:r w:rsidRPr="00971690">
        <w:t>Ekonomiska konsekvenser</w:t>
      </w:r>
    </w:p>
    <w:p w:rsidR="001A1D50" w:rsidRPr="00971690" w:rsidRDefault="001A1D50" w:rsidP="001A1D50">
      <w:r w:rsidRPr="00971690">
        <w:t xml:space="preserve">Handlingsplanen ska inte påverka EU:s budget. De föreslagna åtgärderna i handlingsplanen kan dock komma att medföra </w:t>
      </w:r>
      <w:r w:rsidR="0053334D" w:rsidRPr="00971690">
        <w:t xml:space="preserve">vissa </w:t>
      </w:r>
      <w:r w:rsidRPr="00971690">
        <w:t xml:space="preserve">ekonomiska konsekvenser för medlemsstaterna. </w:t>
      </w:r>
      <w:r w:rsidR="00C93528" w:rsidRPr="00971690">
        <w:t>E</w:t>
      </w:r>
      <w:r w:rsidRPr="00971690">
        <w:t>ventuella merkostnader som kan uppstå finansieras inom befintliga anslagsramar.</w:t>
      </w:r>
    </w:p>
    <w:p w:rsidR="001A1D50" w:rsidRPr="00971690" w:rsidRDefault="001A1D50" w:rsidP="001A1D50">
      <w:pPr>
        <w:rPr>
          <w:szCs w:val="24"/>
        </w:rPr>
      </w:pPr>
    </w:p>
    <w:p w:rsidR="006B01A8" w:rsidRPr="00971690" w:rsidRDefault="001A1D50" w:rsidP="001B0737">
      <w:pPr>
        <w:rPr>
          <w:szCs w:val="24"/>
        </w:rPr>
      </w:pPr>
      <w:r w:rsidRPr="00971690">
        <w:t xml:space="preserve">Sprängämnessäkerhet är en av kommissionens prioriteringar och kommer att bli föremål för EU-finansiering. </w:t>
      </w:r>
    </w:p>
    <w:sectPr w:rsidR="006B01A8" w:rsidRPr="00971690">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6CD" w:rsidRPr="00971690" w:rsidRDefault="004416CD">
      <w:r w:rsidRPr="00971690">
        <w:separator/>
      </w:r>
    </w:p>
  </w:endnote>
  <w:endnote w:type="continuationSeparator" w:id="0">
    <w:p w:rsidR="004416CD" w:rsidRPr="00971690" w:rsidRDefault="004416CD">
      <w:r w:rsidRPr="00971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6CD" w:rsidRPr="00971690" w:rsidRDefault="004416CD">
      <w:r w:rsidRPr="00971690">
        <w:separator/>
      </w:r>
    </w:p>
  </w:footnote>
  <w:footnote w:type="continuationSeparator" w:id="0">
    <w:p w:rsidR="004416CD" w:rsidRPr="00971690" w:rsidRDefault="004416CD">
      <w:r w:rsidRPr="00971690">
        <w:continuationSeparator/>
      </w:r>
    </w:p>
  </w:footnote>
  <w:footnote w:id="1">
    <w:p w:rsidR="0036027E" w:rsidRPr="00971690" w:rsidRDefault="0036027E" w:rsidP="00062E19">
      <w:pPr>
        <w:spacing w:line="240" w:lineRule="auto"/>
        <w:rPr>
          <w:sz w:val="20"/>
        </w:rPr>
      </w:pPr>
      <w:r w:rsidRPr="00971690">
        <w:rPr>
          <w:rStyle w:val="Fotnotsreferens"/>
          <w:sz w:val="20"/>
        </w:rPr>
        <w:footnoteRef/>
      </w:r>
      <w:r w:rsidRPr="00971690">
        <w:rPr>
          <w:sz w:val="20"/>
        </w:rPr>
        <w:t xml:space="preserve"> </w:t>
      </w:r>
      <w:r w:rsidRPr="00971690">
        <w:rPr>
          <w:i/>
          <w:sz w:val="20"/>
        </w:rPr>
        <w:t>Sprängämnesprekursorer</w:t>
      </w:r>
      <w:r w:rsidRPr="00971690">
        <w:rPr>
          <w:sz w:val="20"/>
        </w:rPr>
        <w:t xml:space="preserve"> – omfattar alla kemiska föreningar eller ämnen som kan omvandlas till sprängämnen genom en kemisk reaktion eller en serie av sådana reaktioner.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27E" w:rsidRPr="00971690" w:rsidRDefault="0036027E">
    <w:pPr>
      <w:pStyle w:val="Sidhuvud"/>
      <w:framePr w:wrap="around" w:vAnchor="text" w:hAnchor="margin" w:xAlign="right" w:y="1"/>
      <w:rPr>
        <w:rStyle w:val="Sidnummer"/>
      </w:rPr>
    </w:pPr>
    <w:r w:rsidRPr="00971690">
      <w:rPr>
        <w:rStyle w:val="Sidnummer"/>
      </w:rPr>
      <w:fldChar w:fldCharType="begin" w:fldLock="1"/>
    </w:r>
    <w:r w:rsidRPr="00971690">
      <w:rPr>
        <w:rStyle w:val="Sidnummer"/>
      </w:rPr>
      <w:instrText xml:space="preserve">PAGE  </w:instrText>
    </w:r>
    <w:r w:rsidRPr="00971690">
      <w:rPr>
        <w:rStyle w:val="Sidnummer"/>
      </w:rPr>
      <w:fldChar w:fldCharType="separate"/>
    </w:r>
    <w:r w:rsidR="0078130B" w:rsidRPr="00971690">
      <w:rPr>
        <w:rStyle w:val="Sidnummer"/>
      </w:rPr>
      <w:t>4</w:t>
    </w:r>
    <w:r w:rsidRPr="009716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027E" w:rsidRPr="00971690">
      <w:tblPrEx>
        <w:tblCellMar>
          <w:top w:w="0" w:type="dxa"/>
          <w:bottom w:w="0" w:type="dxa"/>
        </w:tblCellMar>
      </w:tblPrEx>
      <w:trPr>
        <w:cantSplit/>
      </w:trPr>
      <w:tc>
        <w:tcPr>
          <w:tcW w:w="3119" w:type="dxa"/>
        </w:tcPr>
        <w:p w:rsidR="0036027E" w:rsidRPr="00971690" w:rsidRDefault="0036027E">
          <w:pPr>
            <w:pStyle w:val="Sidhuvud"/>
            <w:spacing w:line="200" w:lineRule="atLeast"/>
            <w:ind w:right="357"/>
            <w:rPr>
              <w:rFonts w:ascii="TradeGothic" w:hAnsi="TradeGothic"/>
              <w:b/>
              <w:bCs/>
              <w:sz w:val="16"/>
            </w:rPr>
          </w:pPr>
        </w:p>
      </w:tc>
      <w:tc>
        <w:tcPr>
          <w:tcW w:w="4111" w:type="dxa"/>
          <w:tcMar>
            <w:left w:w="567" w:type="dxa"/>
          </w:tcMar>
        </w:tcPr>
        <w:p w:rsidR="0036027E" w:rsidRPr="00971690" w:rsidRDefault="0036027E">
          <w:pPr>
            <w:pStyle w:val="Sidhuvud"/>
            <w:ind w:right="360"/>
          </w:pPr>
        </w:p>
      </w:tc>
      <w:tc>
        <w:tcPr>
          <w:tcW w:w="1525" w:type="dxa"/>
        </w:tcPr>
        <w:p w:rsidR="0036027E" w:rsidRPr="00971690" w:rsidRDefault="0036027E">
          <w:pPr>
            <w:pStyle w:val="Sidhuvud"/>
            <w:ind w:right="360"/>
          </w:pPr>
        </w:p>
      </w:tc>
    </w:tr>
  </w:tbl>
  <w:p w:rsidR="0036027E" w:rsidRPr="00971690" w:rsidRDefault="0036027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27E" w:rsidRPr="00971690" w:rsidRDefault="0036027E">
    <w:pPr>
      <w:pStyle w:val="Sidhuvud"/>
      <w:framePr w:wrap="around" w:vAnchor="text" w:hAnchor="margin" w:xAlign="right" w:y="1"/>
      <w:rPr>
        <w:rStyle w:val="Sidnummer"/>
      </w:rPr>
    </w:pPr>
    <w:r w:rsidRPr="00971690">
      <w:rPr>
        <w:rStyle w:val="Sidnummer"/>
      </w:rPr>
      <w:fldChar w:fldCharType="begin" w:fldLock="1"/>
    </w:r>
    <w:r w:rsidRPr="00971690">
      <w:rPr>
        <w:rStyle w:val="Sidnummer"/>
      </w:rPr>
      <w:instrText xml:space="preserve">PAGE  </w:instrText>
    </w:r>
    <w:r w:rsidRPr="00971690">
      <w:rPr>
        <w:rStyle w:val="Sidnummer"/>
      </w:rPr>
      <w:fldChar w:fldCharType="separate"/>
    </w:r>
    <w:r w:rsidR="0078130B" w:rsidRPr="00971690">
      <w:rPr>
        <w:rStyle w:val="Sidnummer"/>
      </w:rPr>
      <w:t>3</w:t>
    </w:r>
    <w:r w:rsidRPr="0097169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027E" w:rsidRPr="00971690">
      <w:tblPrEx>
        <w:tblCellMar>
          <w:top w:w="0" w:type="dxa"/>
          <w:bottom w:w="0" w:type="dxa"/>
        </w:tblCellMar>
      </w:tblPrEx>
      <w:trPr>
        <w:cantSplit/>
      </w:trPr>
      <w:tc>
        <w:tcPr>
          <w:tcW w:w="3119" w:type="dxa"/>
        </w:tcPr>
        <w:p w:rsidR="0036027E" w:rsidRPr="00971690" w:rsidRDefault="0036027E">
          <w:pPr>
            <w:pStyle w:val="Sidhuvud"/>
            <w:spacing w:line="200" w:lineRule="atLeast"/>
            <w:ind w:right="357"/>
            <w:rPr>
              <w:rFonts w:ascii="TradeGothic" w:hAnsi="TradeGothic"/>
              <w:b/>
              <w:bCs/>
              <w:sz w:val="16"/>
            </w:rPr>
          </w:pPr>
        </w:p>
      </w:tc>
      <w:tc>
        <w:tcPr>
          <w:tcW w:w="4111" w:type="dxa"/>
          <w:tcMar>
            <w:left w:w="567" w:type="dxa"/>
          </w:tcMar>
        </w:tcPr>
        <w:p w:rsidR="0036027E" w:rsidRPr="00971690" w:rsidRDefault="0036027E">
          <w:pPr>
            <w:pStyle w:val="Sidhuvud"/>
            <w:ind w:right="360"/>
          </w:pPr>
        </w:p>
      </w:tc>
      <w:tc>
        <w:tcPr>
          <w:tcW w:w="1525" w:type="dxa"/>
        </w:tcPr>
        <w:p w:rsidR="0036027E" w:rsidRPr="00971690" w:rsidRDefault="0036027E">
          <w:pPr>
            <w:pStyle w:val="Sidhuvud"/>
            <w:ind w:right="360"/>
          </w:pPr>
        </w:p>
      </w:tc>
    </w:tr>
  </w:tbl>
  <w:p w:rsidR="0036027E" w:rsidRPr="00971690" w:rsidRDefault="0036027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27E" w:rsidRPr="00971690" w:rsidRDefault="00971690">
    <w:pPr>
      <w:framePr w:w="2948" w:h="1321" w:hRule="exact" w:wrap="notBeside" w:vAnchor="page" w:hAnchor="page" w:x="1362" w:y="653"/>
    </w:pPr>
    <w:r w:rsidRPr="0097169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6027E" w:rsidRPr="00971690" w:rsidRDefault="0036027E">
    <w:pPr>
      <w:pStyle w:val="RKrubrik"/>
      <w:keepNext w:val="0"/>
      <w:tabs>
        <w:tab w:val="clear" w:pos="1134"/>
        <w:tab w:val="clear" w:pos="2835"/>
      </w:tabs>
      <w:spacing w:before="0" w:after="0" w:line="320" w:lineRule="atLeast"/>
      <w:rPr>
        <w:bCs/>
      </w:rPr>
    </w:pPr>
  </w:p>
  <w:p w:rsidR="0036027E" w:rsidRPr="00971690" w:rsidRDefault="0036027E">
    <w:pPr>
      <w:rPr>
        <w:rFonts w:ascii="TradeGothic" w:hAnsi="TradeGothic"/>
        <w:b/>
        <w:bCs/>
        <w:spacing w:val="12"/>
        <w:sz w:val="22"/>
      </w:rPr>
    </w:pPr>
  </w:p>
  <w:p w:rsidR="0036027E" w:rsidRPr="00971690" w:rsidRDefault="0036027E">
    <w:pPr>
      <w:pStyle w:val="RKrubrik"/>
      <w:keepNext w:val="0"/>
      <w:tabs>
        <w:tab w:val="clear" w:pos="1134"/>
        <w:tab w:val="clear" w:pos="2835"/>
      </w:tabs>
      <w:spacing w:before="0" w:after="0" w:line="320" w:lineRule="atLeast"/>
      <w:rPr>
        <w:bCs/>
      </w:rPr>
    </w:pPr>
  </w:p>
  <w:p w:rsidR="0036027E" w:rsidRPr="00971690" w:rsidRDefault="0036027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21F98"/>
    <w:multiLevelType w:val="hybridMultilevel"/>
    <w:tmpl w:val="6C38273C"/>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 w15:restartNumberingAfterBreak="0">
    <w:nsid w:val="13A560A3"/>
    <w:multiLevelType w:val="hybridMultilevel"/>
    <w:tmpl w:val="33F0F2C6"/>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24C310A3"/>
    <w:multiLevelType w:val="hybridMultilevel"/>
    <w:tmpl w:val="D9ECB1AE"/>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F7F2AA6"/>
    <w:multiLevelType w:val="hybridMultilevel"/>
    <w:tmpl w:val="B5F86198"/>
    <w:lvl w:ilvl="0" w:tplc="2E5C0AA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2E2698"/>
    <w:multiLevelType w:val="hybridMultilevel"/>
    <w:tmpl w:val="1480CBBE"/>
    <w:lvl w:ilvl="0" w:tplc="764CD62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A96C13"/>
    <w:multiLevelType w:val="hybridMultilevel"/>
    <w:tmpl w:val="C1461382"/>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6FF54768"/>
    <w:multiLevelType w:val="hybridMultilevel"/>
    <w:tmpl w:val="4B68371C"/>
    <w:lvl w:ilvl="0" w:tplc="5CB01F2A">
      <w:numFmt w:val="bullet"/>
      <w:lvlText w:val="-"/>
      <w:lvlJc w:val="left"/>
      <w:pPr>
        <w:tabs>
          <w:tab w:val="num" w:pos="890"/>
        </w:tabs>
        <w:ind w:left="890" w:hanging="360"/>
      </w:pPr>
      <w:rPr>
        <w:rFonts w:ascii="Times New Roman" w:eastAsia="Times New Roman" w:hAnsi="Times New Roman" w:cs="Times New Roman"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259796051">
    <w:abstractNumId w:val="3"/>
  </w:num>
  <w:num w:numId="2" w16cid:durableId="408423980">
    <w:abstractNumId w:val="6"/>
  </w:num>
  <w:num w:numId="3" w16cid:durableId="1430351183">
    <w:abstractNumId w:val="5"/>
  </w:num>
  <w:num w:numId="4" w16cid:durableId="824474913">
    <w:abstractNumId w:val="1"/>
  </w:num>
  <w:num w:numId="5" w16cid:durableId="956643549">
    <w:abstractNumId w:val="2"/>
  </w:num>
  <w:num w:numId="6" w16cid:durableId="1096710548">
    <w:abstractNumId w:val="0"/>
  </w:num>
  <w:num w:numId="7" w16cid:durableId="1968704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B01A8"/>
    <w:rsid w:val="00062E19"/>
    <w:rsid w:val="00067417"/>
    <w:rsid w:val="00072BBF"/>
    <w:rsid w:val="000B476D"/>
    <w:rsid w:val="000B5EAE"/>
    <w:rsid w:val="0010186F"/>
    <w:rsid w:val="001244DC"/>
    <w:rsid w:val="0014576E"/>
    <w:rsid w:val="00150384"/>
    <w:rsid w:val="00163825"/>
    <w:rsid w:val="001805B7"/>
    <w:rsid w:val="001A1D50"/>
    <w:rsid w:val="001B0737"/>
    <w:rsid w:val="001E45C2"/>
    <w:rsid w:val="00221834"/>
    <w:rsid w:val="002705F2"/>
    <w:rsid w:val="002801E7"/>
    <w:rsid w:val="002A7E96"/>
    <w:rsid w:val="002B421F"/>
    <w:rsid w:val="002B7879"/>
    <w:rsid w:val="00307007"/>
    <w:rsid w:val="0036027E"/>
    <w:rsid w:val="0039293C"/>
    <w:rsid w:val="003A23F6"/>
    <w:rsid w:val="003B07E6"/>
    <w:rsid w:val="003E7DE4"/>
    <w:rsid w:val="00401054"/>
    <w:rsid w:val="004416CD"/>
    <w:rsid w:val="00467D56"/>
    <w:rsid w:val="004960D9"/>
    <w:rsid w:val="004A328D"/>
    <w:rsid w:val="004E2B35"/>
    <w:rsid w:val="00520F54"/>
    <w:rsid w:val="00527D5A"/>
    <w:rsid w:val="0053334D"/>
    <w:rsid w:val="00536ABC"/>
    <w:rsid w:val="00584324"/>
    <w:rsid w:val="00585BD3"/>
    <w:rsid w:val="005B2712"/>
    <w:rsid w:val="005D02BB"/>
    <w:rsid w:val="005F723A"/>
    <w:rsid w:val="00600228"/>
    <w:rsid w:val="00662BDD"/>
    <w:rsid w:val="00662E1C"/>
    <w:rsid w:val="006A1182"/>
    <w:rsid w:val="006B01A8"/>
    <w:rsid w:val="006C4023"/>
    <w:rsid w:val="006D6217"/>
    <w:rsid w:val="006E4E11"/>
    <w:rsid w:val="00723435"/>
    <w:rsid w:val="007242A3"/>
    <w:rsid w:val="00727FD5"/>
    <w:rsid w:val="00746CA3"/>
    <w:rsid w:val="00765202"/>
    <w:rsid w:val="0078130B"/>
    <w:rsid w:val="007A6C3F"/>
    <w:rsid w:val="007B190B"/>
    <w:rsid w:val="008933F3"/>
    <w:rsid w:val="008E2B3A"/>
    <w:rsid w:val="008E3C1F"/>
    <w:rsid w:val="00971690"/>
    <w:rsid w:val="00986B1F"/>
    <w:rsid w:val="009A7B9D"/>
    <w:rsid w:val="009C5C84"/>
    <w:rsid w:val="009D61C3"/>
    <w:rsid w:val="009F0CF4"/>
    <w:rsid w:val="00A04485"/>
    <w:rsid w:val="00A364F1"/>
    <w:rsid w:val="00B741D1"/>
    <w:rsid w:val="00B85700"/>
    <w:rsid w:val="00B87329"/>
    <w:rsid w:val="00BD1D31"/>
    <w:rsid w:val="00BE1787"/>
    <w:rsid w:val="00BE741B"/>
    <w:rsid w:val="00C356B9"/>
    <w:rsid w:val="00C93528"/>
    <w:rsid w:val="00CC0EA4"/>
    <w:rsid w:val="00D53AA2"/>
    <w:rsid w:val="00D6423C"/>
    <w:rsid w:val="00D864CD"/>
    <w:rsid w:val="00DF7A1C"/>
    <w:rsid w:val="00E4073D"/>
    <w:rsid w:val="00EA2D2D"/>
    <w:rsid w:val="00EB1746"/>
    <w:rsid w:val="00EC25F9"/>
    <w:rsid w:val="00EE4C35"/>
    <w:rsid w:val="00EE5D9B"/>
    <w:rsid w:val="00F06B08"/>
    <w:rsid w:val="00F671CB"/>
    <w:rsid w:val="00FF29ED"/>
    <w:rsid w:val="00FF71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335AB5-9587-4D34-9F73-D38605A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A2D2D"/>
    <w:rPr>
      <w:rFonts w:ascii="OrigGarmnd BT" w:hAnsi="OrigGarmnd BT"/>
      <w:sz w:val="24"/>
      <w:lang w:val="sv-SE" w:eastAsia="en-US" w:bidi="ar-SA"/>
    </w:rPr>
  </w:style>
  <w:style w:type="paragraph" w:styleId="Fotnotstext">
    <w:name w:val="footnote text"/>
    <w:basedOn w:val="Normal"/>
    <w:semiHidden/>
    <w:rsid w:val="00EA2D2D"/>
    <w:rPr>
      <w:sz w:val="20"/>
    </w:rPr>
  </w:style>
  <w:style w:type="character" w:styleId="Fotnotsreferens">
    <w:name w:val="footnote reference"/>
    <w:basedOn w:val="Standardstycketeckensnitt"/>
    <w:semiHidden/>
    <w:rsid w:val="00EA2D2D"/>
    <w:rPr>
      <w:vertAlign w:val="superscript"/>
    </w:rPr>
  </w:style>
  <w:style w:type="paragraph" w:styleId="Normaltindrag">
    <w:name w:val="Normal Indent"/>
    <w:basedOn w:val="Normal"/>
    <w:rsid w:val="001E45C2"/>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705</Words>
  <Characters>4886</Characters>
  <Application>Microsoft Office Word</Application>
  <DocSecurity>4</DocSecurity>
  <Lines>132</Lines>
  <Paragraphs>51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2008-04-03T14:52:00Z</cp:lastPrinted>
  <dcterms:created xsi:type="dcterms:W3CDTF">2025-12-17T13:13:00Z</dcterms:created>
  <dcterms:modified xsi:type="dcterms:W3CDTF">2025-12-17T13:13:00Z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60</vt:i4>
  </property>
</Properties>
</file>