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91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10 mars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Rebecka Le Moine (MP) 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Rebecka Le Moine (MP) 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Rasmus Ling (MP) 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2020/21:104 Mer ändamålsenliga sammansättningsregler för mark- och miljödomstolarna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2020/21:107 Fortsatt giltighet av lagen om tillfälliga smittskyddsåtgärder på serveringsställen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2020/21:RR2 Riksrevisionens redogörelse om revisionsberättelsen över Sveriges riksbanks årsredovisning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2020/21:MJU8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2020/21:FiU39 Uppskjuten tillämpning av kravet att upprätta redovisning i Esef-format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2020/21:KU19 Offentlighet, sekretess och integritet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2020/21:KU22 Offentlig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2020/21:KU25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2020/21:KrU5 Det civila samhället, inklusive trossamfund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2020/21:MJU10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10 mars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2021-03-10</SAFIR_Sammantradesdatum_Doc>
    <SAFIR_SammantradeID xmlns="C07A1A6C-0B19-41D9-BDF8-F523BA3921EB">1e74a7f7-a0a8-4488-a0c7-7a0c3963f606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BE805-7600-4E97-879E-BA4C2A81795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