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3FA4" w:rsidRPr="005C3FA4" w:rsidRDefault="005C3FA4">
      <w:pPr>
        <w:pStyle w:val="Frslagsrubrik"/>
        <w:shd w:val="clear" w:color="000000" w:fill="auto"/>
      </w:pPr>
      <w:r w:rsidRPr="005C3FA4">
        <w:t>Förslag till riksdagsbeslut</w:t>
      </w:r>
    </w:p>
    <w:p w:rsidR="005C3FA4" w:rsidRPr="005C3FA4" w:rsidRDefault="005C3FA4">
      <w:pPr>
        <w:pStyle w:val="Hemstlatt"/>
        <w:numPr>
          <w:ilvl w:val="0"/>
          <w:numId w:val="0"/>
        </w:numPr>
        <w:shd w:val="clear" w:color="000000" w:fill="auto"/>
      </w:pPr>
      <w:r w:rsidRPr="005C3FA4">
        <w:t>Riksdagen beslutar om ändrade ramar för utgiftsomr</w:t>
      </w:r>
      <w:r w:rsidRPr="005C3FA4">
        <w:t>å</w:t>
      </w:r>
      <w:r w:rsidRPr="005C3FA4">
        <w:t>de 7 Internationellt bistånd samt anvisar ändrade och nya anslag enligt up</w:t>
      </w:r>
      <w:r w:rsidRPr="005C3FA4">
        <w:t>p</w:t>
      </w:r>
      <w:r w:rsidRPr="005C3FA4">
        <w:t>ställning:</w:t>
      </w:r>
    </w:p>
    <w:tbl>
      <w:tblPr>
        <w:tblW w:w="5954" w:type="dxa"/>
        <w:tblLayout w:type="fixed"/>
        <w:tblCellMar>
          <w:left w:w="70" w:type="dxa"/>
          <w:right w:w="70" w:type="dxa"/>
        </w:tblCellMar>
        <w:tblLook w:val="0000" w:firstRow="0" w:lastRow="0" w:firstColumn="0" w:lastColumn="0" w:noHBand="0" w:noVBand="0"/>
      </w:tblPr>
      <w:tblGrid>
        <w:gridCol w:w="418"/>
        <w:gridCol w:w="569"/>
        <w:gridCol w:w="1479"/>
        <w:gridCol w:w="1004"/>
        <w:gridCol w:w="886"/>
        <w:gridCol w:w="1598"/>
      </w:tblGrid>
      <w:tr w:rsidR="00000000" w:rsidRPr="005C3FA4">
        <w:trPr>
          <w:trHeight w:val="748"/>
        </w:trPr>
        <w:tc>
          <w:tcPr>
            <w:tcW w:w="550" w:type="dxa"/>
            <w:tcBorders>
              <w:top w:val="single" w:sz="4" w:space="0" w:color="auto"/>
              <w:bottom w:val="single" w:sz="4" w:space="0" w:color="auto"/>
            </w:tcBorders>
          </w:tcPr>
          <w:p w:rsidR="005C3FA4" w:rsidRPr="005C3FA4" w:rsidRDefault="005C3FA4">
            <w:pPr>
              <w:shd w:val="clear" w:color="000000" w:fill="auto"/>
              <w:spacing w:before="60" w:line="200" w:lineRule="atLeast"/>
              <w:jc w:val="right"/>
              <w:rPr>
                <w:b/>
                <w:bCs/>
                <w:color w:val="000000"/>
                <w:sz w:val="16"/>
                <w:szCs w:val="16"/>
              </w:rPr>
            </w:pPr>
            <w:r w:rsidRPr="005C3FA4">
              <w:rPr>
                <w:b/>
                <w:bCs/>
                <w:color w:val="000000"/>
                <w:sz w:val="16"/>
                <w:szCs w:val="16"/>
              </w:rPr>
              <w:t>UO</w:t>
            </w:r>
          </w:p>
        </w:tc>
        <w:tc>
          <w:tcPr>
            <w:tcW w:w="780" w:type="dxa"/>
            <w:tcBorders>
              <w:top w:val="single" w:sz="4" w:space="0" w:color="auto"/>
              <w:bottom w:val="single" w:sz="4" w:space="0" w:color="auto"/>
            </w:tcBorders>
          </w:tcPr>
          <w:p w:rsidR="005C3FA4" w:rsidRPr="005C3FA4" w:rsidRDefault="005C3FA4">
            <w:pPr>
              <w:shd w:val="clear" w:color="000000" w:fill="auto"/>
              <w:spacing w:before="60" w:line="200" w:lineRule="atLeast"/>
              <w:ind w:left="-57"/>
              <w:jc w:val="right"/>
              <w:rPr>
                <w:b/>
                <w:bCs/>
                <w:color w:val="000000"/>
                <w:sz w:val="16"/>
                <w:szCs w:val="16"/>
              </w:rPr>
            </w:pPr>
            <w:r w:rsidRPr="005C3FA4">
              <w:rPr>
                <w:b/>
                <w:bCs/>
                <w:color w:val="000000"/>
                <w:sz w:val="16"/>
                <w:szCs w:val="16"/>
              </w:rPr>
              <w:t>Anslag</w:t>
            </w:r>
          </w:p>
        </w:tc>
        <w:tc>
          <w:tcPr>
            <w:tcW w:w="2160" w:type="dxa"/>
            <w:tcBorders>
              <w:top w:val="single" w:sz="4" w:space="0" w:color="auto"/>
              <w:bottom w:val="single" w:sz="4" w:space="0" w:color="auto"/>
            </w:tcBorders>
          </w:tcPr>
          <w:p w:rsidR="005C3FA4" w:rsidRPr="005C3FA4" w:rsidRDefault="005C3FA4">
            <w:pPr>
              <w:shd w:val="clear" w:color="000000" w:fill="auto"/>
              <w:spacing w:before="60" w:line="200" w:lineRule="atLeast"/>
              <w:ind w:firstLineChars="100" w:firstLine="160"/>
              <w:jc w:val="right"/>
              <w:rPr>
                <w:b/>
                <w:bCs/>
                <w:color w:val="000000"/>
                <w:sz w:val="16"/>
                <w:szCs w:val="16"/>
              </w:rPr>
            </w:pPr>
          </w:p>
        </w:tc>
        <w:tc>
          <w:tcPr>
            <w:tcW w:w="1440" w:type="dxa"/>
            <w:tcBorders>
              <w:top w:val="single" w:sz="4" w:space="0" w:color="auto"/>
              <w:bottom w:val="single" w:sz="4" w:space="0" w:color="auto"/>
            </w:tcBorders>
          </w:tcPr>
          <w:p w:rsidR="005C3FA4" w:rsidRPr="005C3FA4" w:rsidRDefault="005C3FA4">
            <w:pPr>
              <w:shd w:val="clear" w:color="000000" w:fill="auto"/>
              <w:spacing w:before="60" w:line="200" w:lineRule="atLeast"/>
              <w:jc w:val="right"/>
              <w:rPr>
                <w:b/>
                <w:bCs/>
                <w:color w:val="000000"/>
                <w:sz w:val="16"/>
                <w:szCs w:val="16"/>
              </w:rPr>
            </w:pPr>
            <w:r w:rsidRPr="005C3FA4">
              <w:rPr>
                <w:b/>
                <w:bCs/>
                <w:color w:val="000000"/>
                <w:sz w:val="16"/>
                <w:szCs w:val="16"/>
              </w:rPr>
              <w:t>Regeringens förändring av ram/anslag</w:t>
            </w:r>
          </w:p>
        </w:tc>
        <w:tc>
          <w:tcPr>
            <w:tcW w:w="1260" w:type="dxa"/>
            <w:tcBorders>
              <w:top w:val="single" w:sz="4" w:space="0" w:color="auto"/>
              <w:bottom w:val="single" w:sz="4" w:space="0" w:color="auto"/>
            </w:tcBorders>
          </w:tcPr>
          <w:p w:rsidR="005C3FA4" w:rsidRPr="005C3FA4" w:rsidRDefault="005C3FA4">
            <w:pPr>
              <w:shd w:val="clear" w:color="000000" w:fill="auto"/>
              <w:spacing w:before="60" w:line="200" w:lineRule="atLeast"/>
              <w:ind w:left="-57"/>
              <w:jc w:val="right"/>
              <w:rPr>
                <w:b/>
                <w:bCs/>
                <w:color w:val="000000"/>
                <w:spacing w:val="-4"/>
                <w:sz w:val="16"/>
                <w:szCs w:val="16"/>
              </w:rPr>
            </w:pPr>
            <w:r w:rsidRPr="005C3FA4">
              <w:rPr>
                <w:b/>
                <w:bCs/>
                <w:color w:val="000000"/>
                <w:spacing w:val="-4"/>
                <w:sz w:val="16"/>
                <w:szCs w:val="16"/>
              </w:rPr>
              <w:t>Ny ram/ny anslagsnivå</w:t>
            </w:r>
          </w:p>
        </w:tc>
        <w:tc>
          <w:tcPr>
            <w:tcW w:w="2340" w:type="dxa"/>
            <w:tcBorders>
              <w:top w:val="single" w:sz="4" w:space="0" w:color="auto"/>
              <w:bottom w:val="single" w:sz="4" w:space="0" w:color="auto"/>
            </w:tcBorders>
          </w:tcPr>
          <w:p w:rsidR="005C3FA4" w:rsidRPr="005C3FA4" w:rsidRDefault="005C3FA4">
            <w:pPr>
              <w:shd w:val="clear" w:color="000000" w:fill="auto"/>
              <w:spacing w:before="60" w:line="200" w:lineRule="atLeast"/>
              <w:jc w:val="right"/>
              <w:rPr>
                <w:b/>
                <w:bCs/>
                <w:color w:val="000000"/>
                <w:sz w:val="16"/>
                <w:szCs w:val="16"/>
              </w:rPr>
            </w:pPr>
            <w:r w:rsidRPr="005C3FA4">
              <w:rPr>
                <w:b/>
                <w:bCs/>
                <w:color w:val="000000"/>
                <w:sz w:val="16"/>
                <w:szCs w:val="16"/>
              </w:rPr>
              <w:t>MP:s förändring av ram/anslag, avvike</w:t>
            </w:r>
            <w:r w:rsidRPr="005C3FA4">
              <w:rPr>
                <w:b/>
                <w:bCs/>
                <w:color w:val="000000"/>
                <w:sz w:val="16"/>
                <w:szCs w:val="16"/>
              </w:rPr>
              <w:t>l</w:t>
            </w:r>
            <w:r w:rsidRPr="005C3FA4">
              <w:rPr>
                <w:b/>
                <w:bCs/>
                <w:color w:val="000000"/>
                <w:sz w:val="16"/>
                <w:szCs w:val="16"/>
              </w:rPr>
              <w:t>se mot regeringen</w:t>
            </w:r>
          </w:p>
        </w:tc>
      </w:tr>
      <w:tr w:rsidR="00000000" w:rsidRPr="005C3FA4">
        <w:trPr>
          <w:trHeight w:val="255"/>
        </w:trPr>
        <w:tc>
          <w:tcPr>
            <w:tcW w:w="550" w:type="dxa"/>
            <w:tcBorders>
              <w:top w:val="single" w:sz="4" w:space="0" w:color="auto"/>
            </w:tcBorders>
            <w:noWrap/>
          </w:tcPr>
          <w:p w:rsidR="005C3FA4" w:rsidRPr="005C3FA4" w:rsidRDefault="005C3FA4">
            <w:pPr>
              <w:shd w:val="clear" w:color="000000" w:fill="auto"/>
              <w:spacing w:before="60" w:line="200" w:lineRule="atLeast"/>
              <w:rPr>
                <w:sz w:val="16"/>
                <w:szCs w:val="16"/>
              </w:rPr>
            </w:pPr>
            <w:r w:rsidRPr="005C3FA4">
              <w:rPr>
                <w:sz w:val="16"/>
                <w:szCs w:val="16"/>
              </w:rPr>
              <w:t>7</w:t>
            </w:r>
          </w:p>
        </w:tc>
        <w:tc>
          <w:tcPr>
            <w:tcW w:w="780" w:type="dxa"/>
            <w:tcBorders>
              <w:top w:val="single" w:sz="4" w:space="0" w:color="auto"/>
            </w:tcBorders>
            <w:noWrap/>
          </w:tcPr>
          <w:p w:rsidR="005C3FA4" w:rsidRPr="005C3FA4" w:rsidRDefault="005C3FA4">
            <w:pPr>
              <w:shd w:val="clear" w:color="000000" w:fill="auto"/>
              <w:spacing w:before="60" w:line="200" w:lineRule="atLeast"/>
              <w:rPr>
                <w:sz w:val="16"/>
                <w:szCs w:val="16"/>
              </w:rPr>
            </w:pPr>
            <w:r w:rsidRPr="005C3FA4">
              <w:rPr>
                <w:sz w:val="16"/>
                <w:szCs w:val="16"/>
              </w:rPr>
              <w:t>1:1</w:t>
            </w:r>
          </w:p>
        </w:tc>
        <w:tc>
          <w:tcPr>
            <w:tcW w:w="2160" w:type="dxa"/>
            <w:tcBorders>
              <w:top w:val="single" w:sz="4" w:space="0" w:color="auto"/>
            </w:tcBorders>
            <w:noWrap/>
          </w:tcPr>
          <w:p w:rsidR="005C3FA4" w:rsidRPr="005C3FA4" w:rsidRDefault="005C3FA4">
            <w:pPr>
              <w:shd w:val="clear" w:color="000000" w:fill="auto"/>
              <w:spacing w:before="60" w:line="200" w:lineRule="atLeast"/>
              <w:rPr>
                <w:sz w:val="16"/>
                <w:szCs w:val="16"/>
              </w:rPr>
            </w:pPr>
            <w:r w:rsidRPr="005C3FA4">
              <w:rPr>
                <w:sz w:val="16"/>
                <w:szCs w:val="16"/>
              </w:rPr>
              <w:t>Biståndsverksamhet</w:t>
            </w:r>
          </w:p>
        </w:tc>
        <w:tc>
          <w:tcPr>
            <w:tcW w:w="1440" w:type="dxa"/>
            <w:tcBorders>
              <w:top w:val="single" w:sz="4" w:space="0" w:color="auto"/>
            </w:tcBorders>
            <w:noWrap/>
          </w:tcPr>
          <w:p w:rsidR="005C3FA4" w:rsidRPr="005C3FA4" w:rsidRDefault="005C3FA4">
            <w:pPr>
              <w:shd w:val="clear" w:color="000000" w:fill="auto"/>
              <w:spacing w:before="60" w:line="200" w:lineRule="atLeast"/>
              <w:jc w:val="right"/>
              <w:rPr>
                <w:sz w:val="16"/>
                <w:szCs w:val="16"/>
              </w:rPr>
            </w:pPr>
            <w:r w:rsidRPr="005C3FA4">
              <w:rPr>
                <w:sz w:val="16"/>
                <w:szCs w:val="16"/>
              </w:rPr>
              <w:t>–665 865</w:t>
            </w:r>
          </w:p>
        </w:tc>
        <w:tc>
          <w:tcPr>
            <w:tcW w:w="1260" w:type="dxa"/>
            <w:tcBorders>
              <w:top w:val="single" w:sz="4" w:space="0" w:color="auto"/>
            </w:tcBorders>
            <w:noWrap/>
          </w:tcPr>
          <w:p w:rsidR="005C3FA4" w:rsidRPr="005C3FA4" w:rsidRDefault="005C3FA4">
            <w:pPr>
              <w:shd w:val="clear" w:color="000000" w:fill="auto"/>
              <w:spacing w:before="60" w:line="200" w:lineRule="atLeast"/>
              <w:jc w:val="right"/>
              <w:rPr>
                <w:sz w:val="16"/>
                <w:szCs w:val="16"/>
              </w:rPr>
            </w:pPr>
            <w:r w:rsidRPr="005C3FA4">
              <w:rPr>
                <w:sz w:val="16"/>
                <w:szCs w:val="16"/>
              </w:rPr>
              <w:t>27 435 553</w:t>
            </w:r>
          </w:p>
        </w:tc>
        <w:tc>
          <w:tcPr>
            <w:tcW w:w="2340" w:type="dxa"/>
            <w:tcBorders>
              <w:top w:val="single" w:sz="4" w:space="0" w:color="auto"/>
            </w:tcBorders>
            <w:noWrap/>
          </w:tcPr>
          <w:p w:rsidR="005C3FA4" w:rsidRPr="005C3FA4" w:rsidRDefault="005C3FA4">
            <w:pPr>
              <w:shd w:val="clear" w:color="000000" w:fill="auto"/>
              <w:spacing w:before="60" w:line="200" w:lineRule="atLeast"/>
              <w:jc w:val="right"/>
              <w:rPr>
                <w:sz w:val="16"/>
                <w:szCs w:val="16"/>
              </w:rPr>
            </w:pPr>
            <w:r w:rsidRPr="005C3FA4">
              <w:rPr>
                <w:sz w:val="16"/>
                <w:szCs w:val="16"/>
              </w:rPr>
              <w:t>650 465</w:t>
            </w:r>
          </w:p>
        </w:tc>
      </w:tr>
      <w:tr w:rsidR="00000000" w:rsidRPr="005C3FA4">
        <w:trPr>
          <w:trHeight w:val="255"/>
        </w:trPr>
        <w:tc>
          <w:tcPr>
            <w:tcW w:w="3490" w:type="dxa"/>
            <w:gridSpan w:val="3"/>
            <w:tcBorders>
              <w:bottom w:val="single" w:sz="4" w:space="0" w:color="auto"/>
            </w:tcBorders>
            <w:noWrap/>
          </w:tcPr>
          <w:p w:rsidR="005C3FA4" w:rsidRPr="005C3FA4" w:rsidRDefault="005C3FA4">
            <w:pPr>
              <w:shd w:val="clear" w:color="000000" w:fill="auto"/>
              <w:spacing w:before="60" w:line="200" w:lineRule="atLeast"/>
              <w:rPr>
                <w:b/>
                <w:i/>
                <w:sz w:val="16"/>
                <w:szCs w:val="16"/>
              </w:rPr>
            </w:pPr>
            <w:r w:rsidRPr="005C3FA4">
              <w:rPr>
                <w:b/>
                <w:sz w:val="16"/>
                <w:szCs w:val="16"/>
              </w:rPr>
              <w:t>Summa</w:t>
            </w:r>
            <w:r w:rsidRPr="005C3FA4">
              <w:rPr>
                <w:b/>
                <w:i/>
                <w:sz w:val="16"/>
                <w:szCs w:val="16"/>
              </w:rPr>
              <w:t xml:space="preserve"> </w:t>
            </w:r>
            <w:r w:rsidRPr="005C3FA4">
              <w:rPr>
                <w:b/>
                <w:sz w:val="16"/>
                <w:szCs w:val="16"/>
              </w:rPr>
              <w:t>(</w:t>
            </w:r>
            <w:r w:rsidRPr="005C3FA4">
              <w:rPr>
                <w:b/>
                <w:iCs/>
                <w:color w:val="000000"/>
                <w:sz w:val="16"/>
                <w:szCs w:val="16"/>
              </w:rPr>
              <w:t>tusental kronor)</w:t>
            </w:r>
          </w:p>
        </w:tc>
        <w:tc>
          <w:tcPr>
            <w:tcW w:w="1440" w:type="dxa"/>
            <w:tcBorders>
              <w:bottom w:val="single" w:sz="4" w:space="0" w:color="auto"/>
            </w:tcBorders>
            <w:noWrap/>
          </w:tcPr>
          <w:p w:rsidR="005C3FA4" w:rsidRPr="005C3FA4" w:rsidRDefault="005C3FA4">
            <w:pPr>
              <w:shd w:val="clear" w:color="000000" w:fill="auto"/>
              <w:spacing w:before="60" w:line="200" w:lineRule="atLeast"/>
              <w:jc w:val="right"/>
              <w:rPr>
                <w:b/>
                <w:i/>
                <w:sz w:val="16"/>
                <w:szCs w:val="16"/>
              </w:rPr>
            </w:pPr>
          </w:p>
        </w:tc>
        <w:tc>
          <w:tcPr>
            <w:tcW w:w="1260" w:type="dxa"/>
            <w:tcBorders>
              <w:bottom w:val="single" w:sz="4" w:space="0" w:color="auto"/>
            </w:tcBorders>
            <w:noWrap/>
          </w:tcPr>
          <w:p w:rsidR="005C3FA4" w:rsidRPr="005C3FA4" w:rsidRDefault="005C3FA4">
            <w:pPr>
              <w:shd w:val="clear" w:color="000000" w:fill="auto"/>
              <w:spacing w:before="60" w:line="200" w:lineRule="atLeast"/>
              <w:jc w:val="right"/>
              <w:rPr>
                <w:b/>
                <w:i/>
                <w:sz w:val="16"/>
                <w:szCs w:val="16"/>
              </w:rPr>
            </w:pPr>
          </w:p>
        </w:tc>
        <w:tc>
          <w:tcPr>
            <w:tcW w:w="2340" w:type="dxa"/>
            <w:tcBorders>
              <w:bottom w:val="single" w:sz="4" w:space="0" w:color="auto"/>
            </w:tcBorders>
            <w:noWrap/>
          </w:tcPr>
          <w:p w:rsidR="005C3FA4" w:rsidRPr="005C3FA4" w:rsidRDefault="005C3FA4">
            <w:pPr>
              <w:shd w:val="clear" w:color="000000" w:fill="auto"/>
              <w:spacing w:before="60" w:line="200" w:lineRule="atLeast"/>
              <w:jc w:val="right"/>
              <w:rPr>
                <w:b/>
                <w:sz w:val="16"/>
                <w:szCs w:val="16"/>
              </w:rPr>
            </w:pPr>
            <w:r w:rsidRPr="005C3FA4">
              <w:rPr>
                <w:b/>
                <w:sz w:val="16"/>
                <w:szCs w:val="16"/>
              </w:rPr>
              <w:t>650 465</w:t>
            </w:r>
          </w:p>
        </w:tc>
      </w:tr>
    </w:tbl>
    <w:p w:rsidR="005C3FA4" w:rsidRPr="005C3FA4" w:rsidRDefault="005C3FA4">
      <w:pPr>
        <w:pStyle w:val="Rubrik1"/>
        <w:shd w:val="clear" w:color="000000" w:fill="auto"/>
      </w:pPr>
      <w:r w:rsidRPr="005C3FA4">
        <w:t>Inledning</w:t>
      </w:r>
    </w:p>
    <w:p w:rsidR="005C3FA4" w:rsidRPr="005C3FA4" w:rsidRDefault="005C3FA4">
      <w:pPr>
        <w:pStyle w:val="Normaltindrag"/>
        <w:shd w:val="clear" w:color="000000" w:fill="auto"/>
        <w:ind w:firstLine="0"/>
      </w:pPr>
      <w:r w:rsidRPr="005C3FA4">
        <w:t>Miljöpartiet de grönas ekonomiska politik presenteras i Miljöpartiets motion om regeringens ekonomiska vårproposition (proposition 2010/11:100). Vi hänvisar läsare till den för förståelse för vår ekonomiska politik och de än</w:t>
      </w:r>
      <w:r w:rsidRPr="005C3FA4">
        <w:t>d</w:t>
      </w:r>
      <w:r w:rsidRPr="005C3FA4">
        <w:t>ringsförslag som presenteras i den här motionen. Ordningen för behandlingen i riksdagen av motioner som väckts med anledning av propositioner medför att vi inte kan lägga fram några konkreta ändringsförslag när det gäller tilläggsbudgeten utanför de anslag och utgiftsområden där regeringen gör ändringar, varför vi har valt att i stället presentera vår alternativa ekonomiska politik i motionen om den ekonomiska vårpropositionen. Här presenteras endast de avslagsyrkanden vi har på den tilläggsbudget (proposi</w:t>
      </w:r>
      <w:r w:rsidRPr="005C3FA4">
        <w:t>tion 2010/11:99) som regeringen presenterade i samband med den ekonomiska vårpropositionen.</w:t>
      </w:r>
    </w:p>
    <w:p w:rsidR="005C3FA4" w:rsidRPr="005C3FA4" w:rsidRDefault="005C3FA4">
      <w:pPr>
        <w:pStyle w:val="Rubrik1"/>
        <w:shd w:val="clear" w:color="000000" w:fill="auto"/>
      </w:pPr>
      <w:r w:rsidRPr="005C3FA4">
        <w:t>Utgiftsområde 7 Internationellt bistånd</w:t>
      </w:r>
    </w:p>
    <w:p w:rsidR="005C3FA4" w:rsidRPr="005C3FA4" w:rsidRDefault="005C3FA4">
      <w:pPr>
        <w:pStyle w:val="Normaltindrag"/>
        <w:shd w:val="clear" w:color="000000" w:fill="auto"/>
        <w:ind w:firstLine="0"/>
      </w:pPr>
      <w:r w:rsidRPr="005C3FA4">
        <w:t xml:space="preserve">Regeringen har under hela sin tid vid makten använt biståndsmedel för att bekosta flyktingmottagande med hänvisning till Dac-reglerna. Hela sju % av </w:t>
      </w:r>
      <w:r w:rsidRPr="005C3FA4">
        <w:lastRenderedPageBreak/>
        <w:t xml:space="preserve">biståndsbudgeten går till att finansiera flyktingmottagande. Miljöpartiet anser att biståndet i första hand ska användas till fattigdomsbekämpning utanför Sveriges gränser. Miljöpartiet vill därför att avräkningarna ska minska och att Sverige ska arbeta för att Dacs regelverk ska skärpas och bli tydligare vad gäller avräkningar. </w:t>
      </w:r>
    </w:p>
    <w:p w:rsidR="005C3FA4" w:rsidRPr="005C3FA4" w:rsidRDefault="005C3FA4">
      <w:pPr>
        <w:pStyle w:val="Normaltindrag"/>
        <w:shd w:val="clear" w:color="000000" w:fill="auto"/>
      </w:pPr>
      <w:r w:rsidRPr="005C3FA4">
        <w:t>I vårändringsbudgeten fortsätter regeringen på den inslagna vägen. Rege</w:t>
      </w:r>
      <w:r w:rsidRPr="005C3FA4">
        <w:t>r</w:t>
      </w:r>
      <w:r w:rsidRPr="005C3FA4">
        <w:t xml:space="preserve">ingen vill minska anslaget </w:t>
      </w:r>
      <w:r w:rsidRPr="005C3FA4">
        <w:rPr>
          <w:i/>
        </w:rPr>
        <w:t>1:1 Biståndsverksamhet</w:t>
      </w:r>
      <w:r w:rsidRPr="005C3FA4">
        <w:t xml:space="preserve"> för att finansiera huvudd</w:t>
      </w:r>
      <w:r w:rsidRPr="005C3FA4">
        <w:t>e</w:t>
      </w:r>
      <w:r w:rsidRPr="005C3FA4">
        <w:t xml:space="preserve">len av utökningen av anslaget </w:t>
      </w:r>
      <w:r w:rsidRPr="005C3FA4">
        <w:rPr>
          <w:i/>
        </w:rPr>
        <w:t xml:space="preserve">1:2 Ersättningar och bostadskostnader </w:t>
      </w:r>
      <w:r w:rsidRPr="005C3FA4">
        <w:t>under utgiftsområde 8. Regeringen motiverar manövern med att utgifterna för e</w:t>
      </w:r>
      <w:r w:rsidRPr="005C3FA4">
        <w:t>n</w:t>
      </w:r>
      <w:r w:rsidRPr="005C3FA4">
        <w:t xml:space="preserve">samkommande barns boende har ökat och att antalet asylsökande är större än förväntat. </w:t>
      </w:r>
    </w:p>
    <w:p w:rsidR="005C3FA4" w:rsidRPr="005C3FA4" w:rsidRDefault="005C3FA4">
      <w:pPr>
        <w:pStyle w:val="Normaltindrag"/>
        <w:shd w:val="clear" w:color="000000" w:fill="auto"/>
      </w:pPr>
      <w:r w:rsidRPr="005C3FA4">
        <w:t xml:space="preserve">Miljöpartiet tycker att det är rätt att utöka anslaget </w:t>
      </w:r>
      <w:r w:rsidRPr="005C3FA4">
        <w:rPr>
          <w:i/>
        </w:rPr>
        <w:t>1:2 Ersättningar och bostadskostnader</w:t>
      </w:r>
      <w:r w:rsidRPr="005C3FA4">
        <w:t xml:space="preserve"> om behovet finns. Vi motsätter oss emellertid att ökningen av anslaget för flyktingmottagande ska finansieras med biståndspengar. Dä</w:t>
      </w:r>
      <w:r w:rsidRPr="005C3FA4">
        <w:t>r</w:t>
      </w:r>
      <w:r w:rsidRPr="005C3FA4">
        <w:t xml:space="preserve">för tillför vi pengar till anslaget </w:t>
      </w:r>
      <w:r w:rsidRPr="005C3FA4">
        <w:rPr>
          <w:i/>
        </w:rPr>
        <w:t>1:1 Biståndsverksamhet</w:t>
      </w:r>
      <w:r w:rsidRPr="005C3FA4">
        <w:t xml:space="preserve">. </w:t>
      </w:r>
    </w:p>
    <w:p w:rsidR="005C3FA4" w:rsidRPr="005C3FA4" w:rsidRDefault="005C3FA4">
      <w:pPr>
        <w:pStyle w:val="Normaltindrag"/>
        <w:shd w:val="clear" w:color="000000" w:fill="auto"/>
      </w:pPr>
      <w:r w:rsidRPr="005C3FA4">
        <w:t xml:space="preserve">En liten del av pengarna från </w:t>
      </w:r>
      <w:r w:rsidRPr="005C3FA4">
        <w:rPr>
          <w:i/>
        </w:rPr>
        <w:t>1:1 Biståndsverksamhet</w:t>
      </w:r>
      <w:r w:rsidRPr="005C3FA4">
        <w:t xml:space="preserve"> går också till en u</w:t>
      </w:r>
      <w:r w:rsidRPr="005C3FA4">
        <w:t>t</w:t>
      </w:r>
      <w:r w:rsidRPr="005C3FA4">
        <w:t xml:space="preserve">ökning av </w:t>
      </w:r>
      <w:r w:rsidRPr="005C3FA4">
        <w:rPr>
          <w:i/>
        </w:rPr>
        <w:t xml:space="preserve">1:2 Styrelsen för internationellt utvecklingssamarbete (Sida) </w:t>
      </w:r>
      <w:r w:rsidRPr="005C3FA4">
        <w:t xml:space="preserve">med 15,4 miljoner kronor för Sveriges anslutning till Norsadfonden. Miljöpartiet accepterar detta. </w:t>
      </w:r>
    </w:p>
    <w:p w:rsidR="005C3FA4" w:rsidRPr="005C3FA4" w:rsidRDefault="005C3FA4">
      <w:pPr>
        <w:pStyle w:val="Rubrik1"/>
        <w:shd w:val="clear" w:color="000000" w:fill="auto"/>
      </w:pPr>
      <w:r w:rsidRPr="005C3FA4">
        <w:t>Utgiftsområde 22 Kommunikationer</w:t>
      </w:r>
    </w:p>
    <w:p w:rsidR="005C3FA4" w:rsidRPr="005C3FA4" w:rsidRDefault="005C3FA4">
      <w:pPr>
        <w:shd w:val="clear" w:color="000000" w:fill="auto"/>
      </w:pPr>
      <w:r w:rsidRPr="005C3FA4">
        <w:t>De senaste två åren har tågresenärer och företag upplevt kaosartade vintrar med förseningar och inställda tåg. Trafikverket konstaterar i sin rapport ”S</w:t>
      </w:r>
      <w:r w:rsidRPr="005C3FA4">
        <w:t>i</w:t>
      </w:r>
      <w:r w:rsidRPr="005C3FA4">
        <w:t>tuationen i det svenska järnvägsnätet” från februari i år att de låga nivåerna av underhåll av och investeringar i järnvägen riskerar att leda till fortsatta fö</w:t>
      </w:r>
      <w:r w:rsidRPr="005C3FA4">
        <w:t>r</w:t>
      </w:r>
      <w:r w:rsidRPr="005C3FA4">
        <w:t xml:space="preserve">sämringar i tågtrafiken. Den positiva trenden med fler resenärer och mer gods på spåren riskerar att brytas om tåget upplevs som ett osäkert och krångligt transportmedel. </w:t>
      </w:r>
    </w:p>
    <w:p w:rsidR="005C3FA4" w:rsidRPr="005C3FA4" w:rsidRDefault="005C3FA4">
      <w:pPr>
        <w:pStyle w:val="Normaltindrag"/>
        <w:shd w:val="clear" w:color="000000" w:fill="auto"/>
      </w:pPr>
      <w:r w:rsidRPr="005C3FA4">
        <w:t>I rapporten slår Trafikverket fast att det behövs ett tillägg till järnvägen på minst 1,3 miljarder kronor under 2011: 500 miljoner kronor i reinvesteringar för att stoppa åldran</w:t>
      </w:r>
      <w:r w:rsidRPr="005C3FA4">
        <w:t xml:space="preserve">dets konsekvenser för järnvägen, 300 miljoner kronor för trimningsåtgärder och 500 miljoner kronor i ökat underhåll. </w:t>
      </w:r>
    </w:p>
    <w:p w:rsidR="005C3FA4" w:rsidRPr="005C3FA4" w:rsidRDefault="005C3FA4">
      <w:pPr>
        <w:pStyle w:val="Normaltindrag"/>
        <w:shd w:val="clear" w:color="000000" w:fill="auto"/>
      </w:pPr>
      <w:r w:rsidRPr="005C3FA4">
        <w:t>I samband med vårpropositionen aviserade regeringen 800 miljoner extra till drift och underhåll under 2011. Miljöpartiet välkomnar dessa medel men menar att de är otillräckliga. Ytterligare 500 miljoner kronor behövs för att få full finansiering av de akuta åtgärder som Trafikverket anser är nödvändiga. Miljöpartiet begär att regeringen återkommer med förslag till ändringsbudget med en sådan</w:t>
      </w:r>
      <w:r w:rsidRPr="005C3FA4">
        <w:t xml:space="preserve"> ökning. </w:t>
      </w:r>
    </w:p>
    <w:p w:rsidR="005C3FA4" w:rsidRPr="005C3FA4" w:rsidRDefault="005C3FA4">
      <w:pPr>
        <w:pStyle w:val="Normaltindrag"/>
        <w:shd w:val="clear" w:color="000000" w:fill="auto"/>
      </w:pPr>
      <w:r w:rsidRPr="005C3FA4">
        <w:t>Vi är också bekymrade över att finansieringen av regeringens aviserade medel är oklar. Pengarna syns inte som en post i vårändringsbudgeten. I stä</w:t>
      </w:r>
      <w:r w:rsidRPr="005C3FA4">
        <w:t>l</w:t>
      </w:r>
      <w:r w:rsidRPr="005C3FA4">
        <w:t>let skriver man i vårpropositionen att ”regeringen under 2011 kommer att fatta nödvändiga beslut för att skapa det utrymme som krävs för att öka insa</w:t>
      </w:r>
      <w:r w:rsidRPr="005C3FA4">
        <w:t>t</w:t>
      </w:r>
      <w:r w:rsidRPr="005C3FA4">
        <w:t>serna för banhållning med 800 miljoner kronor”. Detta skulle kunna innebära att regeringen drar ned på andra angelägna järnvägssatsningar för att finansi</w:t>
      </w:r>
      <w:r w:rsidRPr="005C3FA4">
        <w:t>e</w:t>
      </w:r>
      <w:r w:rsidRPr="005C3FA4">
        <w:t>ra de extra pengarna till underhåll, något som vi anser vore mycket olyckligt. Miljöpartiet yrkar därför att regeringen återkommer till riksdagen med ett klargörande om hur de utökade medlen till drift och u</w:t>
      </w:r>
      <w:r w:rsidRPr="005C3FA4">
        <w:t xml:space="preserve">nderhåll ska finansieras. </w:t>
      </w:r>
    </w:p>
    <w:p w:rsidR="005C3FA4" w:rsidRPr="005C3FA4" w:rsidRDefault="005C3FA4">
      <w:pPr>
        <w:pStyle w:val="Normaltindrag"/>
        <w:shd w:val="clear" w:color="000000" w:fill="auto"/>
      </w:pPr>
      <w:r w:rsidRPr="005C3FA4">
        <w:t>Utöver utökade medel för underhåll föreslår Miljöpartiet också att ytterl</w:t>
      </w:r>
      <w:r w:rsidRPr="005C3FA4">
        <w:t>i</w:t>
      </w:r>
      <w:r w:rsidRPr="005C3FA4">
        <w:t xml:space="preserve">gare medel tillskjuts under 2011 för investeringar. Det handlar dels om att påbörja ett spårbyte på Älvsborgsbanan och triangelspår i Håkantorp, dels om att återuppta planeringsarbetet med höghastighetsbanor. Miljöpartiet begär att regeringen i en ändringsbudget för 2011 återkommer till riksdagen med ett sådant förslag.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3FA4">
        <w:trPr>
          <w:cantSplit/>
        </w:trPr>
        <w:tc>
          <w:tcPr>
            <w:tcW w:w="3046" w:type="dxa"/>
          </w:tcPr>
          <w:p w:rsidR="005C3FA4" w:rsidRPr="005C3FA4" w:rsidRDefault="005C3FA4">
            <w:pPr>
              <w:pStyle w:val="UnderskriftDatum"/>
              <w:shd w:val="clear" w:color="000000" w:fill="auto"/>
              <w:spacing w:before="240"/>
            </w:pPr>
            <w:r w:rsidRPr="005C3FA4">
              <w:t>Stockholm den 4 maj 2011</w:t>
            </w:r>
          </w:p>
        </w:tc>
        <w:tc>
          <w:tcPr>
            <w:tcW w:w="3047" w:type="dxa"/>
          </w:tcPr>
          <w:p w:rsidR="005C3FA4" w:rsidRPr="005C3FA4" w:rsidRDefault="005C3FA4">
            <w:pPr>
              <w:pStyle w:val="Underskrifter"/>
              <w:shd w:val="clear" w:color="000000" w:fill="auto"/>
              <w:spacing w:before="240"/>
            </w:pPr>
          </w:p>
        </w:tc>
      </w:tr>
      <w:tr w:rsidR="00000000" w:rsidRPr="005C3FA4">
        <w:trPr>
          <w:cantSplit/>
        </w:trPr>
        <w:tc>
          <w:tcPr>
            <w:tcW w:w="3046" w:type="dxa"/>
          </w:tcPr>
          <w:p w:rsidR="005C3FA4" w:rsidRPr="005C3FA4" w:rsidRDefault="005C3FA4">
            <w:pPr>
              <w:pStyle w:val="Underskrifter"/>
              <w:shd w:val="clear" w:color="000000" w:fill="auto"/>
            </w:pPr>
            <w:r w:rsidRPr="005C3FA4">
              <w:t>Peter Eriksson (MP)</w:t>
            </w:r>
          </w:p>
        </w:tc>
        <w:tc>
          <w:tcPr>
            <w:tcW w:w="3046" w:type="dxa"/>
          </w:tcPr>
          <w:p w:rsidR="005C3FA4" w:rsidRPr="005C3FA4" w:rsidRDefault="005C3FA4">
            <w:pPr>
              <w:pStyle w:val="Underskrifter"/>
              <w:shd w:val="clear" w:color="000000" w:fill="auto"/>
            </w:pPr>
          </w:p>
        </w:tc>
      </w:tr>
      <w:tr w:rsidR="00000000" w:rsidRPr="005C3FA4">
        <w:trPr>
          <w:cantSplit/>
        </w:trPr>
        <w:tc>
          <w:tcPr>
            <w:tcW w:w="3046" w:type="dxa"/>
          </w:tcPr>
          <w:p w:rsidR="005C3FA4" w:rsidRPr="005C3FA4" w:rsidRDefault="005C3FA4">
            <w:pPr>
              <w:pStyle w:val="Underskrifter"/>
              <w:shd w:val="clear" w:color="000000" w:fill="auto"/>
            </w:pPr>
            <w:r w:rsidRPr="005C3FA4">
              <w:t>Maria Wetterstrand (MP)</w:t>
            </w:r>
          </w:p>
        </w:tc>
        <w:tc>
          <w:tcPr>
            <w:tcW w:w="3046" w:type="dxa"/>
          </w:tcPr>
          <w:p w:rsidR="005C3FA4" w:rsidRPr="005C3FA4" w:rsidRDefault="005C3FA4">
            <w:pPr>
              <w:pStyle w:val="Underskrifter"/>
              <w:shd w:val="clear" w:color="000000" w:fill="auto"/>
            </w:pPr>
            <w:r w:rsidRPr="005C3FA4">
              <w:t>Mikaela Valtersson (MP)</w:t>
            </w:r>
          </w:p>
        </w:tc>
      </w:tr>
      <w:tr w:rsidR="00000000" w:rsidRPr="005C3FA4">
        <w:trPr>
          <w:cantSplit/>
        </w:trPr>
        <w:tc>
          <w:tcPr>
            <w:tcW w:w="3046" w:type="dxa"/>
          </w:tcPr>
          <w:p w:rsidR="005C3FA4" w:rsidRPr="005C3FA4" w:rsidRDefault="005C3FA4">
            <w:pPr>
              <w:pStyle w:val="Underskrifter"/>
              <w:shd w:val="clear" w:color="000000" w:fill="auto"/>
            </w:pPr>
            <w:r w:rsidRPr="005C3FA4">
              <w:t>Jonas Eriksson (MP)</w:t>
            </w:r>
          </w:p>
        </w:tc>
        <w:tc>
          <w:tcPr>
            <w:tcW w:w="3046" w:type="dxa"/>
          </w:tcPr>
          <w:p w:rsidR="005C3FA4" w:rsidRPr="005C3FA4" w:rsidRDefault="005C3FA4">
            <w:pPr>
              <w:pStyle w:val="Underskrifter"/>
              <w:shd w:val="clear" w:color="000000" w:fill="auto"/>
            </w:pPr>
            <w:r w:rsidRPr="005C3FA4">
              <w:t>Jabar Amin (MP)</w:t>
            </w:r>
          </w:p>
        </w:tc>
      </w:tr>
      <w:tr w:rsidR="00000000" w:rsidRPr="005C3FA4">
        <w:trPr>
          <w:cantSplit/>
        </w:trPr>
        <w:tc>
          <w:tcPr>
            <w:tcW w:w="3046" w:type="dxa"/>
          </w:tcPr>
          <w:p w:rsidR="005C3FA4" w:rsidRPr="005C3FA4" w:rsidRDefault="005C3FA4">
            <w:pPr>
              <w:pStyle w:val="Underskrifter"/>
              <w:shd w:val="clear" w:color="000000" w:fill="auto"/>
            </w:pPr>
            <w:r w:rsidRPr="005C3FA4">
              <w:t>Stina Bergström (MP)</w:t>
            </w:r>
          </w:p>
        </w:tc>
        <w:tc>
          <w:tcPr>
            <w:tcW w:w="3046" w:type="dxa"/>
          </w:tcPr>
          <w:p w:rsidR="005C3FA4" w:rsidRPr="005C3FA4" w:rsidRDefault="005C3FA4">
            <w:pPr>
              <w:pStyle w:val="Underskrifter"/>
              <w:shd w:val="clear" w:color="000000" w:fill="auto"/>
            </w:pPr>
            <w:r w:rsidRPr="005C3FA4">
              <w:t>Agneta Börjesson (MP)</w:t>
            </w:r>
          </w:p>
        </w:tc>
      </w:tr>
      <w:tr w:rsidR="00000000" w:rsidRPr="005C3FA4">
        <w:trPr>
          <w:cantSplit/>
        </w:trPr>
        <w:tc>
          <w:tcPr>
            <w:tcW w:w="3046" w:type="dxa"/>
          </w:tcPr>
          <w:p w:rsidR="005C3FA4" w:rsidRPr="005C3FA4" w:rsidRDefault="005C3FA4">
            <w:pPr>
              <w:pStyle w:val="Underskrifter"/>
              <w:shd w:val="clear" w:color="000000" w:fill="auto"/>
            </w:pPr>
            <w:r w:rsidRPr="005C3FA4">
              <w:t>Bodil Ceballos (MP)</w:t>
            </w:r>
          </w:p>
        </w:tc>
        <w:tc>
          <w:tcPr>
            <w:tcW w:w="3046" w:type="dxa"/>
          </w:tcPr>
          <w:p w:rsidR="005C3FA4" w:rsidRPr="005C3FA4" w:rsidRDefault="005C3FA4">
            <w:pPr>
              <w:pStyle w:val="Underskrifter"/>
              <w:shd w:val="clear" w:color="000000" w:fill="auto"/>
            </w:pPr>
            <w:r w:rsidRPr="005C3FA4">
              <w:t>Esabelle Dingizian (MP)</w:t>
            </w:r>
          </w:p>
        </w:tc>
      </w:tr>
      <w:tr w:rsidR="00000000" w:rsidRPr="005C3FA4">
        <w:trPr>
          <w:cantSplit/>
        </w:trPr>
        <w:tc>
          <w:tcPr>
            <w:tcW w:w="3046" w:type="dxa"/>
          </w:tcPr>
          <w:p w:rsidR="005C3FA4" w:rsidRPr="005C3FA4" w:rsidRDefault="005C3FA4">
            <w:pPr>
              <w:pStyle w:val="Underskrifter"/>
              <w:shd w:val="clear" w:color="000000" w:fill="auto"/>
            </w:pPr>
            <w:r w:rsidRPr="005C3FA4">
              <w:t>Tina Ehn (MP)</w:t>
            </w:r>
          </w:p>
        </w:tc>
        <w:tc>
          <w:tcPr>
            <w:tcW w:w="3046" w:type="dxa"/>
          </w:tcPr>
          <w:p w:rsidR="005C3FA4" w:rsidRPr="005C3FA4" w:rsidRDefault="005C3FA4">
            <w:pPr>
              <w:pStyle w:val="Underskrifter"/>
              <w:shd w:val="clear" w:color="000000" w:fill="auto"/>
            </w:pPr>
            <w:r w:rsidRPr="005C3FA4">
              <w:t>Magnus Ehrencrona (MP)</w:t>
            </w:r>
          </w:p>
        </w:tc>
      </w:tr>
      <w:tr w:rsidR="00000000" w:rsidRPr="005C3FA4">
        <w:trPr>
          <w:cantSplit/>
        </w:trPr>
        <w:tc>
          <w:tcPr>
            <w:tcW w:w="3046" w:type="dxa"/>
          </w:tcPr>
          <w:p w:rsidR="005C3FA4" w:rsidRPr="005C3FA4" w:rsidRDefault="005C3FA4">
            <w:pPr>
              <w:pStyle w:val="Underskrifter"/>
              <w:shd w:val="clear" w:color="000000" w:fill="auto"/>
            </w:pPr>
            <w:r w:rsidRPr="005C3FA4">
              <w:t>Gunvor G Ericson (MP)</w:t>
            </w:r>
          </w:p>
        </w:tc>
        <w:tc>
          <w:tcPr>
            <w:tcW w:w="3046" w:type="dxa"/>
          </w:tcPr>
          <w:p w:rsidR="005C3FA4" w:rsidRPr="005C3FA4" w:rsidRDefault="005C3FA4">
            <w:pPr>
              <w:pStyle w:val="Underskrifter"/>
              <w:shd w:val="clear" w:color="000000" w:fill="auto"/>
            </w:pPr>
            <w:r w:rsidRPr="005C3FA4">
              <w:t>Maria Ferm (MP)</w:t>
            </w:r>
          </w:p>
        </w:tc>
      </w:tr>
      <w:tr w:rsidR="00000000" w:rsidRPr="005C3FA4">
        <w:trPr>
          <w:cantSplit/>
        </w:trPr>
        <w:tc>
          <w:tcPr>
            <w:tcW w:w="3046" w:type="dxa"/>
          </w:tcPr>
          <w:p w:rsidR="005C3FA4" w:rsidRPr="005C3FA4" w:rsidRDefault="005C3FA4">
            <w:pPr>
              <w:pStyle w:val="Underskrifter"/>
              <w:shd w:val="clear" w:color="000000" w:fill="auto"/>
            </w:pPr>
            <w:r w:rsidRPr="005C3FA4">
              <w:t>Gustav Fridolin (MP)</w:t>
            </w:r>
          </w:p>
        </w:tc>
        <w:tc>
          <w:tcPr>
            <w:tcW w:w="3046" w:type="dxa"/>
          </w:tcPr>
          <w:p w:rsidR="005C3FA4" w:rsidRPr="005C3FA4" w:rsidRDefault="005C3FA4">
            <w:pPr>
              <w:pStyle w:val="Underskrifter"/>
              <w:shd w:val="clear" w:color="000000" w:fill="auto"/>
            </w:pPr>
            <w:r w:rsidRPr="005C3FA4">
              <w:t>Ulf Holm (MP)</w:t>
            </w:r>
          </w:p>
        </w:tc>
      </w:tr>
      <w:tr w:rsidR="00000000" w:rsidRPr="005C3FA4">
        <w:trPr>
          <w:cantSplit/>
        </w:trPr>
        <w:tc>
          <w:tcPr>
            <w:tcW w:w="3046" w:type="dxa"/>
          </w:tcPr>
          <w:p w:rsidR="005C3FA4" w:rsidRPr="005C3FA4" w:rsidRDefault="005C3FA4">
            <w:pPr>
              <w:pStyle w:val="Underskrifter"/>
              <w:shd w:val="clear" w:color="000000" w:fill="auto"/>
            </w:pPr>
            <w:r w:rsidRPr="005C3FA4">
              <w:t>Mehmet Kaplan (MP)</w:t>
            </w:r>
          </w:p>
        </w:tc>
        <w:tc>
          <w:tcPr>
            <w:tcW w:w="3046" w:type="dxa"/>
          </w:tcPr>
          <w:p w:rsidR="005C3FA4" w:rsidRPr="005C3FA4" w:rsidRDefault="005C3FA4">
            <w:pPr>
              <w:pStyle w:val="Underskrifter"/>
              <w:shd w:val="clear" w:color="000000" w:fill="auto"/>
            </w:pPr>
            <w:r w:rsidRPr="005C3FA4">
              <w:t>Helena Leander (MP)</w:t>
            </w:r>
          </w:p>
        </w:tc>
      </w:tr>
      <w:tr w:rsidR="00000000" w:rsidRPr="005C3FA4">
        <w:trPr>
          <w:cantSplit/>
        </w:trPr>
        <w:tc>
          <w:tcPr>
            <w:tcW w:w="3046" w:type="dxa"/>
          </w:tcPr>
          <w:p w:rsidR="005C3FA4" w:rsidRPr="005C3FA4" w:rsidRDefault="005C3FA4">
            <w:pPr>
              <w:pStyle w:val="Underskrifter"/>
              <w:shd w:val="clear" w:color="000000" w:fill="auto"/>
            </w:pPr>
            <w:r w:rsidRPr="005C3FA4">
              <w:t>Annika Lillemets (MP)</w:t>
            </w:r>
          </w:p>
        </w:tc>
        <w:tc>
          <w:tcPr>
            <w:tcW w:w="3046" w:type="dxa"/>
          </w:tcPr>
          <w:p w:rsidR="005C3FA4" w:rsidRPr="005C3FA4" w:rsidRDefault="005C3FA4">
            <w:pPr>
              <w:pStyle w:val="Underskrifter"/>
              <w:shd w:val="clear" w:color="000000" w:fill="auto"/>
            </w:pPr>
            <w:r w:rsidRPr="005C3FA4">
              <w:t>Jan Lindholm (MP)</w:t>
            </w:r>
          </w:p>
        </w:tc>
      </w:tr>
      <w:tr w:rsidR="00000000" w:rsidRPr="005C3FA4">
        <w:trPr>
          <w:cantSplit/>
        </w:trPr>
        <w:tc>
          <w:tcPr>
            <w:tcW w:w="3046" w:type="dxa"/>
          </w:tcPr>
          <w:p w:rsidR="005C3FA4" w:rsidRPr="005C3FA4" w:rsidRDefault="005C3FA4">
            <w:pPr>
              <w:pStyle w:val="Underskrifter"/>
              <w:shd w:val="clear" w:color="000000" w:fill="auto"/>
            </w:pPr>
            <w:r w:rsidRPr="005C3FA4">
              <w:t>Agneta Luttropp (MP)</w:t>
            </w:r>
          </w:p>
        </w:tc>
        <w:tc>
          <w:tcPr>
            <w:tcW w:w="3046" w:type="dxa"/>
          </w:tcPr>
          <w:p w:rsidR="005C3FA4" w:rsidRPr="005C3FA4" w:rsidRDefault="005C3FA4">
            <w:pPr>
              <w:pStyle w:val="Underskrifter"/>
              <w:shd w:val="clear" w:color="000000" w:fill="auto"/>
            </w:pPr>
            <w:r w:rsidRPr="005C3FA4">
              <w:t>Valter Mutt (MP)</w:t>
            </w:r>
          </w:p>
        </w:tc>
      </w:tr>
      <w:tr w:rsidR="00000000" w:rsidRPr="005C3FA4">
        <w:trPr>
          <w:cantSplit/>
        </w:trPr>
        <w:tc>
          <w:tcPr>
            <w:tcW w:w="3046" w:type="dxa"/>
          </w:tcPr>
          <w:p w:rsidR="005C3FA4" w:rsidRPr="005C3FA4" w:rsidRDefault="005C3FA4">
            <w:pPr>
              <w:pStyle w:val="Underskrifter"/>
              <w:shd w:val="clear" w:color="000000" w:fill="auto"/>
            </w:pPr>
            <w:r w:rsidRPr="005C3FA4">
              <w:t>Lise Nordin (MP)</w:t>
            </w:r>
          </w:p>
        </w:tc>
        <w:tc>
          <w:tcPr>
            <w:tcW w:w="3046" w:type="dxa"/>
          </w:tcPr>
          <w:p w:rsidR="005C3FA4" w:rsidRPr="005C3FA4" w:rsidRDefault="005C3FA4">
            <w:pPr>
              <w:pStyle w:val="Underskrifter"/>
              <w:shd w:val="clear" w:color="000000" w:fill="auto"/>
            </w:pPr>
            <w:r w:rsidRPr="005C3FA4">
              <w:t>Kew Nordqvist (MP)</w:t>
            </w:r>
          </w:p>
        </w:tc>
      </w:tr>
      <w:tr w:rsidR="00000000" w:rsidRPr="005C3FA4">
        <w:trPr>
          <w:cantSplit/>
        </w:trPr>
        <w:tc>
          <w:tcPr>
            <w:tcW w:w="3046" w:type="dxa"/>
          </w:tcPr>
          <w:p w:rsidR="005C3FA4" w:rsidRPr="005C3FA4" w:rsidRDefault="005C3FA4">
            <w:pPr>
              <w:pStyle w:val="Underskrifter"/>
              <w:shd w:val="clear" w:color="000000" w:fill="auto"/>
            </w:pPr>
            <w:r w:rsidRPr="005C3FA4">
              <w:t>Åsa Romson (MP)</w:t>
            </w:r>
          </w:p>
        </w:tc>
        <w:tc>
          <w:tcPr>
            <w:tcW w:w="3046" w:type="dxa"/>
          </w:tcPr>
          <w:p w:rsidR="005C3FA4" w:rsidRPr="005C3FA4" w:rsidRDefault="005C3FA4">
            <w:pPr>
              <w:pStyle w:val="Underskrifter"/>
              <w:shd w:val="clear" w:color="000000" w:fill="auto"/>
            </w:pPr>
            <w:r w:rsidRPr="005C3FA4">
              <w:t>Peter Rådberg (MP)</w:t>
            </w:r>
          </w:p>
        </w:tc>
      </w:tr>
    </w:tbl>
    <w:p w:rsidR="005C3FA4" w:rsidRPr="005C3FA4" w:rsidRDefault="005C3FA4">
      <w:pPr>
        <w:pStyle w:val="Normaltindrag"/>
        <w:shd w:val="clear" w:color="000000" w:fill="auto"/>
      </w:pPr>
    </w:p>
    <w:sectPr w:rsidR="00000000" w:rsidRPr="005C3F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3FA4" w:rsidRPr="005C3FA4" w:rsidRDefault="005C3FA4">
      <w:r w:rsidRPr="005C3FA4">
        <w:separator/>
      </w:r>
    </w:p>
  </w:endnote>
  <w:endnote w:type="continuationSeparator" w:id="0">
    <w:p w:rsidR="005C3FA4" w:rsidRPr="005C3FA4" w:rsidRDefault="005C3FA4">
      <w:r w:rsidRPr="005C3F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FA4" w:rsidRPr="005C3FA4" w:rsidRDefault="005C3FA4">
    <w:pPr>
      <w:pStyle w:val="Sidfot"/>
    </w:pPr>
    <w:r w:rsidRPr="005C3F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35792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FA4" w:rsidRDefault="005C3FA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3FA4" w:rsidRDefault="005C3FA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FA4" w:rsidRPr="005C3FA4" w:rsidRDefault="005C3FA4">
    <w:pPr>
      <w:pStyle w:val="Sidfot"/>
    </w:pPr>
    <w:r w:rsidRPr="005C3F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5377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FA4" w:rsidRDefault="005C3FA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3FA4" w:rsidRDefault="005C3FA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FA4" w:rsidRPr="005C3FA4" w:rsidRDefault="005C3FA4">
    <w:pPr>
      <w:pStyle w:val="Sidfot"/>
    </w:pPr>
    <w:r w:rsidRPr="005C3F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41086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FA4" w:rsidRDefault="005C3F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3FA4" w:rsidRDefault="005C3F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3FA4" w:rsidRPr="005C3FA4" w:rsidRDefault="005C3FA4">
      <w:r w:rsidRPr="005C3FA4">
        <w:separator/>
      </w:r>
    </w:p>
  </w:footnote>
  <w:footnote w:type="continuationSeparator" w:id="0">
    <w:p w:rsidR="005C3FA4" w:rsidRPr="005C3FA4" w:rsidRDefault="005C3FA4">
      <w:r w:rsidRPr="005C3F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FA4" w:rsidRPr="005C3FA4" w:rsidRDefault="005C3FA4">
    <w:pPr>
      <w:pStyle w:val="Sidhuvud"/>
    </w:pPr>
    <w:r w:rsidRPr="005C3F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96765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FA4" w:rsidRDefault="005C3FA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3FA4" w:rsidRDefault="005C3FA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FA4" w:rsidRPr="005C3FA4" w:rsidRDefault="005C3FA4">
    <w:pPr>
      <w:pStyle w:val="Sidhuvud"/>
    </w:pPr>
    <w:r w:rsidRPr="005C3F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92783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FA4" w:rsidRDefault="005C3FA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3FA4" w:rsidRDefault="005C3FA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FA4" w:rsidRPr="005C3FA4" w:rsidRDefault="005C3FA4">
    <w:pPr>
      <w:pStyle w:val="FSHNormal"/>
      <w:tabs>
        <w:tab w:val="right" w:pos="5840"/>
      </w:tabs>
    </w:pPr>
    <w:r w:rsidRPr="005C3FA4">
      <w:br/>
    </w:r>
    <w:r w:rsidRPr="005C3FA4">
      <w:fldChar w:fldCharType="begin" w:fldLock="1"/>
    </w:r>
    <w:r w:rsidRPr="005C3FA4">
      <w:instrText xml:space="preserve"> DOCPROPERTY</w:instrText>
    </w:r>
    <w:r w:rsidRPr="005C3FA4">
      <w:rPr>
        <w:sz w:val="18"/>
      </w:rPr>
      <w:instrText xml:space="preserve"> "YearUser" *\charformat </w:instrText>
    </w:r>
    <w:r w:rsidRPr="005C3FA4">
      <w:fldChar w:fldCharType="separate"/>
    </w:r>
    <w:r w:rsidRPr="005C3FA4">
      <w:t>2010/11</w:t>
    </w:r>
    <w:r w:rsidRPr="005C3FA4">
      <w:fldChar w:fldCharType="end"/>
    </w:r>
    <w:r w:rsidRPr="005C3FA4">
      <w:t xml:space="preserve"> </w:t>
    </w:r>
    <w:r w:rsidRPr="005C3FA4">
      <w:tab/>
      <w:t xml:space="preserve">mnr: </w:t>
    </w:r>
    <w:r w:rsidRPr="005C3FA4">
      <w:fldChar w:fldCharType="begin" w:fldLock="1"/>
    </w:r>
    <w:r w:rsidRPr="005C3FA4">
      <w:instrText xml:space="preserve"> DOCPROPERTY</w:instrText>
    </w:r>
    <w:r w:rsidRPr="005C3FA4">
      <w:rPr>
        <w:sz w:val="18"/>
      </w:rPr>
      <w:instrText xml:space="preserve"> "Motionsnummer" *\charformat </w:instrText>
    </w:r>
    <w:r w:rsidRPr="005C3FA4">
      <w:fldChar w:fldCharType="separate"/>
    </w:r>
    <w:r w:rsidRPr="005C3FA4">
      <w:t>Fi13</w:t>
    </w:r>
    <w:r w:rsidRPr="005C3FA4">
      <w:fldChar w:fldCharType="end"/>
    </w:r>
    <w:r w:rsidRPr="005C3FA4">
      <w:br/>
    </w:r>
    <w:r w:rsidRPr="005C3FA4">
      <w:fldChar w:fldCharType="begin" w:fldLock="1"/>
    </w:r>
    <w:r w:rsidRPr="005C3FA4">
      <w:instrText xml:space="preserve"> DOCPROPERTY</w:instrText>
    </w:r>
    <w:r w:rsidRPr="005C3FA4">
      <w:rPr>
        <w:sz w:val="18"/>
      </w:rPr>
      <w:instrText xml:space="preserve"> "Samling" *\charformat </w:instrText>
    </w:r>
    <w:r w:rsidRPr="005C3FA4">
      <w:fldChar w:fldCharType="end"/>
    </w:r>
    <w:r w:rsidRPr="005C3FA4">
      <w:tab/>
      <w:t xml:space="preserve">pnr: </w:t>
    </w:r>
    <w:r w:rsidRPr="005C3FA4">
      <w:fldChar w:fldCharType="begin" w:fldLock="1"/>
    </w:r>
    <w:r w:rsidRPr="005C3FA4">
      <w:instrText xml:space="preserve"> DOCPROPERTY</w:instrText>
    </w:r>
    <w:r w:rsidRPr="005C3FA4">
      <w:rPr>
        <w:sz w:val="18"/>
      </w:rPr>
      <w:instrText xml:space="preserve"> "Partinummer" *\charformat </w:instrText>
    </w:r>
    <w:r w:rsidRPr="005C3FA4">
      <w:fldChar w:fldCharType="separate"/>
    </w:r>
    <w:r w:rsidRPr="005C3FA4">
      <w:t>MP27</w:t>
    </w:r>
    <w:r w:rsidRPr="005C3FA4">
      <w:fldChar w:fldCharType="end"/>
    </w:r>
  </w:p>
  <w:p w:rsidR="005C3FA4" w:rsidRPr="005C3FA4" w:rsidRDefault="005C3FA4">
    <w:pPr>
      <w:pStyle w:val="FSHRub1"/>
    </w:pPr>
    <w:r w:rsidRPr="005C3FA4">
      <w:t>Motion till riksdagen</w:t>
    </w:r>
    <w:r w:rsidRPr="005C3FA4">
      <w:br/>
    </w:r>
    <w:r w:rsidRPr="005C3FA4">
      <w:fldChar w:fldCharType="begin" w:fldLock="1"/>
    </w:r>
    <w:r w:rsidRPr="005C3FA4">
      <w:instrText xml:space="preserve"> DOCPROPERTY "YearUser" *\charformat </w:instrText>
    </w:r>
    <w:r w:rsidRPr="005C3FA4">
      <w:fldChar w:fldCharType="separate"/>
    </w:r>
    <w:r w:rsidRPr="005C3FA4">
      <w:t>2010/11</w:t>
    </w:r>
    <w:r w:rsidRPr="005C3FA4">
      <w:fldChar w:fldCharType="end"/>
    </w:r>
    <w:r w:rsidRPr="005C3FA4">
      <w:t>:</w:t>
    </w:r>
    <w:r w:rsidRPr="005C3FA4">
      <w:fldChar w:fldCharType="begin" w:fldLock="1"/>
    </w:r>
    <w:r w:rsidRPr="005C3FA4">
      <w:instrText xml:space="preserve"> DOCPROPERTY "Motionsnummer" *\charformat </w:instrText>
    </w:r>
    <w:r w:rsidRPr="005C3FA4">
      <w:fldChar w:fldCharType="separate"/>
    </w:r>
    <w:r w:rsidRPr="005C3FA4">
      <w:t>Fi13</w:t>
    </w:r>
    <w:r w:rsidRPr="005C3FA4">
      <w:fldChar w:fldCharType="end"/>
    </w:r>
  </w:p>
  <w:p w:rsidR="005C3FA4" w:rsidRPr="005C3FA4" w:rsidRDefault="005C3FA4">
    <w:pPr>
      <w:pStyle w:val="FSHNormalS5"/>
    </w:pPr>
    <w:r w:rsidRPr="005C3FA4">
      <w:fldChar w:fldCharType="begin" w:fldLock="1"/>
    </w:r>
    <w:r w:rsidRPr="005C3FA4">
      <w:instrText xml:space="preserve"> DOCPROPERTY "MotionarText" *\charformat </w:instrText>
    </w:r>
    <w:r w:rsidRPr="005C3FA4">
      <w:fldChar w:fldCharType="separate"/>
    </w:r>
    <w:r w:rsidRPr="005C3FA4">
      <w:t>av Peter Eriksson m.fl. (MP)</w:t>
    </w:r>
    <w:r w:rsidRPr="005C3FA4">
      <w:fldChar w:fldCharType="end"/>
    </w:r>
    <w:r w:rsidRPr="005C3FA4">
      <w:br/>
    </w:r>
    <w:r w:rsidRPr="005C3FA4">
      <w:fldChar w:fldCharType="begin" w:fldLock="1"/>
    </w:r>
    <w:r w:rsidRPr="005C3FA4">
      <w:instrText xml:space="preserve"> DOCPROPERTY "SvarFrasKort" *\charformat </w:instrText>
    </w:r>
    <w:r w:rsidRPr="005C3FA4">
      <w:fldChar w:fldCharType="separate"/>
    </w:r>
    <w:r w:rsidRPr="005C3FA4">
      <w:t>med anledning av prop. 2010/11:99</w:t>
    </w:r>
    <w:r w:rsidRPr="005C3FA4">
      <w:fldChar w:fldCharType="end"/>
    </w:r>
  </w:p>
  <w:p w:rsidR="005C3FA4" w:rsidRPr="005C3FA4" w:rsidRDefault="005C3FA4">
    <w:pPr>
      <w:pStyle w:val="FSHTitel"/>
    </w:pPr>
    <w:r w:rsidRPr="005C3FA4">
      <w:fldChar w:fldCharType="begin" w:fldLock="1"/>
    </w:r>
    <w:r w:rsidRPr="005C3FA4">
      <w:instrText xml:space="preserve"> DOCPROPERTY</w:instrText>
    </w:r>
    <w:r w:rsidRPr="005C3FA4">
      <w:rPr>
        <w:sz w:val="18"/>
      </w:rPr>
      <w:instrText xml:space="preserve"> "RubrikSvar" *\charformat </w:instrText>
    </w:r>
    <w:r w:rsidRPr="005C3FA4">
      <w:fldChar w:fldCharType="separate"/>
    </w:r>
    <w:r w:rsidRPr="005C3FA4">
      <w:t>Vårändringsbudget för 2011</w:t>
    </w:r>
    <w:r w:rsidRPr="005C3FA4">
      <w:fldChar w:fldCharType="end"/>
    </w:r>
  </w:p>
  <w:p w:rsidR="005C3FA4" w:rsidRPr="005C3FA4" w:rsidRDefault="005C3FA4">
    <w:pPr>
      <w:pStyle w:val="Normal00"/>
    </w:pPr>
  </w:p>
  <w:p w:rsidR="005C3FA4" w:rsidRPr="005C3FA4" w:rsidRDefault="005C3F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6A2890"/>
    <w:multiLevelType w:val="hybridMultilevel"/>
    <w:tmpl w:val="2A72BFEE"/>
    <w:lvl w:ilvl="0" w:tplc="4B16E44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22793653">
    <w:abstractNumId w:val="3"/>
  </w:num>
  <w:num w:numId="2" w16cid:durableId="684358267">
    <w:abstractNumId w:val="2"/>
  </w:num>
  <w:num w:numId="3" w16cid:durableId="248121437">
    <w:abstractNumId w:val="1"/>
  </w:num>
  <w:num w:numId="4" w16cid:durableId="372732410">
    <w:abstractNumId w:val="0"/>
  </w:num>
  <w:num w:numId="5" w16cid:durableId="1602838734">
    <w:abstractNumId w:val="7"/>
  </w:num>
  <w:num w:numId="6" w16cid:durableId="137693047">
    <w:abstractNumId w:val="6"/>
  </w:num>
  <w:num w:numId="7" w16cid:durableId="579338307">
    <w:abstractNumId w:val="5"/>
  </w:num>
  <w:num w:numId="8" w16cid:durableId="1146043783">
    <w:abstractNumId w:val="4"/>
  </w:num>
  <w:num w:numId="9" w16cid:durableId="573705806">
    <w:abstractNumId w:val="8"/>
  </w:num>
  <w:num w:numId="10" w16cid:durableId="113911670">
    <w:abstractNumId w:val="9"/>
  </w:num>
  <w:num w:numId="11" w16cid:durableId="590621066">
    <w:abstractNumId w:val="10"/>
  </w:num>
  <w:num w:numId="12" w16cid:durableId="1162549450">
    <w:abstractNumId w:val="14"/>
  </w:num>
  <w:num w:numId="13" w16cid:durableId="1126043470">
    <w:abstractNumId w:val="16"/>
  </w:num>
  <w:num w:numId="14" w16cid:durableId="1478646566">
    <w:abstractNumId w:val="17"/>
  </w:num>
  <w:num w:numId="15" w16cid:durableId="394008605">
    <w:abstractNumId w:val="11"/>
  </w:num>
  <w:num w:numId="16" w16cid:durableId="1106920823">
    <w:abstractNumId w:val="19"/>
  </w:num>
  <w:num w:numId="17" w16cid:durableId="546722849">
    <w:abstractNumId w:val="18"/>
  </w:num>
  <w:num w:numId="18" w16cid:durableId="1241673825">
    <w:abstractNumId w:val="15"/>
  </w:num>
  <w:num w:numId="19" w16cid:durableId="2112584905">
    <w:abstractNumId w:val="12"/>
  </w:num>
  <w:num w:numId="20" w16cid:durableId="673887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5-06"/>
    <w:docVar w:name="PersonGUIDs" w:val="{2F2836E2-5BBA-4180-8502-C13703BA5ACD},{72BBA5B1-2A4C-45F5-AADF-7062D4751E63},{F0ACAF48-842B-4926-B0E6-00004377D0BE},{AF74B504-0E88-46FE-B78D-2C5B486A3E48},{6B2C5332-DB5D-4847-A6DA-15B0EAFB8A28},{52DE311F-4F73-4FB3-A233-A2C3D6965172},{221C1C0D-92BB-4184-802C-2B641719003B},{8B79F084-2FE8-43FE-81EC-B454DB4AAA24},{1D8EF1E5-F0F1-44B1-A39B-07018B6AC14E},{3951030F-6BDE-4C0A-89D5-DD3B08CED3F9},{00E284E3-40F9-4524-90FF-94B25F3011A9},{5C5BCEFA-8F0A-4606-847B-565707F5EBB6},{49480620-A61F-487C-925B-2085F7EA8623},{16E5F5B0-F52B-4890-9031-5381680B117A},{F5640ABF-1640-46ED-85BC-CDCBAD942374},{9A68AC35-0A1A-4045-8FC1-AF1F64DEB2EB},{C2AC8D69-F7E8-45D0-9ACC-1FF41164E617},{CD608734-BDFD-4479-B45A-FA9EAF5B640F},{7B1300F0-A439-4480-ABF5-039C4646D434},{CEA5844C-7A93-43AF-8DEB-8652C002D0B8},{08C56B17-A14B-48F1-95B3-2C8A56B44D98},{6FDD7288-6C76-4A4A-ABBE-700C3894E040},{B55B4424-5BD2-4230-95EE-D046652D578E},{94AF8911-DA55-4D11-ACB5-DC09C57218B9},{36F36A54-6768-4A6E-926B-6FD4A809EF2F}"/>
  </w:docVars>
  <w:rsids>
    <w:rsidRoot w:val="00C917C0"/>
    <w:rsid w:val="005C3FA4"/>
    <w:rsid w:val="00C917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D8FE74C1-2888-4DC5-A633-D2BC92BAA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768</Words>
  <Characters>4717</Characters>
  <Application>Microsoft Office Word</Application>
  <DocSecurity>4</DocSecurity>
  <Lines>124</Lines>
  <Paragraphs>63</Paragraphs>
  <ScaleCrop>false</ScaleCrop>
  <HeadingPairs>
    <vt:vector size="2" baseType="variant">
      <vt:variant>
        <vt:lpstr>Rubrik</vt:lpstr>
      </vt:variant>
      <vt:variant>
        <vt:i4>1</vt:i4>
      </vt:variant>
    </vt:vector>
  </HeadingPairs>
  <TitlesOfParts>
    <vt:vector size="1" baseType="lpstr">
      <vt:lpstr>MP027</vt:lpstr>
    </vt:vector>
  </TitlesOfParts>
  <Company>Riksdagen</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MP027</dc:title>
  <dc:subject>MP027</dc:subject>
  <dc:creator>Riksdagen</dc:creator>
  <cp:keywords>Riksdagen</cp:keywords>
  <dc:description>Versal/gemen i partibeteckning. Gemen i tryck för 0910, versal för 1011 och nyare</dc:description>
  <cp:lastModifiedBy>Lars Brink</cp:lastModifiedBy>
  <cp:revision>2</cp:revision>
  <cp:lastPrinted>2011-05-10T07:40:00Z</cp:lastPrinted>
  <dcterms:created xsi:type="dcterms:W3CDTF">2025-12-18T00:38:00Z</dcterms:created>
  <dcterms:modified xsi:type="dcterms:W3CDTF">2025-12-18T00:38:00Z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mot2000_532_2011-05-06</vt:lpwstr>
  </property>
  <property fmtid="{D5CDD505-2E9C-101B-9397-08002B2CF9AE}" pid="3" name="version">
    <vt:lpwstr>mot2000_524_2011-05-04</vt:lpwstr>
  </property>
  <property fmtid="{D5CDD505-2E9C-101B-9397-08002B2CF9AE}" pid="4" name="dokumenttyp">
    <vt:lpwstr>motion</vt:lpwstr>
  </property>
  <property fmtid="{D5CDD505-2E9C-101B-9397-08002B2CF9AE}" pid="5" name="Sekr">
    <vt:lpwstr>AB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2010/11:99 Vårändringsbudget för 2011</vt:lpwstr>
  </property>
  <property fmtid="{D5CDD505-2E9C-101B-9397-08002B2CF9AE}" pid="11" name="SvarFrasKort">
    <vt:lpwstr>med anledning av prop. 2010/11:99</vt:lpwstr>
  </property>
  <property fmtid="{D5CDD505-2E9C-101B-9397-08002B2CF9AE}" pid="12" name="Svar">
    <vt:lpwstr>Proposition</vt:lpwstr>
  </property>
  <property fmtid="{D5CDD505-2E9C-101B-9397-08002B2CF9AE}" pid="13" name="SvarNr">
    <vt:lpwstr>2010/11:99</vt:lpwstr>
  </property>
  <property fmtid="{D5CDD505-2E9C-101B-9397-08002B2CF9AE}" pid="14" name="RubrikSvar">
    <vt:lpwstr>Vårändringsbudget för 2011</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MP27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25</vt:lpwstr>
  </property>
  <property fmtid="{D5CDD505-2E9C-101B-9397-08002B2CF9AE}" pid="25" name="MotionarText">
    <vt:lpwstr>av Peter Eriksson m.fl. (MP)</vt:lpwstr>
  </property>
  <property fmtid="{D5CDD505-2E9C-101B-9397-08002B2CF9AE}" pid="26" name="MotionarLista">
    <vt:lpwstr>Eriksson, Peter (MP)\Wetterstrand, Maria (MP)\Valtersson, Mikaela (MP)\Eriksson, Jonas (MP)\Amin, Jabar (MP)\Bergström, Stina (MP)\Börjesson, Agneta (MP)\Ceballos, Bodil (MP)\Dingizian, Esabelle (MP)\Ehn, Tina (MP)\Ehrencrona, Magnus (MP)\</vt:lpwstr>
  </property>
  <property fmtid="{D5CDD505-2E9C-101B-9397-08002B2CF9AE}" pid="27" name="MotionarLista1">
    <vt:lpwstr>Ericson, Gunvor G (MP)\Ferm, Maria (MP)\Fridolin, Gustav (MP)\Holm, Ulf (MP)\Kaplan, Mehmet (MP)\Leander, Helena (MP)\Lillemets, Annika (MP)\Lindholm, Jan (MP)\Luttropp, Agneta (MP)\Mutt, Valter (MP)\Nordin, Lise (MP)\Nordqvist, Kew (MP)\</vt:lpwstr>
  </property>
  <property fmtid="{D5CDD505-2E9C-101B-9397-08002B2CF9AE}" pid="28" name="MotionarLista2">
    <vt:lpwstr>Romson, Åsa (MP)\Rådberg, Peter (MP)\</vt:lpwstr>
  </property>
  <property fmtid="{D5CDD505-2E9C-101B-9397-08002B2CF9AE}" pid="29" name="MotionarLista3">
    <vt:lpwstr/>
  </property>
  <property fmtid="{D5CDD505-2E9C-101B-9397-08002B2CF9AE}" pid="30" name="MotionarLotus">
    <vt:lpwstr>Peter Eriksson (MP), Maria Wetterstrand (MP), Mikaela Valtersson (MP), Jonas Eriksson (MP), Jabar Amin (MP), Stina Bergström (MP), Agneta Börjesson (MP), Bodil Ceballos (MP), Esabelle Dingizian (MP), Tina Ehn (MP), Magnus Ehrencrona (MP), Gunvor G Ericson</vt:lpwstr>
  </property>
  <property fmtid="{D5CDD505-2E9C-101B-9397-08002B2CF9AE}" pid="31" name="MotionarLotus1">
    <vt:lpwstr> (MP), Maria Ferm (MP), Gustav Fridolin (MP), Ulf Holm (MP), Mehmet Kaplan (MP), Helena Leander (MP), Annika Lillemets (MP), Jan Lindholm (MP), Agneta Luttropp (MP), Valter Mutt (MP), Lise Nordin (MP), Kew Nordqvist (MP), Åsa Romson (MP), Peter Rådberg (M</vt:lpwstr>
  </property>
  <property fmtid="{D5CDD505-2E9C-101B-9397-08002B2CF9AE}" pid="32" name="MotionarLotus2">
    <vt:lpwstr>P)</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Fi13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maj 2011</vt:lpwstr>
  </property>
  <property fmtid="{D5CDD505-2E9C-101B-9397-08002B2CF9AE}" pid="44" name="NotesUID">
    <vt:lpwstr>agnetha.bostrom@riksdagen.se</vt:lpwstr>
  </property>
  <property fmtid="{D5CDD505-2E9C-101B-9397-08002B2CF9AE}" pid="45" name="ReservUID">
    <vt:lpwstr>aa1120aa</vt:lpwstr>
  </property>
  <property fmtid="{D5CDD505-2E9C-101B-9397-08002B2CF9AE}" pid="46" name="MotionID">
    <vt:lpwstr>20102011000000770080000000270080</vt:lpwstr>
  </property>
  <property fmtid="{D5CDD505-2E9C-101B-9397-08002B2CF9AE}" pid="47" name="datum">
    <vt:lpwstr>110504</vt:lpwstr>
  </property>
  <property fmtid="{D5CDD505-2E9C-101B-9397-08002B2CF9AE}" pid="48" name="avsändar-e-post">
    <vt:lpwstr>agnetha.bostrom@riksdagen.se</vt:lpwstr>
  </property>
  <property fmtid="{D5CDD505-2E9C-101B-9397-08002B2CF9AE}" pid="49" name="id">
    <vt:lpwstr>20102011000000770080000000270080</vt:lpwstr>
  </property>
  <property fmtid="{D5CDD505-2E9C-101B-9397-08002B2CF9AE}" pid="50" name="nummer">
    <vt:lpwstr>13</vt:lpwstr>
  </property>
  <property fmtid="{D5CDD505-2E9C-101B-9397-08002B2CF9AE}" pid="51" name="utskottsbeteckning">
    <vt:lpwstr>Fi</vt:lpwstr>
  </property>
  <property fmtid="{D5CDD505-2E9C-101B-9397-08002B2CF9AE}" pid="52" name="GlobalUID">
    <vt:lpwstr>{AA9DAA86-D190-4B39-A691-EAC40C86DE2B}</vt:lpwstr>
  </property>
  <property fmtid="{D5CDD505-2E9C-101B-9397-08002B2CF9AE}" pid="53" name="Överföringar">
    <vt:i4>0</vt:i4>
  </property>
  <property fmtid="{D5CDD505-2E9C-101B-9397-08002B2CF9AE}" pid="54" name="Checksum">
    <vt:lpwstr>*0011341483759*</vt:lpwstr>
  </property>
  <property fmtid="{D5CDD505-2E9C-101B-9397-08002B2CF9AE}" pid="55" name="skuggnummer">
    <vt:lpwstr/>
  </property>
  <property fmtid="{D5CDD505-2E9C-101B-9397-08002B2CF9AE}" pid="56" name="urixVersion">
    <vt:lpwstr>4.4.0.7</vt:lpwstr>
  </property>
  <property fmtid="{D5CDD505-2E9C-101B-9397-08002B2CF9AE}" pid="57" name="urixOrigin">
    <vt:lpwstr>110510 15:47:25.765</vt:lpwstr>
  </property>
  <property fmtid="{D5CDD505-2E9C-101B-9397-08002B2CF9AE}" pid="58" name="urixGuid">
    <vt:lpwstr>{0A21698B-D15C-4A83-B3FF-90D26078B5C6}</vt:lpwstr>
  </property>
</Properties>
</file>