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69B9F785" w:rsidR="00177FF8" w:rsidRPr="00B40F4D" w:rsidRDefault="00626575" w:rsidP="00D1794C">
            <w:pPr>
              <w:rPr>
                <w:b/>
                <w:sz w:val="22"/>
                <w:szCs w:val="22"/>
              </w:rPr>
            </w:pPr>
            <w:r w:rsidRPr="00B40F4D">
              <w:rPr>
                <w:b/>
                <w:sz w:val="22"/>
                <w:szCs w:val="22"/>
              </w:rPr>
              <w:t>UTSKOTTSSAMMANTRÄDE 20</w:t>
            </w:r>
            <w:r w:rsidR="004072D7">
              <w:rPr>
                <w:b/>
                <w:sz w:val="22"/>
                <w:szCs w:val="22"/>
              </w:rPr>
              <w:t>2</w:t>
            </w:r>
            <w:r w:rsidR="00041991">
              <w:rPr>
                <w:b/>
                <w:sz w:val="22"/>
                <w:szCs w:val="22"/>
              </w:rPr>
              <w:t>2</w:t>
            </w:r>
            <w:r w:rsidR="000E777E" w:rsidRPr="00B40F4D">
              <w:rPr>
                <w:b/>
                <w:sz w:val="22"/>
                <w:szCs w:val="22"/>
              </w:rPr>
              <w:t>/2</w:t>
            </w:r>
            <w:r w:rsidR="00041991">
              <w:rPr>
                <w:b/>
                <w:sz w:val="22"/>
                <w:szCs w:val="22"/>
              </w:rPr>
              <w:t>3</w:t>
            </w:r>
            <w:r w:rsidR="003B57EC">
              <w:rPr>
                <w:b/>
                <w:sz w:val="22"/>
                <w:szCs w:val="22"/>
              </w:rPr>
              <w:t>:</w:t>
            </w:r>
            <w:r w:rsidR="008537E1">
              <w:rPr>
                <w:b/>
                <w:sz w:val="22"/>
                <w:szCs w:val="22"/>
              </w:rPr>
              <w:t>18</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0D8AA2D3" w:rsidR="00177FF8" w:rsidRPr="00B40F4D" w:rsidRDefault="00626575" w:rsidP="00FB0559">
            <w:pPr>
              <w:rPr>
                <w:sz w:val="22"/>
                <w:szCs w:val="22"/>
              </w:rPr>
            </w:pPr>
            <w:r w:rsidRPr="00B40F4D">
              <w:rPr>
                <w:sz w:val="22"/>
                <w:szCs w:val="22"/>
              </w:rPr>
              <w:t>20</w:t>
            </w:r>
            <w:r w:rsidR="00CB71B9">
              <w:rPr>
                <w:sz w:val="22"/>
                <w:szCs w:val="22"/>
              </w:rPr>
              <w:t>2</w:t>
            </w:r>
            <w:r w:rsidR="008E6B40">
              <w:rPr>
                <w:sz w:val="22"/>
                <w:szCs w:val="22"/>
              </w:rPr>
              <w:t>2</w:t>
            </w:r>
            <w:r w:rsidR="008C2D5B" w:rsidRPr="00B40F4D">
              <w:rPr>
                <w:sz w:val="22"/>
                <w:szCs w:val="22"/>
              </w:rPr>
              <w:t>-</w:t>
            </w:r>
            <w:r w:rsidR="00041991">
              <w:rPr>
                <w:sz w:val="22"/>
                <w:szCs w:val="22"/>
              </w:rPr>
              <w:t>1</w:t>
            </w:r>
            <w:r w:rsidR="00AF00D1">
              <w:rPr>
                <w:sz w:val="22"/>
                <w:szCs w:val="22"/>
              </w:rPr>
              <w:t>2</w:t>
            </w:r>
            <w:r w:rsidR="00374911">
              <w:rPr>
                <w:sz w:val="22"/>
                <w:szCs w:val="22"/>
              </w:rPr>
              <w:t>-</w:t>
            </w:r>
            <w:r w:rsidR="00ED2B25">
              <w:rPr>
                <w:sz w:val="22"/>
                <w:szCs w:val="22"/>
              </w:rPr>
              <w:t>15</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03B41E4C" w:rsidR="00177FF8" w:rsidRPr="00B40F4D" w:rsidRDefault="00ED2B25" w:rsidP="00231475">
            <w:pPr>
              <w:rPr>
                <w:sz w:val="22"/>
                <w:szCs w:val="22"/>
              </w:rPr>
            </w:pPr>
            <w:r>
              <w:rPr>
                <w:sz w:val="22"/>
                <w:szCs w:val="22"/>
              </w:rPr>
              <w:t>09</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A52D18">
              <w:rPr>
                <w:sz w:val="22"/>
                <w:szCs w:val="22"/>
              </w:rPr>
              <w:t>09.20  09.30 – 10.10</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30A97" w:rsidRPr="00AC3850" w14:paraId="2BB83371" w14:textId="77777777" w:rsidTr="00C5706E">
        <w:tc>
          <w:tcPr>
            <w:tcW w:w="567" w:type="dxa"/>
          </w:tcPr>
          <w:p w14:paraId="56D30B55" w14:textId="5D4ECE43" w:rsidR="00D30A97" w:rsidRPr="00AC3850" w:rsidRDefault="00F3734F" w:rsidP="00C5706E">
            <w:pPr>
              <w:tabs>
                <w:tab w:val="left" w:pos="1701"/>
              </w:tabs>
              <w:rPr>
                <w:b/>
                <w:snapToGrid w:val="0"/>
                <w:sz w:val="22"/>
                <w:szCs w:val="22"/>
              </w:rPr>
            </w:pPr>
            <w:r>
              <w:rPr>
                <w:b/>
                <w:snapToGrid w:val="0"/>
                <w:sz w:val="22"/>
                <w:szCs w:val="22"/>
              </w:rPr>
              <w:t xml:space="preserve">§ 1 </w:t>
            </w:r>
          </w:p>
        </w:tc>
        <w:tc>
          <w:tcPr>
            <w:tcW w:w="6946" w:type="dxa"/>
            <w:gridSpan w:val="2"/>
          </w:tcPr>
          <w:p w14:paraId="6AC9CD4F" w14:textId="77777777" w:rsidR="00545E92" w:rsidRDefault="00F3734F" w:rsidP="00305501">
            <w:pPr>
              <w:rPr>
                <w:b/>
                <w:snapToGrid w:val="0"/>
                <w:sz w:val="22"/>
                <w:szCs w:val="22"/>
              </w:rPr>
            </w:pPr>
            <w:r>
              <w:rPr>
                <w:b/>
                <w:snapToGrid w:val="0"/>
                <w:sz w:val="22"/>
                <w:szCs w:val="22"/>
              </w:rPr>
              <w:t>Ny suppleant</w:t>
            </w:r>
          </w:p>
          <w:p w14:paraId="6AE980E8" w14:textId="77777777" w:rsidR="00F3734F" w:rsidRDefault="00F3734F" w:rsidP="00305501">
            <w:pPr>
              <w:rPr>
                <w:b/>
                <w:snapToGrid w:val="0"/>
                <w:sz w:val="22"/>
                <w:szCs w:val="22"/>
              </w:rPr>
            </w:pPr>
          </w:p>
          <w:p w14:paraId="132D1C2F" w14:textId="77777777" w:rsidR="00F3734F" w:rsidRDefault="00F3734F" w:rsidP="00305501">
            <w:pPr>
              <w:rPr>
                <w:bCs/>
                <w:snapToGrid w:val="0"/>
                <w:sz w:val="22"/>
                <w:szCs w:val="22"/>
              </w:rPr>
            </w:pPr>
            <w:r>
              <w:rPr>
                <w:bCs/>
                <w:snapToGrid w:val="0"/>
                <w:sz w:val="22"/>
                <w:szCs w:val="22"/>
              </w:rPr>
              <w:t>Ordförande hälsade Patrik Jönsson (SD) välkommen som suppleant i utskottet.</w:t>
            </w:r>
          </w:p>
          <w:p w14:paraId="6E82D1D1" w14:textId="5E8AF02F" w:rsidR="00F3734F" w:rsidRPr="00F3734F" w:rsidRDefault="00F3734F" w:rsidP="00305501">
            <w:pPr>
              <w:rPr>
                <w:bCs/>
                <w:snapToGrid w:val="0"/>
                <w:sz w:val="22"/>
                <w:szCs w:val="22"/>
              </w:rPr>
            </w:pPr>
          </w:p>
        </w:tc>
      </w:tr>
      <w:tr w:rsidR="00F3734F" w:rsidRPr="00AC3850" w14:paraId="33B47945" w14:textId="77777777" w:rsidTr="00C5706E">
        <w:tc>
          <w:tcPr>
            <w:tcW w:w="567" w:type="dxa"/>
          </w:tcPr>
          <w:p w14:paraId="19867523" w14:textId="0BB9DB9D" w:rsidR="00F3734F" w:rsidRPr="00AC3850" w:rsidRDefault="00F3734F" w:rsidP="00C5706E">
            <w:pPr>
              <w:tabs>
                <w:tab w:val="left" w:pos="1701"/>
              </w:tabs>
              <w:rPr>
                <w:b/>
                <w:snapToGrid w:val="0"/>
                <w:sz w:val="22"/>
                <w:szCs w:val="22"/>
              </w:rPr>
            </w:pPr>
            <w:r w:rsidRPr="00AC3850">
              <w:rPr>
                <w:b/>
                <w:snapToGrid w:val="0"/>
                <w:sz w:val="22"/>
                <w:szCs w:val="22"/>
              </w:rPr>
              <w:t xml:space="preserve">§ </w:t>
            </w:r>
            <w:r>
              <w:rPr>
                <w:b/>
                <w:snapToGrid w:val="0"/>
                <w:sz w:val="22"/>
                <w:szCs w:val="22"/>
              </w:rPr>
              <w:t>2</w:t>
            </w:r>
          </w:p>
        </w:tc>
        <w:tc>
          <w:tcPr>
            <w:tcW w:w="6946" w:type="dxa"/>
            <w:gridSpan w:val="2"/>
          </w:tcPr>
          <w:p w14:paraId="1EC7F36C" w14:textId="77777777" w:rsidR="00F3734F" w:rsidRPr="00AC3850" w:rsidRDefault="00F3734F" w:rsidP="00F3734F">
            <w:pPr>
              <w:rPr>
                <w:b/>
                <w:bCs/>
                <w:color w:val="000000"/>
                <w:sz w:val="22"/>
                <w:szCs w:val="22"/>
              </w:rPr>
            </w:pPr>
            <w:r w:rsidRPr="00AC3850">
              <w:rPr>
                <w:b/>
                <w:bCs/>
                <w:color w:val="000000"/>
                <w:sz w:val="22"/>
                <w:szCs w:val="22"/>
              </w:rPr>
              <w:t>Utgiftsområde 20 Allmän miljö- och naturvård (MJU1)</w:t>
            </w:r>
          </w:p>
          <w:p w14:paraId="77D24AAD" w14:textId="77777777" w:rsidR="00F3734F" w:rsidRPr="00AC3850" w:rsidRDefault="00F3734F" w:rsidP="00F3734F">
            <w:pPr>
              <w:rPr>
                <w:bCs/>
                <w:sz w:val="22"/>
                <w:szCs w:val="22"/>
              </w:rPr>
            </w:pPr>
            <w:r w:rsidRPr="00AC3850">
              <w:rPr>
                <w:color w:val="000000"/>
                <w:sz w:val="22"/>
                <w:szCs w:val="22"/>
              </w:rPr>
              <w:br/>
            </w:r>
            <w:r w:rsidRPr="00AC3850">
              <w:rPr>
                <w:bCs/>
                <w:sz w:val="22"/>
                <w:szCs w:val="22"/>
              </w:rPr>
              <w:t xml:space="preserve">Utskottet fortsatte beredningen av prop. 2022/23:1 och motioner. </w:t>
            </w:r>
          </w:p>
          <w:p w14:paraId="5987C3E2" w14:textId="77777777" w:rsidR="00F3734F" w:rsidRPr="00AC3850" w:rsidRDefault="00F3734F" w:rsidP="00F3734F">
            <w:pPr>
              <w:rPr>
                <w:bCs/>
                <w:sz w:val="22"/>
                <w:szCs w:val="22"/>
              </w:rPr>
            </w:pPr>
          </w:p>
          <w:p w14:paraId="4872AAD0" w14:textId="77777777" w:rsidR="00F3734F" w:rsidRPr="00AC3850" w:rsidRDefault="00F3734F" w:rsidP="00F3734F">
            <w:pPr>
              <w:rPr>
                <w:bCs/>
                <w:sz w:val="22"/>
                <w:szCs w:val="22"/>
              </w:rPr>
            </w:pPr>
            <w:r w:rsidRPr="00AC3850">
              <w:rPr>
                <w:bCs/>
                <w:sz w:val="22"/>
                <w:szCs w:val="22"/>
              </w:rPr>
              <w:t xml:space="preserve">Utskottet justerade betänkande 2022/23:MJU1. </w:t>
            </w:r>
          </w:p>
          <w:p w14:paraId="720FD51C" w14:textId="77777777" w:rsidR="00F3734F" w:rsidRPr="00AC3850" w:rsidRDefault="00F3734F" w:rsidP="00F3734F">
            <w:pPr>
              <w:rPr>
                <w:bCs/>
                <w:sz w:val="22"/>
                <w:szCs w:val="22"/>
              </w:rPr>
            </w:pPr>
          </w:p>
          <w:p w14:paraId="646F946C" w14:textId="77777777" w:rsidR="00F3734F" w:rsidRPr="00AC3850" w:rsidRDefault="00F3734F" w:rsidP="00F3734F">
            <w:pPr>
              <w:rPr>
                <w:bCs/>
                <w:sz w:val="22"/>
                <w:szCs w:val="22"/>
              </w:rPr>
            </w:pPr>
            <w:r w:rsidRPr="00F3734F">
              <w:rPr>
                <w:bCs/>
                <w:sz w:val="22"/>
                <w:szCs w:val="22"/>
              </w:rPr>
              <w:t>S-, V-, C- och MP-</w:t>
            </w:r>
            <w:r w:rsidRPr="00AC3850">
              <w:rPr>
                <w:bCs/>
                <w:sz w:val="22"/>
                <w:szCs w:val="22"/>
              </w:rPr>
              <w:t xml:space="preserve">ledamöterna anmälde särskilda yttranden. </w:t>
            </w:r>
          </w:p>
          <w:p w14:paraId="56486E18" w14:textId="77777777" w:rsidR="00F3734F" w:rsidRPr="00AC3850" w:rsidRDefault="00F3734F" w:rsidP="00AC3850">
            <w:pPr>
              <w:rPr>
                <w:b/>
                <w:bCs/>
                <w:color w:val="000000"/>
                <w:sz w:val="22"/>
                <w:szCs w:val="22"/>
              </w:rPr>
            </w:pPr>
          </w:p>
        </w:tc>
      </w:tr>
      <w:tr w:rsidR="00ED2B25" w:rsidRPr="00AC3850" w14:paraId="058D3629" w14:textId="77777777" w:rsidTr="00C5706E">
        <w:tc>
          <w:tcPr>
            <w:tcW w:w="567" w:type="dxa"/>
          </w:tcPr>
          <w:p w14:paraId="2D2565D5" w14:textId="698AB83C" w:rsidR="00ED2B25" w:rsidRPr="00AC3850" w:rsidRDefault="00E711AA" w:rsidP="00C5706E">
            <w:pPr>
              <w:tabs>
                <w:tab w:val="left" w:pos="1701"/>
              </w:tabs>
              <w:rPr>
                <w:b/>
                <w:snapToGrid w:val="0"/>
                <w:sz w:val="22"/>
                <w:szCs w:val="22"/>
              </w:rPr>
            </w:pPr>
            <w:r w:rsidRPr="00AC3850">
              <w:rPr>
                <w:b/>
                <w:snapToGrid w:val="0"/>
                <w:sz w:val="22"/>
                <w:szCs w:val="22"/>
              </w:rPr>
              <w:t xml:space="preserve">§ </w:t>
            </w:r>
            <w:r w:rsidR="00F3734F">
              <w:rPr>
                <w:b/>
                <w:snapToGrid w:val="0"/>
                <w:sz w:val="22"/>
                <w:szCs w:val="22"/>
              </w:rPr>
              <w:t>3</w:t>
            </w:r>
          </w:p>
        </w:tc>
        <w:tc>
          <w:tcPr>
            <w:tcW w:w="6946" w:type="dxa"/>
            <w:gridSpan w:val="2"/>
          </w:tcPr>
          <w:p w14:paraId="6D2942DB" w14:textId="77777777" w:rsidR="00F3734F" w:rsidRPr="008D4ED6" w:rsidRDefault="00F3734F" w:rsidP="00F3734F">
            <w:pPr>
              <w:widowControl/>
              <w:tabs>
                <w:tab w:val="left" w:pos="284"/>
              </w:tabs>
              <w:rPr>
                <w:b/>
                <w:color w:val="000000"/>
                <w:sz w:val="22"/>
                <w:szCs w:val="22"/>
              </w:rPr>
            </w:pPr>
            <w:r w:rsidRPr="008D4ED6">
              <w:rPr>
                <w:b/>
                <w:color w:val="000000"/>
                <w:sz w:val="22"/>
                <w:szCs w:val="22"/>
              </w:rPr>
              <w:t>Miljöråd 20 december 2022</w:t>
            </w:r>
          </w:p>
          <w:p w14:paraId="62F6C577" w14:textId="77777777" w:rsidR="00F3734F" w:rsidRPr="008D4ED6" w:rsidRDefault="00F3734F" w:rsidP="00F3734F">
            <w:pPr>
              <w:widowControl/>
              <w:tabs>
                <w:tab w:val="left" w:pos="284"/>
              </w:tabs>
              <w:rPr>
                <w:bCs/>
                <w:color w:val="000000"/>
                <w:sz w:val="22"/>
                <w:szCs w:val="22"/>
              </w:rPr>
            </w:pPr>
          </w:p>
          <w:p w14:paraId="30025474" w14:textId="77777777" w:rsidR="00F3734F" w:rsidRPr="008D4ED6" w:rsidRDefault="00F3734F" w:rsidP="00F3734F">
            <w:pPr>
              <w:widowControl/>
              <w:autoSpaceDE w:val="0"/>
              <w:autoSpaceDN w:val="0"/>
              <w:adjustRightInd w:val="0"/>
              <w:rPr>
                <w:bCs/>
                <w:color w:val="000000"/>
                <w:sz w:val="22"/>
                <w:szCs w:val="22"/>
              </w:rPr>
            </w:pPr>
            <w:r w:rsidRPr="008D4ED6">
              <w:rPr>
                <w:snapToGrid w:val="0"/>
                <w:sz w:val="22"/>
                <w:szCs w:val="22"/>
              </w:rPr>
              <w:t>Utskottet beslutade enligt 7 kap. 12 § RO att överlägga med</w:t>
            </w:r>
            <w:r w:rsidRPr="008D4ED6">
              <w:rPr>
                <w:bCs/>
                <w:color w:val="000000"/>
                <w:sz w:val="22"/>
                <w:szCs w:val="22"/>
              </w:rPr>
              <w:t xml:space="preserve"> </w:t>
            </w:r>
            <w:r w:rsidRPr="008D4ED6">
              <w:rPr>
                <w:bCs/>
                <w:snapToGrid w:val="0"/>
                <w:sz w:val="22"/>
                <w:szCs w:val="22"/>
              </w:rPr>
              <w:t>statssekreterare Daniel Westlén, åtföljd av medarbetare från Miljödepartemente</w:t>
            </w:r>
            <w:r>
              <w:rPr>
                <w:bCs/>
                <w:snapToGrid w:val="0"/>
                <w:sz w:val="22"/>
                <w:szCs w:val="22"/>
              </w:rPr>
              <w:t>t</w:t>
            </w:r>
            <w:r w:rsidRPr="008D4ED6">
              <w:rPr>
                <w:snapToGrid w:val="0"/>
                <w:sz w:val="22"/>
                <w:szCs w:val="22"/>
              </w:rPr>
              <w:t>, om följande punkt på rådsdagordningen</w:t>
            </w:r>
            <w:r w:rsidRPr="008D4ED6">
              <w:rPr>
                <w:bCs/>
                <w:color w:val="000000"/>
                <w:sz w:val="22"/>
                <w:szCs w:val="22"/>
              </w:rPr>
              <w:t>:</w:t>
            </w:r>
          </w:p>
          <w:p w14:paraId="646EA108" w14:textId="77777777" w:rsidR="00F3734F" w:rsidRPr="008D4ED6" w:rsidRDefault="00F3734F" w:rsidP="00F3734F">
            <w:pPr>
              <w:widowControl/>
              <w:autoSpaceDE w:val="0"/>
              <w:autoSpaceDN w:val="0"/>
              <w:adjustRightInd w:val="0"/>
              <w:rPr>
                <w:bCs/>
                <w:color w:val="000000"/>
                <w:sz w:val="22"/>
                <w:szCs w:val="22"/>
              </w:rPr>
            </w:pPr>
          </w:p>
          <w:p w14:paraId="0324A745" w14:textId="77777777" w:rsidR="00F3734F" w:rsidRPr="008D4ED6" w:rsidRDefault="00F3734F" w:rsidP="00F3734F">
            <w:pPr>
              <w:rPr>
                <w:b/>
                <w:bCs/>
                <w:color w:val="000000"/>
                <w:sz w:val="22"/>
                <w:szCs w:val="22"/>
              </w:rPr>
            </w:pPr>
            <w:r w:rsidRPr="008D4ED6">
              <w:rPr>
                <w:b/>
                <w:snapToGrid w:val="0"/>
                <w:sz w:val="22"/>
                <w:szCs w:val="22"/>
              </w:rPr>
              <w:t xml:space="preserve">Rådets dagordningspunkt 3. </w:t>
            </w:r>
            <w:r w:rsidRPr="008D4ED6">
              <w:rPr>
                <w:b/>
                <w:sz w:val="22"/>
                <w:szCs w:val="22"/>
              </w:rPr>
              <w:t>F</w:t>
            </w:r>
            <w:r w:rsidRPr="008D4ED6">
              <w:rPr>
                <w:b/>
                <w:bCs/>
                <w:sz w:val="22"/>
                <w:szCs w:val="22"/>
              </w:rPr>
              <w:t>örordning om restaurering av natur</w:t>
            </w:r>
          </w:p>
          <w:p w14:paraId="3031C31B" w14:textId="77777777" w:rsidR="00F3734F" w:rsidRPr="008D4ED6" w:rsidRDefault="00F3734F" w:rsidP="00F3734F">
            <w:pPr>
              <w:widowControl/>
              <w:tabs>
                <w:tab w:val="left" w:pos="284"/>
              </w:tabs>
              <w:rPr>
                <w:bCs/>
                <w:snapToGrid w:val="0"/>
                <w:sz w:val="22"/>
                <w:szCs w:val="22"/>
              </w:rPr>
            </w:pPr>
          </w:p>
          <w:p w14:paraId="0016AFC4" w14:textId="77777777" w:rsidR="00F3734F" w:rsidRPr="008D4ED6" w:rsidRDefault="00F3734F" w:rsidP="00F3734F">
            <w:pPr>
              <w:rPr>
                <w:bCs/>
                <w:color w:val="000000"/>
                <w:sz w:val="22"/>
                <w:szCs w:val="22"/>
              </w:rPr>
            </w:pPr>
            <w:r w:rsidRPr="008D4ED6">
              <w:rPr>
                <w:bCs/>
                <w:color w:val="000000"/>
                <w:sz w:val="22"/>
                <w:szCs w:val="22"/>
              </w:rPr>
              <w:t xml:space="preserve">Underlaget utgjordes av </w:t>
            </w:r>
            <w:r w:rsidRPr="008D4ED6">
              <w:rPr>
                <w:bCs/>
                <w:sz w:val="22"/>
                <w:szCs w:val="22"/>
              </w:rPr>
              <w:t>e</w:t>
            </w:r>
            <w:r>
              <w:rPr>
                <w:bCs/>
                <w:sz w:val="22"/>
                <w:szCs w:val="22"/>
              </w:rPr>
              <w:t>tt</w:t>
            </w:r>
            <w:r w:rsidRPr="008D4ED6">
              <w:rPr>
                <w:bCs/>
                <w:sz w:val="22"/>
                <w:szCs w:val="22"/>
              </w:rPr>
              <w:t xml:space="preserve"> </w:t>
            </w:r>
            <w:r w:rsidRPr="008D4ED6">
              <w:rPr>
                <w:bCs/>
                <w:color w:val="000000"/>
                <w:sz w:val="22"/>
                <w:szCs w:val="22"/>
              </w:rPr>
              <w:t>vid sammanträdet utdela</w:t>
            </w:r>
            <w:r>
              <w:rPr>
                <w:bCs/>
                <w:color w:val="000000"/>
                <w:sz w:val="22"/>
                <w:szCs w:val="22"/>
              </w:rPr>
              <w:t>t förslag till</w:t>
            </w:r>
            <w:r w:rsidRPr="008D4ED6">
              <w:rPr>
                <w:bCs/>
                <w:color w:val="000000"/>
                <w:sz w:val="22"/>
                <w:szCs w:val="22"/>
              </w:rPr>
              <w:t xml:space="preserve"> reviderad ståndpunkt (bilaga </w:t>
            </w:r>
            <w:r>
              <w:rPr>
                <w:bCs/>
                <w:color w:val="000000"/>
                <w:sz w:val="22"/>
                <w:szCs w:val="22"/>
              </w:rPr>
              <w:t>2</w:t>
            </w:r>
            <w:r w:rsidRPr="008D4ED6">
              <w:rPr>
                <w:bCs/>
                <w:color w:val="000000"/>
                <w:sz w:val="22"/>
                <w:szCs w:val="22"/>
              </w:rPr>
              <w:t xml:space="preserve">). </w:t>
            </w:r>
          </w:p>
          <w:p w14:paraId="0161AB3A" w14:textId="77777777" w:rsidR="00F3734F" w:rsidRPr="008D4ED6" w:rsidRDefault="00F3734F" w:rsidP="00F3734F">
            <w:pPr>
              <w:rPr>
                <w:bCs/>
                <w:color w:val="000000"/>
                <w:sz w:val="22"/>
                <w:szCs w:val="22"/>
              </w:rPr>
            </w:pPr>
          </w:p>
          <w:p w14:paraId="1AF28C51" w14:textId="77777777" w:rsidR="00F3734F" w:rsidRPr="008D4ED6" w:rsidRDefault="00F3734F" w:rsidP="00F3734F">
            <w:pPr>
              <w:widowControl/>
              <w:autoSpaceDE w:val="0"/>
              <w:autoSpaceDN w:val="0"/>
              <w:adjustRightInd w:val="0"/>
              <w:rPr>
                <w:bCs/>
                <w:color w:val="000000"/>
                <w:sz w:val="22"/>
                <w:szCs w:val="22"/>
              </w:rPr>
            </w:pPr>
            <w:r w:rsidRPr="008D4ED6">
              <w:rPr>
                <w:bCs/>
                <w:color w:val="000000"/>
                <w:sz w:val="22"/>
                <w:szCs w:val="22"/>
              </w:rPr>
              <w:t xml:space="preserve">Statssekreteraren </w:t>
            </w:r>
            <w:r w:rsidRPr="008D4ED6">
              <w:rPr>
                <w:snapToGrid w:val="0"/>
                <w:sz w:val="22"/>
                <w:szCs w:val="22"/>
              </w:rPr>
              <w:t>r</w:t>
            </w:r>
            <w:r w:rsidRPr="008D4ED6">
              <w:rPr>
                <w:bCs/>
                <w:color w:val="000000"/>
                <w:sz w:val="22"/>
                <w:szCs w:val="22"/>
              </w:rPr>
              <w:t xml:space="preserve">edogjorde för </w:t>
            </w:r>
            <w:r w:rsidRPr="006B0FED">
              <w:rPr>
                <w:bCs/>
                <w:color w:val="000000"/>
                <w:sz w:val="22"/>
                <w:szCs w:val="22"/>
              </w:rPr>
              <w:t>regeringens reviderade</w:t>
            </w:r>
            <w:r w:rsidRPr="008D4ED6">
              <w:rPr>
                <w:bCs/>
                <w:color w:val="000000"/>
                <w:sz w:val="22"/>
                <w:szCs w:val="22"/>
              </w:rPr>
              <w:t xml:space="preserve"> ståndpunkt. </w:t>
            </w:r>
          </w:p>
          <w:p w14:paraId="65FDC20D" w14:textId="77777777" w:rsidR="00F3734F" w:rsidRPr="008D4ED6" w:rsidRDefault="00F3734F" w:rsidP="00F3734F">
            <w:pPr>
              <w:widowControl/>
              <w:autoSpaceDE w:val="0"/>
              <w:autoSpaceDN w:val="0"/>
              <w:adjustRightInd w:val="0"/>
              <w:rPr>
                <w:color w:val="4E586A"/>
                <w:sz w:val="16"/>
                <w:szCs w:val="16"/>
              </w:rPr>
            </w:pPr>
            <w:r w:rsidRPr="008D4ED6">
              <w:rPr>
                <w:color w:val="4E586A"/>
                <w:sz w:val="16"/>
                <w:szCs w:val="16"/>
              </w:rPr>
              <w:t> </w:t>
            </w:r>
          </w:p>
          <w:p w14:paraId="530A6BF3" w14:textId="77777777" w:rsidR="00F3734F" w:rsidRPr="008D4ED6" w:rsidRDefault="00F3734F" w:rsidP="00F3734F">
            <w:pPr>
              <w:autoSpaceDE w:val="0"/>
              <w:autoSpaceDN w:val="0"/>
              <w:rPr>
                <w:snapToGrid w:val="0"/>
                <w:sz w:val="22"/>
                <w:szCs w:val="22"/>
              </w:rPr>
            </w:pPr>
            <w:r w:rsidRPr="008D4ED6">
              <w:rPr>
                <w:snapToGrid w:val="0"/>
                <w:sz w:val="22"/>
                <w:szCs w:val="22"/>
              </w:rPr>
              <w:t>Ordförande konstaterade att det fanns stöd för regeringens ståndpunkt.</w:t>
            </w:r>
          </w:p>
          <w:p w14:paraId="51DC3373" w14:textId="77777777" w:rsidR="00F3734F" w:rsidRPr="008D4ED6" w:rsidRDefault="00F3734F" w:rsidP="00F3734F">
            <w:pPr>
              <w:autoSpaceDE w:val="0"/>
              <w:autoSpaceDN w:val="0"/>
            </w:pPr>
          </w:p>
          <w:p w14:paraId="07AEAB62" w14:textId="77777777" w:rsidR="00F3734F" w:rsidRPr="008D4ED6" w:rsidRDefault="00F3734F" w:rsidP="00F3734F">
            <w:pPr>
              <w:rPr>
                <w:rStyle w:val="normaltextrun"/>
                <w:snapToGrid w:val="0"/>
                <w:sz w:val="22"/>
                <w:szCs w:val="22"/>
              </w:rPr>
            </w:pPr>
            <w:r w:rsidRPr="008D4ED6">
              <w:rPr>
                <w:snapToGrid w:val="0"/>
                <w:sz w:val="22"/>
                <w:szCs w:val="22"/>
              </w:rPr>
              <w:t>S-, V-, C- och MP-ledamöterna anmälde avvikande ståndpunkter vilka framgår av bilaga 3.</w:t>
            </w:r>
          </w:p>
          <w:p w14:paraId="52F17198" w14:textId="77777777" w:rsidR="00F3734F" w:rsidRDefault="00F3734F" w:rsidP="00F3734F">
            <w:pPr>
              <w:rPr>
                <w:b/>
                <w:iCs/>
                <w:snapToGrid w:val="0"/>
                <w:sz w:val="22"/>
                <w:szCs w:val="22"/>
              </w:rPr>
            </w:pPr>
          </w:p>
          <w:p w14:paraId="139FA764" w14:textId="77777777" w:rsidR="00F3734F" w:rsidRPr="005B4C13" w:rsidRDefault="00F3734F" w:rsidP="00F3734F">
            <w:pPr>
              <w:rPr>
                <w:rFonts w:eastAsia="Calibri"/>
                <w:bCs/>
                <w:color w:val="000000"/>
                <w:sz w:val="22"/>
                <w:szCs w:val="22"/>
                <w:lang w:eastAsia="en-US"/>
              </w:rPr>
            </w:pPr>
            <w:r>
              <w:rPr>
                <w:bCs/>
                <w:snapToGrid w:val="0"/>
                <w:sz w:val="22"/>
                <w:szCs w:val="22"/>
              </w:rPr>
              <w:t>S</w:t>
            </w:r>
            <w:r w:rsidRPr="008D4ED6">
              <w:rPr>
                <w:bCs/>
                <w:snapToGrid w:val="0"/>
                <w:sz w:val="22"/>
                <w:szCs w:val="22"/>
              </w:rPr>
              <w:t>tatssekreterare Daniel Westlén</w:t>
            </w:r>
            <w:r>
              <w:rPr>
                <w:bCs/>
                <w:snapToGrid w:val="0"/>
                <w:sz w:val="22"/>
                <w:szCs w:val="22"/>
              </w:rPr>
              <w:t xml:space="preserve"> </w:t>
            </w:r>
            <w:r w:rsidRPr="005B4C13">
              <w:rPr>
                <w:rFonts w:eastAsia="Calibri"/>
                <w:bCs/>
                <w:color w:val="000000"/>
                <w:sz w:val="22"/>
                <w:szCs w:val="22"/>
                <w:lang w:eastAsia="en-US"/>
              </w:rPr>
              <w:t>med medarbetare lämnade under övriga punkter på d</w:t>
            </w:r>
            <w:r w:rsidRPr="005B4C13">
              <w:rPr>
                <w:rFonts w:eastAsia="Calibri"/>
                <w:color w:val="000000"/>
                <w:sz w:val="22"/>
                <w:szCs w:val="22"/>
                <w:lang w:eastAsia="en-US"/>
              </w:rPr>
              <w:t xml:space="preserve">agordningen </w:t>
            </w:r>
            <w:r w:rsidRPr="005B4C13">
              <w:rPr>
                <w:rFonts w:eastAsia="Calibri"/>
                <w:bCs/>
                <w:iCs/>
                <w:color w:val="000000"/>
                <w:sz w:val="22"/>
                <w:szCs w:val="22"/>
                <w:lang w:eastAsia="en-US"/>
              </w:rPr>
              <w:t>information</w:t>
            </w:r>
            <w:r w:rsidRPr="005B4C13">
              <w:rPr>
                <w:rFonts w:eastAsia="Calibri"/>
                <w:b/>
                <w:bCs/>
                <w:iCs/>
                <w:color w:val="000000"/>
                <w:sz w:val="22"/>
                <w:szCs w:val="22"/>
                <w:lang w:eastAsia="en-US"/>
              </w:rPr>
              <w:t xml:space="preserve"> </w:t>
            </w:r>
            <w:r w:rsidRPr="005B4C13">
              <w:rPr>
                <w:rFonts w:eastAsia="Calibri"/>
                <w:bCs/>
                <w:color w:val="000000"/>
                <w:sz w:val="22"/>
                <w:szCs w:val="22"/>
                <w:lang w:eastAsia="en-US"/>
              </w:rPr>
              <w:t xml:space="preserve">inför </w:t>
            </w:r>
            <w:r>
              <w:rPr>
                <w:rFonts w:eastAsia="Calibri"/>
                <w:bCs/>
                <w:color w:val="000000"/>
                <w:sz w:val="22"/>
                <w:szCs w:val="22"/>
                <w:lang w:eastAsia="en-US"/>
              </w:rPr>
              <w:t>Mi</w:t>
            </w:r>
            <w:r w:rsidRPr="005B4C13">
              <w:rPr>
                <w:rFonts w:eastAsia="Calibri"/>
                <w:bCs/>
                <w:color w:val="000000"/>
                <w:sz w:val="22"/>
                <w:szCs w:val="22"/>
                <w:lang w:eastAsia="en-US"/>
              </w:rPr>
              <w:t xml:space="preserve">ljörådet den </w:t>
            </w:r>
            <w:r>
              <w:rPr>
                <w:rFonts w:eastAsia="Calibri"/>
                <w:bCs/>
                <w:color w:val="000000"/>
                <w:sz w:val="22"/>
                <w:szCs w:val="22"/>
                <w:lang w:eastAsia="en-US"/>
              </w:rPr>
              <w:t>20 decem</w:t>
            </w:r>
            <w:r w:rsidRPr="005B4C13">
              <w:rPr>
                <w:rFonts w:eastAsia="Calibri"/>
                <w:bCs/>
                <w:color w:val="000000"/>
                <w:sz w:val="22"/>
                <w:szCs w:val="22"/>
                <w:lang w:eastAsia="en-US"/>
              </w:rPr>
              <w:t>ber 20</w:t>
            </w:r>
            <w:r>
              <w:rPr>
                <w:rFonts w:eastAsia="Calibri"/>
                <w:bCs/>
                <w:color w:val="000000"/>
                <w:sz w:val="22"/>
                <w:szCs w:val="22"/>
                <w:lang w:eastAsia="en-US"/>
              </w:rPr>
              <w:t>22</w:t>
            </w:r>
            <w:r w:rsidRPr="005B4C13">
              <w:rPr>
                <w:rFonts w:eastAsia="Calibri"/>
                <w:bCs/>
                <w:color w:val="000000"/>
                <w:sz w:val="22"/>
                <w:szCs w:val="22"/>
                <w:lang w:eastAsia="en-US"/>
              </w:rPr>
              <w:t xml:space="preserve">. </w:t>
            </w:r>
          </w:p>
          <w:p w14:paraId="6EE572A1" w14:textId="77777777" w:rsidR="00F3734F" w:rsidRDefault="00F3734F" w:rsidP="00F3734F">
            <w:pPr>
              <w:rPr>
                <w:b/>
                <w:iCs/>
                <w:snapToGrid w:val="0"/>
                <w:sz w:val="22"/>
                <w:szCs w:val="22"/>
              </w:rPr>
            </w:pPr>
          </w:p>
          <w:p w14:paraId="736B7961" w14:textId="77777777" w:rsidR="00F3734F" w:rsidRPr="003D567D" w:rsidRDefault="00F3734F" w:rsidP="00F3734F">
            <w:pPr>
              <w:rPr>
                <w:snapToGrid w:val="0"/>
                <w:sz w:val="22"/>
                <w:szCs w:val="22"/>
              </w:rPr>
            </w:pPr>
            <w:r w:rsidRPr="00673125">
              <w:rPr>
                <w:snapToGrid w:val="0"/>
                <w:sz w:val="22"/>
                <w:szCs w:val="22"/>
              </w:rPr>
              <w:t>Denna paragraf förklarades omedelbart justerad</w:t>
            </w:r>
            <w:r>
              <w:rPr>
                <w:snapToGrid w:val="0"/>
                <w:sz w:val="22"/>
                <w:szCs w:val="22"/>
              </w:rPr>
              <w:t>.</w:t>
            </w:r>
          </w:p>
          <w:p w14:paraId="0EC06271" w14:textId="77575A1F" w:rsidR="00545E92" w:rsidRPr="00AC3850" w:rsidRDefault="00545E92" w:rsidP="00F3734F">
            <w:pPr>
              <w:tabs>
                <w:tab w:val="left" w:pos="1701"/>
              </w:tabs>
              <w:rPr>
                <w:b/>
                <w:snapToGrid w:val="0"/>
                <w:sz w:val="22"/>
                <w:szCs w:val="22"/>
              </w:rPr>
            </w:pPr>
          </w:p>
        </w:tc>
      </w:tr>
      <w:tr w:rsidR="00ED2B25" w:rsidRPr="00AC3850" w14:paraId="316A1926" w14:textId="77777777" w:rsidTr="00C5706E">
        <w:tc>
          <w:tcPr>
            <w:tcW w:w="567" w:type="dxa"/>
          </w:tcPr>
          <w:p w14:paraId="6370C60D" w14:textId="272E5407" w:rsidR="00ED2B25" w:rsidRPr="00AC3850" w:rsidRDefault="00E711AA" w:rsidP="00C5706E">
            <w:pPr>
              <w:tabs>
                <w:tab w:val="left" w:pos="1701"/>
              </w:tabs>
              <w:rPr>
                <w:b/>
                <w:snapToGrid w:val="0"/>
                <w:sz w:val="22"/>
                <w:szCs w:val="22"/>
              </w:rPr>
            </w:pPr>
            <w:r w:rsidRPr="00AC3850">
              <w:rPr>
                <w:b/>
                <w:snapToGrid w:val="0"/>
                <w:sz w:val="22"/>
                <w:szCs w:val="22"/>
              </w:rPr>
              <w:t xml:space="preserve">§ </w:t>
            </w:r>
            <w:r w:rsidR="00F3734F">
              <w:rPr>
                <w:b/>
                <w:snapToGrid w:val="0"/>
                <w:sz w:val="22"/>
                <w:szCs w:val="22"/>
              </w:rPr>
              <w:t>4</w:t>
            </w:r>
          </w:p>
        </w:tc>
        <w:tc>
          <w:tcPr>
            <w:tcW w:w="6946" w:type="dxa"/>
            <w:gridSpan w:val="2"/>
          </w:tcPr>
          <w:p w14:paraId="26AB461A" w14:textId="61BBA4F6" w:rsidR="00E711AA" w:rsidRPr="00AC3850" w:rsidRDefault="00E711AA" w:rsidP="00E711AA">
            <w:pPr>
              <w:tabs>
                <w:tab w:val="left" w:pos="1701"/>
              </w:tabs>
              <w:rPr>
                <w:b/>
                <w:snapToGrid w:val="0"/>
                <w:sz w:val="22"/>
                <w:szCs w:val="22"/>
              </w:rPr>
            </w:pPr>
            <w:r w:rsidRPr="00AC3850">
              <w:rPr>
                <w:b/>
                <w:snapToGrid w:val="0"/>
                <w:sz w:val="22"/>
                <w:szCs w:val="22"/>
              </w:rPr>
              <w:t>Justering av protokoll</w:t>
            </w:r>
            <w:r w:rsidR="00D775F0" w:rsidRPr="00AC3850">
              <w:rPr>
                <w:b/>
                <w:snapToGrid w:val="0"/>
                <w:sz w:val="22"/>
                <w:szCs w:val="22"/>
              </w:rPr>
              <w:br/>
            </w:r>
            <w:r w:rsidR="00D775F0" w:rsidRPr="00AC3850">
              <w:rPr>
                <w:b/>
                <w:snapToGrid w:val="0"/>
                <w:sz w:val="22"/>
                <w:szCs w:val="22"/>
              </w:rPr>
              <w:br/>
            </w:r>
            <w:r w:rsidR="00D775F0" w:rsidRPr="00AC3850">
              <w:rPr>
                <w:bCs/>
                <w:snapToGrid w:val="0"/>
                <w:sz w:val="22"/>
                <w:szCs w:val="22"/>
              </w:rPr>
              <w:t>Utskottet justerade protokoll 2022/23:16.</w:t>
            </w:r>
            <w:r w:rsidR="00D775F0" w:rsidRPr="00AC3850">
              <w:rPr>
                <w:b/>
                <w:snapToGrid w:val="0"/>
                <w:sz w:val="22"/>
                <w:szCs w:val="22"/>
              </w:rPr>
              <w:t xml:space="preserve"> </w:t>
            </w:r>
          </w:p>
          <w:p w14:paraId="786AB9E2" w14:textId="77777777" w:rsidR="00ED2B25" w:rsidRPr="00AC3850" w:rsidRDefault="00ED2B25" w:rsidP="005D2E63">
            <w:pPr>
              <w:tabs>
                <w:tab w:val="left" w:pos="1701"/>
              </w:tabs>
              <w:rPr>
                <w:b/>
                <w:snapToGrid w:val="0"/>
                <w:sz w:val="22"/>
                <w:szCs w:val="22"/>
              </w:rPr>
            </w:pPr>
          </w:p>
        </w:tc>
      </w:tr>
      <w:tr w:rsidR="00545E92" w:rsidRPr="00AC3850" w14:paraId="3F19FEA7" w14:textId="77777777" w:rsidTr="00C5706E">
        <w:tc>
          <w:tcPr>
            <w:tcW w:w="567" w:type="dxa"/>
          </w:tcPr>
          <w:p w14:paraId="00B303DE" w14:textId="21685205" w:rsidR="00545E92" w:rsidRPr="00AC3850" w:rsidRDefault="00545E92" w:rsidP="00C5706E">
            <w:pPr>
              <w:tabs>
                <w:tab w:val="left" w:pos="1701"/>
              </w:tabs>
              <w:rPr>
                <w:b/>
                <w:snapToGrid w:val="0"/>
                <w:sz w:val="22"/>
                <w:szCs w:val="22"/>
              </w:rPr>
            </w:pPr>
            <w:r w:rsidRPr="00AC3850">
              <w:rPr>
                <w:b/>
                <w:snapToGrid w:val="0"/>
                <w:sz w:val="22"/>
                <w:szCs w:val="22"/>
              </w:rPr>
              <w:t xml:space="preserve">§ </w:t>
            </w:r>
            <w:r w:rsidR="00F3734F">
              <w:rPr>
                <w:b/>
                <w:snapToGrid w:val="0"/>
                <w:sz w:val="22"/>
                <w:szCs w:val="22"/>
              </w:rPr>
              <w:t>5</w:t>
            </w:r>
          </w:p>
        </w:tc>
        <w:tc>
          <w:tcPr>
            <w:tcW w:w="6946" w:type="dxa"/>
            <w:gridSpan w:val="2"/>
          </w:tcPr>
          <w:p w14:paraId="2D1599CE" w14:textId="77777777" w:rsidR="00605599" w:rsidRDefault="00545E92" w:rsidP="00E711AA">
            <w:pPr>
              <w:tabs>
                <w:tab w:val="left" w:pos="1701"/>
              </w:tabs>
              <w:rPr>
                <w:b/>
                <w:sz w:val="22"/>
                <w:szCs w:val="22"/>
              </w:rPr>
            </w:pPr>
            <w:r w:rsidRPr="00AC3850">
              <w:rPr>
                <w:b/>
                <w:sz w:val="22"/>
                <w:szCs w:val="22"/>
              </w:rPr>
              <w:t>Inkomna EU-dokument</w:t>
            </w:r>
            <w:r w:rsidR="00D775F0" w:rsidRPr="00AC3850">
              <w:rPr>
                <w:b/>
                <w:sz w:val="22"/>
                <w:szCs w:val="22"/>
              </w:rPr>
              <w:br/>
            </w:r>
          </w:p>
          <w:p w14:paraId="30BA4CC7" w14:textId="68CF1578" w:rsidR="00605599" w:rsidRPr="00C80BA0" w:rsidRDefault="00605599" w:rsidP="00605599">
            <w:pPr>
              <w:rPr>
                <w:rFonts w:eastAsia="Calibri"/>
                <w:bCs/>
                <w:color w:val="000000"/>
                <w:sz w:val="22"/>
                <w:szCs w:val="22"/>
                <w:lang w:eastAsia="en-US"/>
              </w:rPr>
            </w:pPr>
            <w:r w:rsidRPr="00C80BA0">
              <w:rPr>
                <w:rFonts w:eastAsia="Calibri"/>
                <w:bCs/>
                <w:color w:val="000000"/>
                <w:sz w:val="22"/>
                <w:szCs w:val="22"/>
                <w:lang w:eastAsia="en-US"/>
              </w:rPr>
              <w:t xml:space="preserve">Inkomna EU-dokument m.m. enligt bilaga </w:t>
            </w:r>
            <w:r w:rsidR="00D61553">
              <w:rPr>
                <w:rFonts w:eastAsia="Calibri"/>
                <w:bCs/>
                <w:color w:val="000000"/>
                <w:sz w:val="22"/>
                <w:szCs w:val="22"/>
                <w:lang w:eastAsia="en-US"/>
              </w:rPr>
              <w:t>4</w:t>
            </w:r>
            <w:r w:rsidRPr="00C80BA0">
              <w:rPr>
                <w:rFonts w:eastAsia="Calibri"/>
                <w:bCs/>
                <w:color w:val="000000"/>
                <w:sz w:val="22"/>
                <w:szCs w:val="22"/>
                <w:lang w:eastAsia="en-US"/>
              </w:rPr>
              <w:t xml:space="preserve"> anmäldes. </w:t>
            </w:r>
          </w:p>
          <w:p w14:paraId="76203912" w14:textId="77777777" w:rsidR="00605599" w:rsidRPr="00C80BA0" w:rsidRDefault="00605599" w:rsidP="00605599">
            <w:pPr>
              <w:rPr>
                <w:snapToGrid w:val="0"/>
                <w:sz w:val="22"/>
                <w:szCs w:val="22"/>
              </w:rPr>
            </w:pPr>
          </w:p>
          <w:p w14:paraId="4D3A4C04" w14:textId="77777777" w:rsidR="00605599" w:rsidRPr="008F4E40" w:rsidRDefault="00605599" w:rsidP="00605599">
            <w:pPr>
              <w:rPr>
                <w:snapToGrid w:val="0"/>
                <w:sz w:val="22"/>
                <w:szCs w:val="22"/>
              </w:rPr>
            </w:pPr>
            <w:r w:rsidRPr="00B63316">
              <w:rPr>
                <w:snapToGrid w:val="0"/>
                <w:sz w:val="22"/>
                <w:szCs w:val="22"/>
              </w:rPr>
              <w:t xml:space="preserve">Utskottet beslutade enligt 7 kap. 12 § RO att begära överläggning med regeringen, </w:t>
            </w:r>
            <w:r w:rsidRPr="0092077E">
              <w:rPr>
                <w:snapToGrid w:val="0"/>
                <w:sz w:val="22"/>
                <w:szCs w:val="22"/>
              </w:rPr>
              <w:t>Miljödepartementet</w:t>
            </w:r>
            <w:r w:rsidRPr="00B63316">
              <w:rPr>
                <w:snapToGrid w:val="0"/>
                <w:sz w:val="22"/>
                <w:szCs w:val="22"/>
              </w:rPr>
              <w:t>, om</w:t>
            </w:r>
          </w:p>
          <w:p w14:paraId="5083259F" w14:textId="77777777" w:rsidR="00605599" w:rsidRDefault="00605599" w:rsidP="00605599">
            <w:pPr>
              <w:rPr>
                <w:snapToGrid w:val="0"/>
                <w:sz w:val="22"/>
                <w:szCs w:val="22"/>
              </w:rPr>
            </w:pPr>
          </w:p>
          <w:p w14:paraId="52471B61" w14:textId="77777777" w:rsidR="00605599" w:rsidRPr="007869CB" w:rsidRDefault="00605599" w:rsidP="00605599">
            <w:pPr>
              <w:rPr>
                <w:rFonts w:eastAsia="Calibri"/>
                <w:bCs/>
                <w:color w:val="000000"/>
                <w:sz w:val="22"/>
                <w:szCs w:val="22"/>
                <w:lang w:val="en-GB" w:eastAsia="en-US"/>
              </w:rPr>
            </w:pPr>
            <w:r w:rsidRPr="007A415C">
              <w:rPr>
                <w:sz w:val="22"/>
                <w:szCs w:val="22"/>
                <w:lang w:val="en-GB"/>
              </w:rPr>
              <w:t xml:space="preserve">COM(2022) 672 – </w:t>
            </w:r>
            <w:r w:rsidRPr="005C6740">
              <w:rPr>
                <w:sz w:val="22"/>
                <w:szCs w:val="22"/>
                <w:lang w:val="en-GB"/>
              </w:rPr>
              <w:t xml:space="preserve">Proposal for a </w:t>
            </w:r>
            <w:r>
              <w:rPr>
                <w:sz w:val="22"/>
                <w:szCs w:val="22"/>
                <w:lang w:val="en-GB"/>
              </w:rPr>
              <w:t xml:space="preserve">regulation of the European parliament and </w:t>
            </w:r>
            <w:r>
              <w:rPr>
                <w:sz w:val="22"/>
                <w:szCs w:val="22"/>
                <w:lang w:val="en-GB"/>
              </w:rPr>
              <w:lastRenderedPageBreak/>
              <w:t>of the Council</w:t>
            </w:r>
            <w:r w:rsidRPr="005C6740">
              <w:rPr>
                <w:sz w:val="22"/>
                <w:szCs w:val="22"/>
                <w:lang w:val="en-GB"/>
              </w:rPr>
              <w:t xml:space="preserve"> establishing </w:t>
            </w:r>
            <w:r w:rsidRPr="007A415C">
              <w:rPr>
                <w:sz w:val="22"/>
                <w:szCs w:val="22"/>
                <w:lang w:val="en-GB"/>
              </w:rPr>
              <w:t>a Union certification framework for carbon removals</w:t>
            </w:r>
            <w:r w:rsidRPr="007A415C">
              <w:rPr>
                <w:sz w:val="22"/>
                <w:szCs w:val="22"/>
                <w:lang w:val="en-GB"/>
              </w:rPr>
              <w:br/>
            </w:r>
            <w:r w:rsidRPr="007A415C">
              <w:rPr>
                <w:sz w:val="22"/>
                <w:szCs w:val="22"/>
                <w:lang w:val="en-GB"/>
              </w:rPr>
              <w:br/>
            </w:r>
            <w:r w:rsidRPr="007869CB">
              <w:rPr>
                <w:rFonts w:eastAsia="Calibri"/>
                <w:bCs/>
                <w:color w:val="000000"/>
                <w:sz w:val="22"/>
                <w:szCs w:val="22"/>
                <w:lang w:val="en-GB" w:eastAsia="en-US"/>
              </w:rPr>
              <w:t xml:space="preserve">COM(2022) 677 – </w:t>
            </w:r>
            <w:r w:rsidRPr="005C6740">
              <w:rPr>
                <w:sz w:val="22"/>
                <w:szCs w:val="22"/>
                <w:lang w:val="en-GB"/>
              </w:rPr>
              <w:t xml:space="preserve">Proposal for a </w:t>
            </w:r>
            <w:r>
              <w:rPr>
                <w:sz w:val="22"/>
                <w:szCs w:val="22"/>
                <w:lang w:val="en-GB"/>
              </w:rPr>
              <w:t>regulation of the European parliament and of the Council</w:t>
            </w:r>
            <w:r w:rsidRPr="005C6740">
              <w:rPr>
                <w:sz w:val="22"/>
                <w:szCs w:val="22"/>
                <w:lang w:val="en-GB"/>
              </w:rPr>
              <w:t xml:space="preserve">  on </w:t>
            </w:r>
            <w:r w:rsidRPr="007869CB">
              <w:rPr>
                <w:sz w:val="22"/>
                <w:szCs w:val="22"/>
                <w:lang w:val="en-GB"/>
              </w:rPr>
              <w:t>packaging and packaging waste,</w:t>
            </w:r>
            <w:r w:rsidRPr="005C6740">
              <w:rPr>
                <w:sz w:val="22"/>
                <w:szCs w:val="22"/>
                <w:lang w:val="en-GB"/>
              </w:rPr>
              <w:t xml:space="preserve"> amending Regulation (EU) 2019/1020 and Directive (EU) 2019/904, and repealing Directive 94/62/EC</w:t>
            </w:r>
          </w:p>
          <w:p w14:paraId="0CF2312E" w14:textId="77777777" w:rsidR="00605599" w:rsidRPr="007869CB" w:rsidRDefault="00605599" w:rsidP="00605599">
            <w:pPr>
              <w:rPr>
                <w:rFonts w:eastAsia="Calibri"/>
                <w:bCs/>
                <w:color w:val="000000"/>
                <w:sz w:val="22"/>
                <w:szCs w:val="22"/>
                <w:lang w:val="en-GB" w:eastAsia="en-US"/>
              </w:rPr>
            </w:pPr>
          </w:p>
          <w:p w14:paraId="42557C7D" w14:textId="77777777" w:rsidR="00605599" w:rsidRPr="00054946" w:rsidRDefault="00605599" w:rsidP="00605599">
            <w:pPr>
              <w:rPr>
                <w:snapToGrid w:val="0"/>
                <w:sz w:val="22"/>
                <w:szCs w:val="22"/>
              </w:rPr>
            </w:pPr>
            <w:r w:rsidRPr="00054946">
              <w:rPr>
                <w:rFonts w:eastAsia="Calibri"/>
                <w:bCs/>
                <w:color w:val="000000"/>
                <w:sz w:val="22"/>
                <w:szCs w:val="22"/>
                <w:lang w:eastAsia="en-US"/>
              </w:rPr>
              <w:t>Övriga EU-dokument lades till handlingarna</w:t>
            </w:r>
            <w:r w:rsidRPr="00054946">
              <w:rPr>
                <w:snapToGrid w:val="0"/>
                <w:sz w:val="22"/>
                <w:szCs w:val="22"/>
              </w:rPr>
              <w:t>.</w:t>
            </w:r>
          </w:p>
          <w:p w14:paraId="6495ABE3" w14:textId="77777777" w:rsidR="00605599" w:rsidRPr="009B6AF9" w:rsidRDefault="00605599" w:rsidP="00605599">
            <w:pPr>
              <w:widowControl/>
              <w:autoSpaceDE w:val="0"/>
              <w:autoSpaceDN w:val="0"/>
              <w:adjustRightInd w:val="0"/>
              <w:rPr>
                <w:snapToGrid w:val="0"/>
                <w:sz w:val="22"/>
                <w:szCs w:val="22"/>
              </w:rPr>
            </w:pPr>
          </w:p>
          <w:p w14:paraId="5CF0138E" w14:textId="77777777" w:rsidR="00605599" w:rsidRDefault="00605599" w:rsidP="00605599">
            <w:pPr>
              <w:tabs>
                <w:tab w:val="left" w:pos="1701"/>
              </w:tabs>
              <w:rPr>
                <w:snapToGrid w:val="0"/>
                <w:sz w:val="22"/>
                <w:szCs w:val="22"/>
              </w:rPr>
            </w:pPr>
            <w:r w:rsidRPr="009B6AF9">
              <w:rPr>
                <w:snapToGrid w:val="0"/>
                <w:sz w:val="22"/>
                <w:szCs w:val="22"/>
              </w:rPr>
              <w:t>Denna paragraf förklarades omedelbart justerad.</w:t>
            </w:r>
          </w:p>
          <w:p w14:paraId="6EA806CE" w14:textId="46A24FA6" w:rsidR="00545E92" w:rsidRPr="00AC3850" w:rsidRDefault="00545E92" w:rsidP="00E711AA">
            <w:pPr>
              <w:tabs>
                <w:tab w:val="left" w:pos="1701"/>
              </w:tabs>
              <w:rPr>
                <w:b/>
                <w:snapToGrid w:val="0"/>
                <w:sz w:val="22"/>
                <w:szCs w:val="22"/>
              </w:rPr>
            </w:pPr>
          </w:p>
        </w:tc>
      </w:tr>
      <w:tr w:rsidR="00545E92" w:rsidRPr="00AC3850" w14:paraId="0A516205" w14:textId="77777777" w:rsidTr="00C5706E">
        <w:tc>
          <w:tcPr>
            <w:tcW w:w="567" w:type="dxa"/>
          </w:tcPr>
          <w:p w14:paraId="448892CE" w14:textId="5CD82866" w:rsidR="00545E92" w:rsidRPr="00AC3850" w:rsidRDefault="00545E92" w:rsidP="00C5706E">
            <w:pPr>
              <w:tabs>
                <w:tab w:val="left" w:pos="1701"/>
              </w:tabs>
              <w:rPr>
                <w:b/>
                <w:snapToGrid w:val="0"/>
                <w:sz w:val="22"/>
                <w:szCs w:val="22"/>
              </w:rPr>
            </w:pPr>
            <w:r w:rsidRPr="00AC3850">
              <w:rPr>
                <w:b/>
                <w:snapToGrid w:val="0"/>
                <w:sz w:val="22"/>
                <w:szCs w:val="22"/>
              </w:rPr>
              <w:lastRenderedPageBreak/>
              <w:t xml:space="preserve">§ </w:t>
            </w:r>
            <w:r w:rsidR="00F3734F">
              <w:rPr>
                <w:b/>
                <w:snapToGrid w:val="0"/>
                <w:sz w:val="22"/>
                <w:szCs w:val="22"/>
              </w:rPr>
              <w:t>6</w:t>
            </w:r>
          </w:p>
        </w:tc>
        <w:tc>
          <w:tcPr>
            <w:tcW w:w="6946" w:type="dxa"/>
            <w:gridSpan w:val="2"/>
          </w:tcPr>
          <w:p w14:paraId="35718428" w14:textId="643F1151" w:rsidR="00605599" w:rsidRDefault="00545E92" w:rsidP="00E711AA">
            <w:pPr>
              <w:tabs>
                <w:tab w:val="left" w:pos="1701"/>
              </w:tabs>
              <w:rPr>
                <w:b/>
                <w:sz w:val="22"/>
                <w:szCs w:val="22"/>
              </w:rPr>
            </w:pPr>
            <w:bookmarkStart w:id="0" w:name="_Hlk122010433"/>
            <w:r w:rsidRPr="00AC3850">
              <w:rPr>
                <w:b/>
                <w:sz w:val="22"/>
                <w:szCs w:val="22"/>
              </w:rPr>
              <w:t>Miljö- och jordbruksutskottets utrikesresor under valperioden 2022 – 2026</w:t>
            </w:r>
          </w:p>
          <w:bookmarkEnd w:id="0"/>
          <w:p w14:paraId="62882F6F" w14:textId="1D909B74" w:rsidR="00605599" w:rsidRDefault="00605599" w:rsidP="00E711AA">
            <w:pPr>
              <w:tabs>
                <w:tab w:val="left" w:pos="1701"/>
              </w:tabs>
              <w:rPr>
                <w:b/>
                <w:sz w:val="22"/>
                <w:szCs w:val="22"/>
              </w:rPr>
            </w:pPr>
          </w:p>
          <w:p w14:paraId="4FA87AB8" w14:textId="2F497D23" w:rsidR="00605599" w:rsidRPr="00605599" w:rsidRDefault="00605599" w:rsidP="00E711AA">
            <w:pPr>
              <w:tabs>
                <w:tab w:val="left" w:pos="1701"/>
              </w:tabs>
              <w:rPr>
                <w:bCs/>
                <w:sz w:val="22"/>
                <w:szCs w:val="22"/>
              </w:rPr>
            </w:pPr>
            <w:r>
              <w:rPr>
                <w:bCs/>
                <w:sz w:val="22"/>
                <w:szCs w:val="22"/>
              </w:rPr>
              <w:t>En promemoria om utskottets utrikesresor under mandatperioden hade sänts ut.</w:t>
            </w:r>
          </w:p>
          <w:p w14:paraId="7CB7F445" w14:textId="77777777" w:rsidR="00605599" w:rsidRDefault="00605599" w:rsidP="00E711AA">
            <w:pPr>
              <w:tabs>
                <w:tab w:val="left" w:pos="1701"/>
              </w:tabs>
              <w:rPr>
                <w:b/>
                <w:sz w:val="22"/>
                <w:szCs w:val="22"/>
              </w:rPr>
            </w:pPr>
          </w:p>
          <w:p w14:paraId="2298452B" w14:textId="341DEDC7" w:rsidR="00545E92" w:rsidRDefault="00605599" w:rsidP="00E711AA">
            <w:pPr>
              <w:tabs>
                <w:tab w:val="left" w:pos="1701"/>
              </w:tabs>
              <w:rPr>
                <w:bCs/>
                <w:sz w:val="22"/>
                <w:szCs w:val="22"/>
              </w:rPr>
            </w:pPr>
            <w:r w:rsidRPr="00605599">
              <w:rPr>
                <w:bCs/>
                <w:sz w:val="22"/>
                <w:szCs w:val="22"/>
              </w:rPr>
              <w:t>Utskottet beslutade att bilda en resegrupp bestående av presidiet och två ledamöter för vidare beredning av utskottets</w:t>
            </w:r>
            <w:r>
              <w:rPr>
                <w:bCs/>
                <w:sz w:val="22"/>
                <w:szCs w:val="22"/>
              </w:rPr>
              <w:t xml:space="preserve"> reseplanering. </w:t>
            </w:r>
          </w:p>
          <w:p w14:paraId="7B37BC36" w14:textId="243C6A6A" w:rsidR="00605599" w:rsidRDefault="00605599" w:rsidP="00E711AA">
            <w:pPr>
              <w:tabs>
                <w:tab w:val="left" w:pos="1701"/>
              </w:tabs>
              <w:rPr>
                <w:bCs/>
                <w:sz w:val="22"/>
                <w:szCs w:val="22"/>
              </w:rPr>
            </w:pPr>
          </w:p>
          <w:p w14:paraId="3CCB35A8" w14:textId="01CD394F" w:rsidR="00605599" w:rsidRPr="00605599" w:rsidRDefault="00605599" w:rsidP="00E711AA">
            <w:pPr>
              <w:tabs>
                <w:tab w:val="left" w:pos="1701"/>
              </w:tabs>
              <w:rPr>
                <w:bCs/>
                <w:sz w:val="22"/>
                <w:szCs w:val="22"/>
              </w:rPr>
            </w:pPr>
            <w:r>
              <w:rPr>
                <w:bCs/>
                <w:sz w:val="22"/>
                <w:szCs w:val="22"/>
              </w:rPr>
              <w:t>Frågan bordlades</w:t>
            </w:r>
            <w:r w:rsidR="000402B4">
              <w:rPr>
                <w:bCs/>
                <w:sz w:val="22"/>
                <w:szCs w:val="22"/>
              </w:rPr>
              <w:t>.</w:t>
            </w:r>
          </w:p>
          <w:p w14:paraId="4674CFB6" w14:textId="20C0E184" w:rsidR="00545E92" w:rsidRPr="00AC3850" w:rsidRDefault="00545E92" w:rsidP="00E711AA">
            <w:pPr>
              <w:tabs>
                <w:tab w:val="left" w:pos="1701"/>
              </w:tabs>
              <w:rPr>
                <w:b/>
                <w:sz w:val="22"/>
                <w:szCs w:val="22"/>
              </w:rPr>
            </w:pPr>
          </w:p>
        </w:tc>
      </w:tr>
      <w:tr w:rsidR="00545E92" w:rsidRPr="00545E92" w14:paraId="573F955B" w14:textId="77777777" w:rsidTr="00C5706E">
        <w:tc>
          <w:tcPr>
            <w:tcW w:w="567" w:type="dxa"/>
          </w:tcPr>
          <w:p w14:paraId="0A6568F0" w14:textId="75429E65" w:rsidR="00545E92" w:rsidRPr="00545E92" w:rsidRDefault="00545E92" w:rsidP="00C5706E">
            <w:pPr>
              <w:tabs>
                <w:tab w:val="left" w:pos="1701"/>
              </w:tabs>
              <w:rPr>
                <w:b/>
                <w:snapToGrid w:val="0"/>
                <w:sz w:val="22"/>
                <w:szCs w:val="22"/>
              </w:rPr>
            </w:pPr>
            <w:r w:rsidRPr="00545E92">
              <w:rPr>
                <w:b/>
                <w:snapToGrid w:val="0"/>
                <w:sz w:val="22"/>
                <w:szCs w:val="22"/>
              </w:rPr>
              <w:t xml:space="preserve">§ </w:t>
            </w:r>
            <w:r w:rsidR="00F3734F">
              <w:rPr>
                <w:b/>
                <w:snapToGrid w:val="0"/>
                <w:sz w:val="22"/>
                <w:szCs w:val="22"/>
              </w:rPr>
              <w:t>7</w:t>
            </w:r>
          </w:p>
        </w:tc>
        <w:tc>
          <w:tcPr>
            <w:tcW w:w="6946" w:type="dxa"/>
            <w:gridSpan w:val="2"/>
          </w:tcPr>
          <w:p w14:paraId="6BD40D18" w14:textId="77777777" w:rsidR="00AC3850" w:rsidRDefault="00545E92" w:rsidP="00E711AA">
            <w:pPr>
              <w:tabs>
                <w:tab w:val="left" w:pos="1701"/>
              </w:tabs>
              <w:rPr>
                <w:b/>
                <w:sz w:val="22"/>
                <w:szCs w:val="22"/>
              </w:rPr>
            </w:pPr>
            <w:r w:rsidRPr="00545E92">
              <w:rPr>
                <w:b/>
                <w:sz w:val="22"/>
                <w:szCs w:val="22"/>
              </w:rPr>
              <w:t>Val av två ledamöter att ingå i riksdagens nätverk för Organisationen för ekonomiskt samarbete och utveckling (OECD)</w:t>
            </w:r>
          </w:p>
          <w:p w14:paraId="4E8E771F" w14:textId="77777777" w:rsidR="00AC3850" w:rsidRDefault="00AC3850" w:rsidP="00E711AA">
            <w:pPr>
              <w:tabs>
                <w:tab w:val="left" w:pos="1701"/>
              </w:tabs>
              <w:rPr>
                <w:b/>
                <w:sz w:val="22"/>
                <w:szCs w:val="22"/>
              </w:rPr>
            </w:pPr>
          </w:p>
          <w:p w14:paraId="6F77853E" w14:textId="29EEBD5F" w:rsidR="00545E92" w:rsidRPr="00AC3850" w:rsidRDefault="00AC3850" w:rsidP="00AC3850">
            <w:pPr>
              <w:rPr>
                <w:rFonts w:eastAsiaTheme="minorHAnsi"/>
                <w:bCs/>
                <w:color w:val="000000"/>
                <w:sz w:val="22"/>
                <w:szCs w:val="22"/>
                <w:lang w:eastAsia="en-US"/>
              </w:rPr>
            </w:pPr>
            <w:bookmarkStart w:id="1" w:name="_Hlk122006964"/>
            <w:r>
              <w:rPr>
                <w:rFonts w:eastAsiaTheme="minorHAnsi"/>
                <w:bCs/>
                <w:color w:val="000000"/>
                <w:sz w:val="22"/>
                <w:szCs w:val="22"/>
                <w:lang w:eastAsia="en-US"/>
              </w:rPr>
              <w:t>Utskottet bes</w:t>
            </w:r>
            <w:r w:rsidRPr="001547DC">
              <w:rPr>
                <w:rFonts w:eastAsiaTheme="minorHAnsi"/>
                <w:bCs/>
                <w:color w:val="000000"/>
                <w:sz w:val="22"/>
                <w:szCs w:val="22"/>
                <w:lang w:eastAsia="en-US"/>
              </w:rPr>
              <w:t>lut</w:t>
            </w:r>
            <w:r>
              <w:rPr>
                <w:rFonts w:eastAsiaTheme="minorHAnsi"/>
                <w:bCs/>
                <w:color w:val="000000"/>
                <w:sz w:val="22"/>
                <w:szCs w:val="22"/>
                <w:lang w:eastAsia="en-US"/>
              </w:rPr>
              <w:t xml:space="preserve">ade </w:t>
            </w:r>
            <w:r w:rsidRPr="001547DC">
              <w:rPr>
                <w:rFonts w:eastAsiaTheme="minorHAnsi"/>
                <w:bCs/>
                <w:color w:val="000000"/>
                <w:sz w:val="22"/>
                <w:szCs w:val="22"/>
                <w:lang w:eastAsia="en-US"/>
              </w:rPr>
              <w:t xml:space="preserve">att </w:t>
            </w:r>
            <w:r>
              <w:rPr>
                <w:rFonts w:eastAsiaTheme="minorHAnsi"/>
                <w:bCs/>
                <w:color w:val="000000"/>
                <w:sz w:val="22"/>
                <w:szCs w:val="22"/>
                <w:lang w:eastAsia="en-US"/>
              </w:rPr>
              <w:t>välja</w:t>
            </w:r>
            <w:r w:rsidR="00F3734F">
              <w:rPr>
                <w:rFonts w:eastAsiaTheme="minorHAnsi"/>
                <w:bCs/>
                <w:color w:val="000000"/>
                <w:sz w:val="22"/>
                <w:szCs w:val="22"/>
                <w:lang w:eastAsia="en-US"/>
              </w:rPr>
              <w:t xml:space="preserve"> Emma Nohrén</w:t>
            </w:r>
            <w:r>
              <w:rPr>
                <w:rFonts w:eastAsiaTheme="minorHAnsi"/>
                <w:bCs/>
                <w:color w:val="000000"/>
                <w:sz w:val="22"/>
                <w:szCs w:val="22"/>
                <w:lang w:eastAsia="en-US"/>
              </w:rPr>
              <w:t xml:space="preserve"> (</w:t>
            </w:r>
            <w:r w:rsidR="00F3734F">
              <w:rPr>
                <w:rFonts w:eastAsiaTheme="minorHAnsi"/>
                <w:bCs/>
                <w:color w:val="000000"/>
                <w:sz w:val="22"/>
                <w:szCs w:val="22"/>
                <w:lang w:eastAsia="en-US"/>
              </w:rPr>
              <w:t>MP</w:t>
            </w:r>
            <w:r>
              <w:rPr>
                <w:rFonts w:eastAsiaTheme="minorHAnsi"/>
                <w:bCs/>
                <w:color w:val="000000"/>
                <w:sz w:val="22"/>
                <w:szCs w:val="22"/>
                <w:lang w:eastAsia="en-US"/>
              </w:rPr>
              <w:t>) och</w:t>
            </w:r>
            <w:r w:rsidR="00F3734F">
              <w:rPr>
                <w:rFonts w:eastAsiaTheme="minorHAnsi"/>
                <w:bCs/>
                <w:color w:val="000000"/>
                <w:sz w:val="22"/>
                <w:szCs w:val="22"/>
                <w:lang w:eastAsia="en-US"/>
              </w:rPr>
              <w:t xml:space="preserve"> Helena Storckenfeldt</w:t>
            </w:r>
            <w:r>
              <w:rPr>
                <w:rFonts w:eastAsiaTheme="minorHAnsi"/>
                <w:bCs/>
                <w:color w:val="000000"/>
                <w:sz w:val="22"/>
                <w:szCs w:val="22"/>
                <w:lang w:eastAsia="en-US"/>
              </w:rPr>
              <w:t xml:space="preserve"> (</w:t>
            </w:r>
            <w:r w:rsidR="00F3734F">
              <w:rPr>
                <w:rFonts w:eastAsiaTheme="minorHAnsi"/>
                <w:bCs/>
                <w:color w:val="000000"/>
                <w:sz w:val="22"/>
                <w:szCs w:val="22"/>
                <w:lang w:eastAsia="en-US"/>
              </w:rPr>
              <w:t>M</w:t>
            </w:r>
            <w:r>
              <w:rPr>
                <w:rFonts w:eastAsiaTheme="minorHAnsi"/>
                <w:bCs/>
                <w:color w:val="000000"/>
                <w:sz w:val="22"/>
                <w:szCs w:val="22"/>
                <w:lang w:eastAsia="en-US"/>
              </w:rPr>
              <w:t xml:space="preserve">) att </w:t>
            </w:r>
            <w:r w:rsidRPr="001547DC">
              <w:rPr>
                <w:rFonts w:eastAsiaTheme="minorHAnsi"/>
                <w:bCs/>
                <w:color w:val="000000"/>
                <w:sz w:val="22"/>
                <w:szCs w:val="22"/>
                <w:lang w:eastAsia="en-US"/>
              </w:rPr>
              <w:t>representera utskottet i riksdagens OECD-nätverk.</w:t>
            </w:r>
            <w:r w:rsidR="00545E92" w:rsidRPr="00545E92">
              <w:rPr>
                <w:b/>
                <w:sz w:val="22"/>
                <w:szCs w:val="22"/>
              </w:rPr>
              <w:br/>
            </w:r>
            <w:bookmarkEnd w:id="1"/>
          </w:p>
        </w:tc>
      </w:tr>
      <w:tr w:rsidR="00545E92" w:rsidRPr="00F3734F" w14:paraId="25BA609D" w14:textId="77777777" w:rsidTr="00C5706E">
        <w:tc>
          <w:tcPr>
            <w:tcW w:w="567" w:type="dxa"/>
          </w:tcPr>
          <w:p w14:paraId="63776C9A" w14:textId="41342449" w:rsidR="00545E92" w:rsidRPr="00605599" w:rsidRDefault="00545E92" w:rsidP="00C5706E">
            <w:pPr>
              <w:tabs>
                <w:tab w:val="left" w:pos="1701"/>
              </w:tabs>
              <w:rPr>
                <w:b/>
                <w:snapToGrid w:val="0"/>
                <w:sz w:val="22"/>
                <w:szCs w:val="22"/>
              </w:rPr>
            </w:pPr>
            <w:r w:rsidRPr="00605599">
              <w:rPr>
                <w:b/>
                <w:snapToGrid w:val="0"/>
                <w:sz w:val="22"/>
                <w:szCs w:val="22"/>
              </w:rPr>
              <w:t xml:space="preserve">§ </w:t>
            </w:r>
            <w:r w:rsidR="00F3734F" w:rsidRPr="00605599">
              <w:rPr>
                <w:b/>
                <w:snapToGrid w:val="0"/>
                <w:sz w:val="22"/>
                <w:szCs w:val="22"/>
              </w:rPr>
              <w:t>8</w:t>
            </w:r>
          </w:p>
        </w:tc>
        <w:tc>
          <w:tcPr>
            <w:tcW w:w="6946" w:type="dxa"/>
            <w:gridSpan w:val="2"/>
          </w:tcPr>
          <w:p w14:paraId="2722384F" w14:textId="4A2A3915" w:rsidR="00605599" w:rsidRPr="00035595" w:rsidRDefault="00F3734F" w:rsidP="00035595">
            <w:pPr>
              <w:rPr>
                <w:b/>
                <w:bCs/>
                <w:sz w:val="22"/>
                <w:szCs w:val="22"/>
              </w:rPr>
            </w:pPr>
            <w:bookmarkStart w:id="2" w:name="_Hlk122010390"/>
            <w:r w:rsidRPr="00605599">
              <w:rPr>
                <w:b/>
                <w:sz w:val="22"/>
                <w:szCs w:val="22"/>
              </w:rPr>
              <w:t xml:space="preserve">Inbjudan </w:t>
            </w:r>
            <w:r w:rsidR="00605599" w:rsidRPr="00605599">
              <w:rPr>
                <w:b/>
                <w:sz w:val="22"/>
                <w:szCs w:val="22"/>
              </w:rPr>
              <w:t>till Interparlamentariska unionens (IPU) 146:e församling i Manama, Bahrain</w:t>
            </w:r>
            <w:r w:rsidR="00605599" w:rsidRPr="00605599">
              <w:rPr>
                <w:b/>
                <w:sz w:val="22"/>
                <w:szCs w:val="22"/>
              </w:rPr>
              <w:br/>
            </w:r>
            <w:bookmarkEnd w:id="2"/>
            <w:r w:rsidR="00605599" w:rsidRPr="00605599">
              <w:rPr>
                <w:b/>
                <w:sz w:val="22"/>
                <w:szCs w:val="22"/>
              </w:rPr>
              <w:br/>
            </w:r>
            <w:r w:rsidR="00605599" w:rsidRPr="00605599">
              <w:rPr>
                <w:bCs/>
                <w:sz w:val="22"/>
                <w:szCs w:val="22"/>
              </w:rPr>
              <w:t xml:space="preserve">Kanslichefen anmälde en inbjudan till IPU:s 146:e församling, vilken äger rum i Manama, Bahrain, den 11 – 15 mars 2023. </w:t>
            </w:r>
            <w:r w:rsidR="00605599" w:rsidRPr="00605599">
              <w:rPr>
                <w:bCs/>
                <w:sz w:val="22"/>
                <w:szCs w:val="22"/>
              </w:rPr>
              <w:br/>
            </w:r>
          </w:p>
          <w:p w14:paraId="09E5B7E1" w14:textId="280FA3DB" w:rsidR="00545E92" w:rsidRPr="00605599" w:rsidRDefault="00605599" w:rsidP="00E711AA">
            <w:pPr>
              <w:tabs>
                <w:tab w:val="left" w:pos="1701"/>
              </w:tabs>
              <w:rPr>
                <w:b/>
                <w:sz w:val="22"/>
                <w:szCs w:val="22"/>
              </w:rPr>
            </w:pPr>
            <w:r w:rsidRPr="00605599">
              <w:rPr>
                <w:bCs/>
                <w:sz w:val="22"/>
                <w:szCs w:val="22"/>
              </w:rPr>
              <w:t>Frågan bordlades.</w:t>
            </w:r>
            <w:r w:rsidRPr="00605599">
              <w:rPr>
                <w:b/>
                <w:sz w:val="22"/>
                <w:szCs w:val="22"/>
              </w:rPr>
              <w:t xml:space="preserve"> </w:t>
            </w:r>
          </w:p>
          <w:p w14:paraId="778E35FF" w14:textId="60D942D4" w:rsidR="00545E92" w:rsidRPr="00605599" w:rsidRDefault="00545E92" w:rsidP="00E711AA">
            <w:pPr>
              <w:tabs>
                <w:tab w:val="left" w:pos="1701"/>
              </w:tabs>
              <w:rPr>
                <w:b/>
                <w:sz w:val="22"/>
                <w:szCs w:val="22"/>
              </w:rPr>
            </w:pPr>
          </w:p>
        </w:tc>
      </w:tr>
      <w:tr w:rsidR="005D2E63" w:rsidRPr="00B40F4D" w14:paraId="04022D5C" w14:textId="77777777" w:rsidTr="00201DCD">
        <w:tc>
          <w:tcPr>
            <w:tcW w:w="567" w:type="dxa"/>
          </w:tcPr>
          <w:p w14:paraId="790F3247" w14:textId="386842B5" w:rsidR="005D2E63" w:rsidRPr="00B40F4D" w:rsidRDefault="00DA2753" w:rsidP="00201DCD">
            <w:pPr>
              <w:tabs>
                <w:tab w:val="left" w:pos="1701"/>
              </w:tabs>
              <w:rPr>
                <w:b/>
                <w:snapToGrid w:val="0"/>
                <w:sz w:val="22"/>
                <w:szCs w:val="22"/>
              </w:rPr>
            </w:pPr>
            <w:r>
              <w:rPr>
                <w:b/>
                <w:snapToGrid w:val="0"/>
                <w:sz w:val="22"/>
                <w:szCs w:val="22"/>
              </w:rPr>
              <w:t xml:space="preserve">§ </w:t>
            </w:r>
            <w:r w:rsidR="00F3734F">
              <w:rPr>
                <w:b/>
                <w:snapToGrid w:val="0"/>
                <w:sz w:val="22"/>
                <w:szCs w:val="22"/>
              </w:rPr>
              <w:t>9</w:t>
            </w:r>
          </w:p>
        </w:tc>
        <w:tc>
          <w:tcPr>
            <w:tcW w:w="6946" w:type="dxa"/>
            <w:gridSpan w:val="2"/>
          </w:tcPr>
          <w:p w14:paraId="65BC65C1" w14:textId="77777777" w:rsidR="00035595" w:rsidRPr="005F3A68" w:rsidRDefault="00035595" w:rsidP="00035595">
            <w:pPr>
              <w:widowControl/>
              <w:spacing w:after="200" w:line="280" w:lineRule="exact"/>
              <w:rPr>
                <w:b/>
                <w:bCs/>
                <w:color w:val="000000"/>
                <w:sz w:val="22"/>
                <w:szCs w:val="22"/>
              </w:rPr>
            </w:pPr>
            <w:r w:rsidRPr="005F3A68">
              <w:rPr>
                <w:b/>
                <w:bCs/>
                <w:color w:val="000000"/>
                <w:sz w:val="22"/>
                <w:szCs w:val="22"/>
              </w:rPr>
              <w:t>Miljö- och jordbruksutskottets tematiska konferens under det svenska ordförandeskapet i EU</w:t>
            </w:r>
          </w:p>
          <w:p w14:paraId="07987B3A" w14:textId="77777777" w:rsidR="00035595" w:rsidRDefault="00035595" w:rsidP="00035595">
            <w:pPr>
              <w:widowControl/>
              <w:spacing w:after="200" w:line="280" w:lineRule="exact"/>
              <w:rPr>
                <w:bCs/>
                <w:sz w:val="22"/>
                <w:szCs w:val="22"/>
              </w:rPr>
            </w:pPr>
            <w:r>
              <w:rPr>
                <w:bCs/>
                <w:sz w:val="22"/>
                <w:szCs w:val="22"/>
              </w:rPr>
              <w:t xml:space="preserve">Utskottet fortsatte </w:t>
            </w:r>
            <w:r w:rsidRPr="005F3A68">
              <w:rPr>
                <w:bCs/>
                <w:sz w:val="22"/>
                <w:szCs w:val="22"/>
              </w:rPr>
              <w:t>planering</w:t>
            </w:r>
            <w:r>
              <w:rPr>
                <w:bCs/>
                <w:sz w:val="22"/>
                <w:szCs w:val="22"/>
              </w:rPr>
              <w:t xml:space="preserve">en inför </w:t>
            </w:r>
            <w:r w:rsidRPr="000469BB">
              <w:rPr>
                <w:bCs/>
                <w:sz w:val="22"/>
                <w:szCs w:val="22"/>
              </w:rPr>
              <w:t>u</w:t>
            </w:r>
            <w:r>
              <w:rPr>
                <w:bCs/>
                <w:sz w:val="22"/>
                <w:szCs w:val="22"/>
              </w:rPr>
              <w:t>t</w:t>
            </w:r>
            <w:r w:rsidRPr="000469BB">
              <w:rPr>
                <w:bCs/>
                <w:sz w:val="22"/>
                <w:szCs w:val="22"/>
              </w:rPr>
              <w:t>skottets tematiska konferens under det svenska ordförandeskapet i EU</w:t>
            </w:r>
            <w:r>
              <w:rPr>
                <w:bCs/>
                <w:sz w:val="22"/>
                <w:szCs w:val="22"/>
              </w:rPr>
              <w:t>.</w:t>
            </w:r>
          </w:p>
          <w:p w14:paraId="7FBC18F0" w14:textId="77777777" w:rsidR="00035595" w:rsidRDefault="00035595" w:rsidP="00035595">
            <w:pPr>
              <w:rPr>
                <w:rFonts w:eastAsiaTheme="minorHAnsi"/>
                <w:bCs/>
                <w:color w:val="000000"/>
                <w:sz w:val="22"/>
                <w:szCs w:val="22"/>
                <w:lang w:eastAsia="en-US"/>
              </w:rPr>
            </w:pPr>
            <w:r>
              <w:rPr>
                <w:bCs/>
                <w:sz w:val="22"/>
                <w:szCs w:val="22"/>
              </w:rPr>
              <w:t>Frågan bordlades.</w:t>
            </w:r>
          </w:p>
          <w:p w14:paraId="5708B485" w14:textId="3A1D9938" w:rsidR="00DA2753" w:rsidRPr="00B40F4D" w:rsidRDefault="00DA2753" w:rsidP="00035595">
            <w:pPr>
              <w:rPr>
                <w:rFonts w:eastAsiaTheme="minorHAnsi"/>
                <w:b/>
                <w:bCs/>
                <w:color w:val="000000"/>
                <w:sz w:val="22"/>
                <w:szCs w:val="22"/>
                <w:lang w:eastAsia="en-US"/>
              </w:rPr>
            </w:pPr>
          </w:p>
        </w:tc>
      </w:tr>
      <w:tr w:rsidR="00D87D66" w:rsidRPr="00B40F4D" w14:paraId="55FDDA9F" w14:textId="77777777" w:rsidTr="00C5706E">
        <w:tc>
          <w:tcPr>
            <w:tcW w:w="567" w:type="dxa"/>
          </w:tcPr>
          <w:p w14:paraId="6292CA22" w14:textId="12F3EEDA"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F3734F">
              <w:rPr>
                <w:b/>
                <w:snapToGrid w:val="0"/>
                <w:sz w:val="22"/>
                <w:szCs w:val="22"/>
              </w:rPr>
              <w:t>10</w:t>
            </w:r>
          </w:p>
        </w:tc>
        <w:tc>
          <w:tcPr>
            <w:tcW w:w="6946" w:type="dxa"/>
            <w:gridSpan w:val="2"/>
          </w:tcPr>
          <w:p w14:paraId="69553799" w14:textId="77777777" w:rsidR="00035595" w:rsidRPr="00B40F4D" w:rsidRDefault="00035595" w:rsidP="00035595">
            <w:pPr>
              <w:rPr>
                <w:rFonts w:eastAsiaTheme="minorHAnsi"/>
                <w:bCs/>
                <w:color w:val="000000"/>
                <w:sz w:val="22"/>
                <w:szCs w:val="22"/>
                <w:lang w:eastAsia="en-US"/>
              </w:rPr>
            </w:pPr>
            <w:r w:rsidRPr="00B40F4D">
              <w:rPr>
                <w:b/>
                <w:bCs/>
                <w:color w:val="000000"/>
                <w:sz w:val="22"/>
                <w:szCs w:val="22"/>
              </w:rPr>
              <w:t>Nästa sammanträde</w:t>
            </w:r>
          </w:p>
          <w:p w14:paraId="0542C6FF" w14:textId="77777777" w:rsidR="00035595" w:rsidRPr="00B40F4D" w:rsidRDefault="00035595" w:rsidP="00035595">
            <w:pPr>
              <w:rPr>
                <w:rFonts w:eastAsiaTheme="minorHAnsi"/>
                <w:bCs/>
                <w:color w:val="000000"/>
                <w:sz w:val="22"/>
                <w:szCs w:val="22"/>
                <w:lang w:eastAsia="en-US"/>
              </w:rPr>
            </w:pPr>
          </w:p>
          <w:p w14:paraId="6DD8D304" w14:textId="77777777" w:rsidR="00035595" w:rsidRPr="00B40F4D" w:rsidRDefault="00035595" w:rsidP="00035595">
            <w:pPr>
              <w:rPr>
                <w:snapToGrid w:val="0"/>
                <w:sz w:val="22"/>
                <w:szCs w:val="22"/>
              </w:rPr>
            </w:pPr>
            <w:r w:rsidRPr="00B40F4D">
              <w:rPr>
                <w:snapToGrid w:val="0"/>
                <w:sz w:val="22"/>
                <w:szCs w:val="22"/>
              </w:rPr>
              <w:t xml:space="preserve">Nästa sammanträde äger rum </w:t>
            </w:r>
            <w:r>
              <w:rPr>
                <w:snapToGrid w:val="0"/>
                <w:sz w:val="22"/>
                <w:szCs w:val="22"/>
              </w:rPr>
              <w:t>tors</w:t>
            </w:r>
            <w:r w:rsidRPr="00B40F4D">
              <w:rPr>
                <w:snapToGrid w:val="0"/>
                <w:sz w:val="22"/>
                <w:szCs w:val="22"/>
              </w:rPr>
              <w:t>dagen den</w:t>
            </w:r>
            <w:r>
              <w:rPr>
                <w:snapToGrid w:val="0"/>
                <w:sz w:val="22"/>
                <w:szCs w:val="22"/>
              </w:rPr>
              <w:t xml:space="preserve"> 19 januari 2023</w:t>
            </w:r>
            <w:r w:rsidRPr="00B40F4D">
              <w:rPr>
                <w:snapToGrid w:val="0"/>
                <w:sz w:val="22"/>
                <w:szCs w:val="22"/>
              </w:rPr>
              <w:t xml:space="preserve"> kl. </w:t>
            </w:r>
            <w:r>
              <w:rPr>
                <w:snapToGrid w:val="0"/>
                <w:sz w:val="22"/>
                <w:szCs w:val="22"/>
              </w:rPr>
              <w:t xml:space="preserve">10.00. </w:t>
            </w:r>
          </w:p>
          <w:p w14:paraId="5D60648A" w14:textId="54313181" w:rsidR="00957936" w:rsidRPr="00B40F4D" w:rsidRDefault="00957936" w:rsidP="002A14AC">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6B8F376" w14:textId="77777777" w:rsidR="00D5250E" w:rsidRPr="00B40F4D" w:rsidRDefault="00D5250E" w:rsidP="00D5250E">
            <w:pPr>
              <w:tabs>
                <w:tab w:val="left" w:pos="1701"/>
              </w:tabs>
              <w:rPr>
                <w:sz w:val="22"/>
                <w:szCs w:val="22"/>
              </w:rPr>
            </w:pPr>
          </w:p>
          <w:p w14:paraId="0060A65A" w14:textId="77777777" w:rsidR="00D5250E" w:rsidRPr="00B40F4D" w:rsidRDefault="00D5250E" w:rsidP="00D5250E">
            <w:pPr>
              <w:tabs>
                <w:tab w:val="left" w:pos="1701"/>
              </w:tabs>
              <w:rPr>
                <w:sz w:val="22"/>
                <w:szCs w:val="22"/>
              </w:rPr>
            </w:pPr>
            <w:r w:rsidRPr="00B40F4D">
              <w:rPr>
                <w:sz w:val="22"/>
                <w:szCs w:val="22"/>
              </w:rPr>
              <w:t>Vid protokollet</w:t>
            </w:r>
          </w:p>
          <w:p w14:paraId="16DA6BD1" w14:textId="77777777" w:rsidR="00D5250E" w:rsidRPr="00B40F4D" w:rsidRDefault="00D5250E" w:rsidP="00D5250E">
            <w:pPr>
              <w:tabs>
                <w:tab w:val="left" w:pos="1701"/>
              </w:tabs>
              <w:rPr>
                <w:sz w:val="22"/>
                <w:szCs w:val="22"/>
              </w:rPr>
            </w:pPr>
          </w:p>
          <w:p w14:paraId="198DC207" w14:textId="77777777" w:rsidR="00605599" w:rsidRDefault="00605599" w:rsidP="00D5250E">
            <w:pPr>
              <w:tabs>
                <w:tab w:val="left" w:pos="1701"/>
              </w:tabs>
              <w:rPr>
                <w:sz w:val="22"/>
                <w:szCs w:val="22"/>
              </w:rPr>
            </w:pPr>
          </w:p>
          <w:p w14:paraId="6E496FB7" w14:textId="15E44E52" w:rsidR="00D5250E" w:rsidRPr="00B40F4D" w:rsidRDefault="00D5250E" w:rsidP="00D5250E">
            <w:pPr>
              <w:tabs>
                <w:tab w:val="left" w:pos="1701"/>
              </w:tabs>
              <w:rPr>
                <w:sz w:val="22"/>
                <w:szCs w:val="22"/>
              </w:rPr>
            </w:pPr>
            <w:r w:rsidRPr="00B40F4D">
              <w:rPr>
                <w:sz w:val="22"/>
                <w:szCs w:val="22"/>
              </w:rPr>
              <w:t>Justeras den</w:t>
            </w:r>
            <w:r w:rsidR="00041991">
              <w:rPr>
                <w:sz w:val="22"/>
                <w:szCs w:val="22"/>
              </w:rPr>
              <w:t xml:space="preserve"> </w:t>
            </w:r>
            <w:r w:rsidR="00ED2B25">
              <w:rPr>
                <w:sz w:val="22"/>
                <w:szCs w:val="22"/>
              </w:rPr>
              <w:t>19 januari</w:t>
            </w:r>
            <w:r w:rsidR="00CB71B9">
              <w:rPr>
                <w:sz w:val="22"/>
                <w:szCs w:val="22"/>
              </w:rPr>
              <w:t xml:space="preserve"> 202</w:t>
            </w:r>
            <w:r w:rsidR="00ED2B25">
              <w:rPr>
                <w:sz w:val="22"/>
                <w:szCs w:val="22"/>
              </w:rPr>
              <w:t>3</w:t>
            </w:r>
          </w:p>
          <w:p w14:paraId="124FB904" w14:textId="59A60C2E" w:rsidR="00D5250E" w:rsidRDefault="00D5250E" w:rsidP="00D5250E">
            <w:pPr>
              <w:tabs>
                <w:tab w:val="left" w:pos="1701"/>
              </w:tabs>
              <w:rPr>
                <w:sz w:val="22"/>
                <w:szCs w:val="22"/>
              </w:rPr>
            </w:pPr>
          </w:p>
          <w:p w14:paraId="522E34D9" w14:textId="77777777" w:rsidR="00065BC5" w:rsidRPr="00B40F4D" w:rsidRDefault="00065BC5" w:rsidP="00D5250E">
            <w:pPr>
              <w:tabs>
                <w:tab w:val="left" w:pos="1701"/>
              </w:tabs>
              <w:rPr>
                <w:sz w:val="22"/>
                <w:szCs w:val="22"/>
              </w:rPr>
            </w:pPr>
          </w:p>
          <w:p w14:paraId="67BEA3C0" w14:textId="7AEE8E85" w:rsidR="00065BC5" w:rsidRPr="00B40F4D" w:rsidRDefault="00065BC5" w:rsidP="00157E3A">
            <w:pPr>
              <w:tabs>
                <w:tab w:val="left" w:pos="1701"/>
              </w:tabs>
              <w:rPr>
                <w:sz w:val="22"/>
                <w:szCs w:val="22"/>
              </w:rPr>
            </w:pPr>
            <w:r>
              <w:rPr>
                <w:sz w:val="22"/>
                <w:szCs w:val="22"/>
              </w:rPr>
              <w:t>Emma Nohrén</w:t>
            </w: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33F746D4" w:rsidR="00136BAF" w:rsidRPr="00B40F4D" w:rsidRDefault="00136BAF" w:rsidP="002B7AED">
            <w:pPr>
              <w:tabs>
                <w:tab w:val="left" w:pos="1701"/>
              </w:tabs>
              <w:rPr>
                <w:sz w:val="22"/>
                <w:szCs w:val="22"/>
              </w:rPr>
            </w:pPr>
            <w:r w:rsidRPr="00B40F4D">
              <w:rPr>
                <w:b/>
                <w:sz w:val="22"/>
                <w:szCs w:val="22"/>
              </w:rPr>
              <w:t xml:space="preserve">Bilaga </w:t>
            </w:r>
            <w:r w:rsidR="00D13142">
              <w:rPr>
                <w:b/>
                <w:sz w:val="22"/>
                <w:szCs w:val="22"/>
              </w:rPr>
              <w:t>1</w:t>
            </w:r>
            <w:r w:rsidRPr="00B40F4D">
              <w:rPr>
                <w:b/>
                <w:sz w:val="22"/>
                <w:szCs w:val="22"/>
              </w:rPr>
              <w:t xml:space="preserve"> </w:t>
            </w:r>
            <w:r w:rsidRPr="00B40F4D">
              <w:rPr>
                <w:sz w:val="22"/>
                <w:szCs w:val="22"/>
              </w:rPr>
              <w:t xml:space="preserve">till </w:t>
            </w:r>
          </w:p>
          <w:p w14:paraId="0C82BAE9" w14:textId="347AE561" w:rsidR="00136BAF" w:rsidRPr="00B40F4D" w:rsidRDefault="00136BAF" w:rsidP="002B7AED">
            <w:pPr>
              <w:tabs>
                <w:tab w:val="left" w:pos="1701"/>
              </w:tabs>
              <w:rPr>
                <w:sz w:val="22"/>
                <w:szCs w:val="22"/>
              </w:rPr>
            </w:pPr>
            <w:r w:rsidRPr="00B40F4D">
              <w:rPr>
                <w:sz w:val="22"/>
                <w:szCs w:val="22"/>
              </w:rPr>
              <w:t>prot. 20</w:t>
            </w:r>
            <w:r>
              <w:rPr>
                <w:sz w:val="22"/>
                <w:szCs w:val="22"/>
              </w:rPr>
              <w:t>2</w:t>
            </w:r>
            <w:r w:rsidR="00BE333D">
              <w:rPr>
                <w:sz w:val="22"/>
                <w:szCs w:val="22"/>
              </w:rPr>
              <w:t>2</w:t>
            </w:r>
            <w:r w:rsidRPr="00B40F4D">
              <w:rPr>
                <w:sz w:val="22"/>
                <w:szCs w:val="22"/>
              </w:rPr>
              <w:t>/2</w:t>
            </w:r>
            <w:r w:rsidR="00BE333D">
              <w:rPr>
                <w:sz w:val="22"/>
                <w:szCs w:val="22"/>
              </w:rPr>
              <w:t>3</w:t>
            </w:r>
            <w:r w:rsidRPr="00B40F4D">
              <w:rPr>
                <w:sz w:val="22"/>
                <w:szCs w:val="22"/>
              </w:rPr>
              <w:t>:</w:t>
            </w:r>
            <w:r w:rsidR="00FC227B">
              <w:rPr>
                <w:sz w:val="22"/>
                <w:szCs w:val="22"/>
              </w:rPr>
              <w:t>18</w:t>
            </w:r>
          </w:p>
        </w:tc>
      </w:tr>
      <w:tr w:rsidR="00136BAF" w:rsidRPr="00B40F4D"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58CC38AC" w:rsidR="00136BAF" w:rsidRPr="00B40F4D" w:rsidRDefault="002505C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41CB967A"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2505C6">
              <w:rPr>
                <w:sz w:val="22"/>
                <w:szCs w:val="22"/>
              </w:rPr>
              <w:t xml:space="preserve">§ </w:t>
            </w:r>
            <w:r w:rsidR="00957936">
              <w:rPr>
                <w:sz w:val="22"/>
                <w:szCs w:val="22"/>
              </w:rPr>
              <w:t>2</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620C9B02" w:rsidR="00136BAF" w:rsidRPr="00B40F4D" w:rsidRDefault="002505C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r w:rsidR="00C030B2">
              <w:rPr>
                <w:sz w:val="22"/>
                <w:szCs w:val="22"/>
              </w:rPr>
              <w:t>3</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60B995E8" w:rsidR="00136BAF" w:rsidRPr="00B40F4D" w:rsidRDefault="00C030B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4</w:t>
            </w:r>
            <w:r w:rsidR="00592704">
              <w:rPr>
                <w:sz w:val="22"/>
                <w:szCs w:val="22"/>
              </w:rPr>
              <w:t xml:space="preserve"> – </w:t>
            </w:r>
            <w:r>
              <w:rPr>
                <w:sz w:val="22"/>
                <w:szCs w:val="22"/>
              </w:rPr>
              <w:t>5</w:t>
            </w:r>
          </w:p>
        </w:tc>
        <w:tc>
          <w:tcPr>
            <w:tcW w:w="850" w:type="dxa"/>
            <w:gridSpan w:val="2"/>
            <w:tcBorders>
              <w:top w:val="single" w:sz="6" w:space="0" w:color="auto"/>
              <w:left w:val="single" w:sz="6" w:space="0" w:color="auto"/>
              <w:bottom w:val="single" w:sz="6" w:space="0" w:color="auto"/>
              <w:right w:val="single" w:sz="6" w:space="0" w:color="auto"/>
            </w:tcBorders>
          </w:tcPr>
          <w:p w14:paraId="24A7D435" w14:textId="7719A039"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6 – 10</w:t>
            </w: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136BAF" w:rsidRPr="00B40F4D"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3CEB7648" w:rsidR="00136BAF" w:rsidRPr="00B40F4D" w:rsidRDefault="000B1AC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3A58A601"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18A374E5" w:rsidR="00136BAF" w:rsidRPr="00B40F4D" w:rsidRDefault="00C030B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03106969"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2B6D9510"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D775F0"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Kjell-Arne Ottosson (KD), vice ordf.</w:t>
            </w:r>
          </w:p>
        </w:tc>
        <w:tc>
          <w:tcPr>
            <w:tcW w:w="425" w:type="dxa"/>
            <w:tcBorders>
              <w:top w:val="single" w:sz="6" w:space="0" w:color="auto"/>
              <w:left w:val="single" w:sz="6" w:space="0" w:color="auto"/>
              <w:bottom w:val="single" w:sz="6" w:space="0" w:color="auto"/>
              <w:right w:val="single" w:sz="6" w:space="0" w:color="auto"/>
            </w:tcBorders>
          </w:tcPr>
          <w:p w14:paraId="128043F2" w14:textId="30257496" w:rsidR="00136BAF" w:rsidRPr="006A6B9D" w:rsidRDefault="000B1AC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75E54C7A" w:rsidR="00136BAF" w:rsidRPr="006A6B9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51C82E83" w:rsidR="00136BAF" w:rsidRPr="006A6B9D" w:rsidRDefault="00C030B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27A88ABB" w:rsidR="00136BAF" w:rsidRPr="006A6B9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25C25618" w:rsidR="00136BAF" w:rsidRPr="006A6B9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255FC909" w:rsidR="00136BAF" w:rsidRPr="006A6B9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78B3D589" w:rsidR="00136BAF" w:rsidRPr="006A6B9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07AD2FB6" w:rsidR="00136BAF" w:rsidRPr="006A6B9D" w:rsidRDefault="00C030B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07DEFA83" w:rsidR="00136BAF" w:rsidRPr="006A6B9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188447C7" w:rsidR="00136BAF" w:rsidRPr="006A6B9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66B01EA2" w:rsidR="00136BAF" w:rsidRPr="006A6B9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2613D44B" w:rsidR="00136BAF" w:rsidRPr="006A6B9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1A0BFD9C" w:rsidR="00136BAF" w:rsidRPr="006A6B9D" w:rsidRDefault="00C030B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103D1E27" w:rsidR="00136BAF" w:rsidRPr="006A6B9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02BFF0C4" w:rsidR="00136BAF" w:rsidRPr="006A6B9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0D9407D1"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61C40DE5"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590D0EC1" w:rsidR="00136BAF" w:rsidRPr="00B40F4D" w:rsidRDefault="00C030B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13BA783E"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4E894243"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02FCA409"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3956036D"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64FBEE15" w:rsidR="00136BAF" w:rsidRPr="00B40F4D" w:rsidRDefault="00C030B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73A38D3B"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009E28A0"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312DAF35"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33CE4264"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2FE99204" w:rsidR="00136BAF" w:rsidRPr="00B40F4D" w:rsidRDefault="00C030B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646DFECD"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6A66B0EB"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6E795969"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0AD5CF59"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2E937CFE" w:rsidR="00136BAF" w:rsidRPr="00B40F4D" w:rsidRDefault="00C030B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6AD4EDBD"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3D43BAEB"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6EEBB1BD"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478034B7"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6B2EF86F" w:rsidR="00136BAF" w:rsidRPr="00B40F4D" w:rsidRDefault="00C030B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05B161C0"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093E7CBB"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192D0083" w:rsidR="00957936"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1C7330D7"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03FDA434" w:rsidR="00136BAF" w:rsidRPr="00B40F4D" w:rsidRDefault="00C030B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00FFC06C"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4F8DAD4F"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77777777" w:rsidR="00136BAF" w:rsidRPr="005C4C18" w:rsidRDefault="00136BAF" w:rsidP="002B7AED">
            <w:pPr>
              <w:spacing w:line="256" w:lineRule="auto"/>
              <w:rPr>
                <w:sz w:val="22"/>
                <w:szCs w:val="22"/>
                <w:lang w:eastAsia="en-US"/>
              </w:rPr>
            </w:pPr>
            <w:r>
              <w:rPr>
                <w:sz w:val="22"/>
                <w:szCs w:val="22"/>
                <w:lang w:eastAsia="en-US"/>
              </w:rPr>
              <w:t>Elsa Widding</w:t>
            </w:r>
            <w:r w:rsidRPr="005C4C18">
              <w:rPr>
                <w:sz w:val="22"/>
                <w:szCs w:val="22"/>
                <w:lang w:eastAsia="en-US"/>
              </w:rPr>
              <w:t xml:space="preserve"> (S</w:t>
            </w:r>
            <w:r>
              <w:rPr>
                <w:sz w:val="22"/>
                <w:szCs w:val="22"/>
                <w:lang w:eastAsia="en-US"/>
              </w:rPr>
              <w:t>D</w:t>
            </w:r>
            <w:r w:rsidRPr="005C4C18">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14:paraId="28DC2C46" w14:textId="6F88E1E1"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0A257237"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34910554" w:rsidR="00136BAF" w:rsidRPr="00B40F4D" w:rsidRDefault="00C030B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4BE1C1EC"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36289FF8"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714E58B1"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599B4DBE"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3A864853" w:rsidR="00136BAF" w:rsidRPr="00B40F4D" w:rsidRDefault="00C030B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2ED96030"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4073D113"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65AD6420"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360260D8"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4C9165B4" w:rsidR="00136BAF" w:rsidRPr="00B40F4D" w:rsidRDefault="00C030B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644BE907"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510ED0F9"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47E71A22"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144A0AC0"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00F78429" w:rsidR="00136BAF" w:rsidRPr="00B40F4D" w:rsidRDefault="00C030B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4F379858"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57C58F14"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1BF78509"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778B17C7"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3295BD3C" w:rsidR="00136BAF" w:rsidRPr="00B40F4D" w:rsidRDefault="00C030B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22DC49E7"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0959DED0"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77777777" w:rsidR="00136BAF" w:rsidRPr="005C4C18" w:rsidRDefault="00136BAF" w:rsidP="002B7AED">
            <w:pPr>
              <w:spacing w:line="256" w:lineRule="auto"/>
              <w:rPr>
                <w:sz w:val="22"/>
                <w:szCs w:val="22"/>
                <w:lang w:eastAsia="en-US"/>
              </w:rPr>
            </w:pPr>
            <w:r>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562ADC95" w14:textId="75B0763B"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2E1C17B1"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3589844F" w:rsidR="00136BAF" w:rsidRPr="00B40F4D" w:rsidRDefault="00C030B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780BE5E7"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33C78C30"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0DB4BE8F"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06C5B872"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77A5A40C" w:rsidR="00136BAF" w:rsidRPr="00B40F4D" w:rsidRDefault="00C030B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7B7FB797"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6534C071"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77777777" w:rsidR="00136BAF" w:rsidRPr="00B40F4D" w:rsidRDefault="00136BAF" w:rsidP="002B7AED">
            <w:pPr>
              <w:spacing w:line="256" w:lineRule="auto"/>
              <w:rPr>
                <w:b/>
                <w:i/>
                <w:sz w:val="22"/>
                <w:szCs w:val="22"/>
                <w:lang w:eastAsia="en-US"/>
              </w:rPr>
            </w:pPr>
            <w:r>
              <w:rPr>
                <w:sz w:val="22"/>
                <w:szCs w:val="22"/>
                <w:lang w:val="en-US" w:eastAsia="en-US"/>
              </w:rPr>
              <w:t>Björn Tidland</w:t>
            </w:r>
            <w:r w:rsidRPr="00B40F4D">
              <w:rPr>
                <w:sz w:val="22"/>
                <w:szCs w:val="22"/>
                <w:lang w:val="en-US" w:eastAsia="en-US"/>
              </w:rPr>
              <w:t xml:space="preserve"> (S</w:t>
            </w:r>
            <w:r>
              <w:rPr>
                <w:sz w:val="22"/>
                <w:szCs w:val="22"/>
                <w:lang w:val="en-US" w:eastAsia="en-US"/>
              </w:rPr>
              <w:t>D</w:t>
            </w:r>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69FF2793"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6A41AA67"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289364AF" w:rsidR="00136BAF" w:rsidRPr="00B40F4D" w:rsidRDefault="00C030B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6DB3129D"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09ADA237"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7C9E1202"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74332C13"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398A5F06" w:rsidR="00136BAF" w:rsidRPr="00B40F4D" w:rsidRDefault="00C030B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09DE0D7F"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5D1F0271"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11C62965" w:rsidR="00136BAF" w:rsidRDefault="00BE4890" w:rsidP="002B7AED">
            <w:pPr>
              <w:spacing w:line="256" w:lineRule="auto"/>
              <w:rPr>
                <w:sz w:val="22"/>
                <w:szCs w:val="22"/>
                <w:lang w:eastAsia="en-US"/>
              </w:rPr>
            </w:pPr>
            <w:r>
              <w:rPr>
                <w:sz w:val="22"/>
                <w:szCs w:val="22"/>
              </w:rPr>
              <w:t xml:space="preserve">Johanna Hornberger </w:t>
            </w:r>
            <w:r w:rsidR="00136BAF" w:rsidRPr="00467848">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71982876" w14:textId="5725CE3C"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6A2EBC00"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0C6C2DAB" w:rsidR="00136BAF" w:rsidRPr="00B40F4D" w:rsidRDefault="00C030B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26B86960"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691EC957"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57E30D21"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6065C935"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1DEF49CF"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2D20AD59" w:rsidR="00136BAF" w:rsidRPr="00B40F4D" w:rsidRDefault="00C030B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0BAF501C"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5520DF2E"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BE4E84C"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FEF3CB3"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59A6F9F6" w:rsidR="00136BAF" w:rsidRPr="00B40F4D" w:rsidRDefault="00C030B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5FA0F98B"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0621AE1A"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38854BA8" w:rsidR="00136BAF" w:rsidRDefault="00BE4890" w:rsidP="002B7AED">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Brunsberg </w:t>
            </w:r>
            <w:r w:rsidR="00136BA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57B0709E"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17F88934"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75D028E8" w:rsidR="00136BAF" w:rsidRPr="00B40F4D" w:rsidRDefault="00C030B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3D922C41"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3196ED7D"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77777777" w:rsidR="00136BAF" w:rsidRPr="00917BEB" w:rsidRDefault="00136BAF" w:rsidP="002B7AED">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26DD4267"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34B45234"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4DBE449E" w:rsidR="00136BAF" w:rsidRPr="00B40F4D" w:rsidRDefault="00C030B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2BB87C87"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6B5EDED1"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77777777" w:rsidR="00136BAF" w:rsidRPr="00917BEB" w:rsidRDefault="00136BAF" w:rsidP="002B7AED">
            <w:pPr>
              <w:tabs>
                <w:tab w:val="left" w:pos="2268"/>
                <w:tab w:val="left" w:pos="2977"/>
                <w:tab w:val="left" w:pos="4536"/>
              </w:tabs>
              <w:spacing w:line="256" w:lineRule="auto"/>
              <w:rPr>
                <w:sz w:val="22"/>
                <w:szCs w:val="22"/>
                <w:lang w:eastAsia="en-US"/>
              </w:rPr>
            </w:pPr>
            <w:r>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11493D91"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04C26538" w:rsidR="00136BAF" w:rsidRPr="00B40F4D" w:rsidRDefault="00957936"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175B3073" w:rsidR="00136BAF" w:rsidRPr="00B40F4D" w:rsidRDefault="00C030B2"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5F8E0262"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65FE6468" w:rsidR="00136BAF" w:rsidRPr="00B40F4D" w:rsidRDefault="00592704"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917BEB" w:rsidRDefault="000F7521" w:rsidP="002B7AED">
            <w:pPr>
              <w:tabs>
                <w:tab w:val="left" w:pos="2268"/>
                <w:tab w:val="left" w:pos="2977"/>
                <w:tab w:val="left" w:pos="4536"/>
              </w:tabs>
              <w:spacing w:line="256" w:lineRule="auto"/>
              <w:rPr>
                <w:sz w:val="22"/>
                <w:szCs w:val="22"/>
                <w:highlight w:val="yellow"/>
                <w:lang w:eastAsia="en-US"/>
              </w:rPr>
            </w:pPr>
            <w:r>
              <w:rPr>
                <w:sz w:val="22"/>
                <w:szCs w:val="22"/>
                <w:lang w:eastAsia="en-US"/>
              </w:rPr>
              <w:t>Anna af Sillén</w:t>
            </w:r>
            <w:r w:rsidR="00BE4890">
              <w:rPr>
                <w:sz w:val="22"/>
                <w:szCs w:val="22"/>
                <w:lang w:eastAsia="en-US"/>
              </w:rPr>
              <w:t xml:space="preserve">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50D98CB2"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r w:rsidR="00D7301B">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4D3DF530"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6A49EA" w:rsidRDefault="00FA2B53" w:rsidP="002B7AED">
            <w:pPr>
              <w:tabs>
                <w:tab w:val="left" w:pos="2268"/>
                <w:tab w:val="left" w:pos="2977"/>
                <w:tab w:val="left" w:pos="4536"/>
              </w:tabs>
              <w:spacing w:line="256" w:lineRule="auto"/>
              <w:rPr>
                <w:sz w:val="22"/>
                <w:szCs w:val="22"/>
                <w:lang w:val="en-US" w:eastAsia="en-US"/>
              </w:rPr>
            </w:pPr>
            <w:r>
              <w:rPr>
                <w:sz w:val="22"/>
                <w:szCs w:val="22"/>
                <w:lang w:val="en-US" w:eastAsia="en-US"/>
              </w:rPr>
              <w:t>Dan Hovskär</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0AC9E7EB" w:rsidR="006A49EA" w:rsidRPr="006A49EA" w:rsidRDefault="006A49EA" w:rsidP="002B7AED">
            <w:pPr>
              <w:tabs>
                <w:tab w:val="left" w:pos="2268"/>
                <w:tab w:val="left" w:pos="2977"/>
                <w:tab w:val="left" w:pos="4536"/>
              </w:tabs>
              <w:spacing w:line="256" w:lineRule="auto"/>
              <w:rPr>
                <w:sz w:val="22"/>
                <w:szCs w:val="22"/>
                <w:lang w:val="en-US" w:eastAsia="en-US"/>
              </w:rPr>
            </w:pPr>
            <w:r w:rsidRPr="006A49EA">
              <w:rPr>
                <w:sz w:val="22"/>
                <w:szCs w:val="22"/>
                <w:lang w:val="en-US" w:eastAsia="en-US"/>
              </w:rPr>
              <w:t>Per Bolund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39DEB73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Cecilia Rönn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04FD177F" w14:textId="59B6E094" w:rsidR="00AF70B0" w:rsidRDefault="00AF70B0">
      <w:pPr>
        <w:widowControl/>
        <w:rPr>
          <w:sz w:val="22"/>
          <w:szCs w:val="22"/>
        </w:rPr>
      </w:pPr>
    </w:p>
    <w:p w14:paraId="57D2649B" w14:textId="3D6A7C27" w:rsidR="00136BAF" w:rsidRDefault="00136BAF">
      <w:pPr>
        <w:widowControl/>
        <w:rPr>
          <w:sz w:val="22"/>
          <w:szCs w:val="22"/>
        </w:rPr>
      </w:pPr>
    </w:p>
    <w:p w14:paraId="3929C8F2" w14:textId="259B3F3F" w:rsidR="00136BAF" w:rsidRDefault="00136BAF">
      <w:pPr>
        <w:widowControl/>
        <w:rPr>
          <w:sz w:val="22"/>
          <w:szCs w:val="22"/>
        </w:rPr>
      </w:pPr>
    </w:p>
    <w:p w14:paraId="4FD61034" w14:textId="169579DB" w:rsidR="00136BAF" w:rsidRDefault="00136BAF">
      <w:pPr>
        <w:widowControl/>
        <w:rPr>
          <w:sz w:val="22"/>
          <w:szCs w:val="22"/>
        </w:rPr>
      </w:pPr>
    </w:p>
    <w:p w14:paraId="42A9A265" w14:textId="15A4C105" w:rsidR="00D61553" w:rsidRDefault="00427033">
      <w:pPr>
        <w:widowControl/>
        <w:rPr>
          <w:sz w:val="22"/>
          <w:szCs w:val="22"/>
        </w:rPr>
      </w:pPr>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D61553" w:rsidRPr="008D4ED6" w14:paraId="1B86CAA5" w14:textId="77777777" w:rsidTr="004D1C92">
        <w:tc>
          <w:tcPr>
            <w:tcW w:w="6532" w:type="dxa"/>
          </w:tcPr>
          <w:p w14:paraId="00C7DBC8" w14:textId="77777777" w:rsidR="00D61553" w:rsidRPr="008D4ED6" w:rsidRDefault="00D61553" w:rsidP="004D1C92">
            <w:pPr>
              <w:tabs>
                <w:tab w:val="left" w:pos="1276"/>
              </w:tabs>
              <w:rPr>
                <w:sz w:val="22"/>
                <w:szCs w:val="22"/>
              </w:rPr>
            </w:pPr>
            <w:r w:rsidRPr="008D4ED6">
              <w:rPr>
                <w:sz w:val="22"/>
                <w:szCs w:val="22"/>
              </w:rPr>
              <w:lastRenderedPageBreak/>
              <w:br w:type="page"/>
              <w:t>MILJÖ- OCH JORDBRUKSUTSKOTTET</w:t>
            </w:r>
          </w:p>
        </w:tc>
        <w:tc>
          <w:tcPr>
            <w:tcW w:w="2206" w:type="dxa"/>
          </w:tcPr>
          <w:p w14:paraId="0E472807" w14:textId="77777777" w:rsidR="00D61553" w:rsidRPr="008D4ED6" w:rsidRDefault="00D61553" w:rsidP="004D1C92">
            <w:pPr>
              <w:tabs>
                <w:tab w:val="left" w:pos="1276"/>
              </w:tabs>
              <w:rPr>
                <w:sz w:val="22"/>
                <w:szCs w:val="22"/>
              </w:rPr>
            </w:pPr>
          </w:p>
        </w:tc>
        <w:tc>
          <w:tcPr>
            <w:tcW w:w="2036" w:type="dxa"/>
          </w:tcPr>
          <w:p w14:paraId="5AD75A00" w14:textId="77777777" w:rsidR="00D61553" w:rsidRPr="008D4ED6" w:rsidRDefault="00D61553" w:rsidP="004D1C92">
            <w:pPr>
              <w:tabs>
                <w:tab w:val="left" w:pos="1276"/>
              </w:tabs>
              <w:ind w:right="-212"/>
              <w:rPr>
                <w:b/>
                <w:sz w:val="22"/>
                <w:szCs w:val="22"/>
              </w:rPr>
            </w:pPr>
            <w:r w:rsidRPr="008D4ED6">
              <w:rPr>
                <w:b/>
                <w:sz w:val="22"/>
                <w:szCs w:val="22"/>
              </w:rPr>
              <w:t>Bilaga 2</w:t>
            </w:r>
          </w:p>
          <w:p w14:paraId="12A4A5F4" w14:textId="77777777" w:rsidR="00D61553" w:rsidRPr="008D4ED6" w:rsidRDefault="00D61553" w:rsidP="004D1C92">
            <w:pPr>
              <w:tabs>
                <w:tab w:val="left" w:pos="1276"/>
              </w:tabs>
              <w:ind w:right="-212"/>
              <w:rPr>
                <w:sz w:val="22"/>
                <w:szCs w:val="22"/>
              </w:rPr>
            </w:pPr>
            <w:r w:rsidRPr="008D4ED6">
              <w:rPr>
                <w:sz w:val="22"/>
                <w:szCs w:val="22"/>
              </w:rPr>
              <w:t>till protokoll</w:t>
            </w:r>
          </w:p>
          <w:p w14:paraId="517F4BAB" w14:textId="77777777" w:rsidR="00D61553" w:rsidRPr="008D4ED6" w:rsidRDefault="00D61553" w:rsidP="004D1C92">
            <w:pPr>
              <w:tabs>
                <w:tab w:val="left" w:pos="1276"/>
              </w:tabs>
              <w:ind w:right="-212"/>
              <w:rPr>
                <w:b/>
                <w:sz w:val="22"/>
                <w:szCs w:val="22"/>
              </w:rPr>
            </w:pPr>
            <w:r w:rsidRPr="008D4ED6">
              <w:rPr>
                <w:sz w:val="22"/>
                <w:szCs w:val="22"/>
              </w:rPr>
              <w:t>2022/23:18</w:t>
            </w:r>
          </w:p>
        </w:tc>
      </w:tr>
    </w:tbl>
    <w:p w14:paraId="1D18E885" w14:textId="77777777" w:rsidR="00D61553" w:rsidRPr="008D4ED6" w:rsidRDefault="00D61553" w:rsidP="00D61553">
      <w:pPr>
        <w:rPr>
          <w:b/>
          <w:bCs/>
          <w:sz w:val="22"/>
          <w:szCs w:val="22"/>
        </w:rPr>
      </w:pPr>
    </w:p>
    <w:p w14:paraId="5F9D0238" w14:textId="77777777" w:rsidR="00D61553" w:rsidRPr="008D4ED6" w:rsidRDefault="00D61553" w:rsidP="00D61553">
      <w:pPr>
        <w:rPr>
          <w:b/>
          <w:bCs/>
          <w:color w:val="000000"/>
          <w:sz w:val="22"/>
          <w:szCs w:val="22"/>
        </w:rPr>
      </w:pPr>
      <w:r w:rsidRPr="008D4ED6">
        <w:rPr>
          <w:b/>
          <w:sz w:val="22"/>
          <w:szCs w:val="22"/>
        </w:rPr>
        <w:t>Överläggning den 15 december 2022 om rådet dagordningspunkt 3 F</w:t>
      </w:r>
      <w:r w:rsidRPr="008D4ED6">
        <w:rPr>
          <w:b/>
          <w:bCs/>
          <w:sz w:val="22"/>
          <w:szCs w:val="22"/>
        </w:rPr>
        <w:t>örordning om restaurering av natur</w:t>
      </w:r>
    </w:p>
    <w:p w14:paraId="256AF842" w14:textId="77777777" w:rsidR="00D61553" w:rsidRPr="008D4ED6" w:rsidRDefault="00D61553" w:rsidP="00D61553">
      <w:pPr>
        <w:rPr>
          <w:b/>
          <w:sz w:val="22"/>
          <w:szCs w:val="22"/>
        </w:rPr>
      </w:pPr>
    </w:p>
    <w:p w14:paraId="13C2D49F" w14:textId="77777777" w:rsidR="00D61553" w:rsidRDefault="00D61553" w:rsidP="00D61553">
      <w:pPr>
        <w:widowControl/>
        <w:autoSpaceDE w:val="0"/>
        <w:autoSpaceDN w:val="0"/>
        <w:adjustRightInd w:val="0"/>
        <w:rPr>
          <w:color w:val="000000"/>
          <w:sz w:val="22"/>
          <w:szCs w:val="22"/>
        </w:rPr>
      </w:pPr>
      <w:r w:rsidRPr="008D4ED6">
        <w:rPr>
          <w:b/>
          <w:sz w:val="22"/>
          <w:szCs w:val="22"/>
        </w:rPr>
        <w:t xml:space="preserve">Förslag till </w:t>
      </w:r>
      <w:r w:rsidRPr="006B0FED">
        <w:rPr>
          <w:b/>
          <w:sz w:val="22"/>
          <w:szCs w:val="22"/>
        </w:rPr>
        <w:t>svensk</w:t>
      </w:r>
      <w:r w:rsidRPr="008D4ED6">
        <w:rPr>
          <w:b/>
          <w:sz w:val="22"/>
          <w:szCs w:val="22"/>
        </w:rPr>
        <w:t xml:space="preserve"> ståndpunkt</w:t>
      </w:r>
      <w:r w:rsidRPr="008D4ED6">
        <w:rPr>
          <w:b/>
          <w:sz w:val="22"/>
          <w:szCs w:val="22"/>
        </w:rPr>
        <w:br/>
      </w:r>
      <w:r w:rsidRPr="008D4ED6">
        <w:rPr>
          <w:color w:val="000000"/>
          <w:sz w:val="22"/>
          <w:szCs w:val="22"/>
        </w:rPr>
        <w:t xml:space="preserve">Regeringen konstaterar att beslutet om EU:s strategi för biologisk mångfald för 2030 som antogs den 23 oktober 2020, innebär en ökad ambitionsnivå för skyddet av biologisk mångfald och restaurering av natur i unionen. Regeringen bedömer att det finns ett ökat behov av en kontinuerlig, långsiktig och uthållig återhämtning av biologisk mångfald och motstånds-kraftig natur inom unionens land- och havsområden genom restaurering av ekosystem, livsmiljöer och arter. </w:t>
      </w:r>
    </w:p>
    <w:p w14:paraId="346386AB" w14:textId="77777777" w:rsidR="00D61553" w:rsidRPr="008D4ED6" w:rsidRDefault="00D61553" w:rsidP="00D61553">
      <w:pPr>
        <w:widowControl/>
        <w:autoSpaceDE w:val="0"/>
        <w:autoSpaceDN w:val="0"/>
        <w:adjustRightInd w:val="0"/>
        <w:rPr>
          <w:color w:val="000000"/>
          <w:sz w:val="22"/>
          <w:szCs w:val="22"/>
        </w:rPr>
      </w:pPr>
    </w:p>
    <w:p w14:paraId="69321CB8" w14:textId="77777777" w:rsidR="00D61553" w:rsidRPr="008D4ED6" w:rsidRDefault="00D61553" w:rsidP="00D61553">
      <w:pPr>
        <w:pStyle w:val="Default"/>
        <w:rPr>
          <w:rFonts w:ascii="Times New Roman" w:hAnsi="Times New Roman" w:cs="Times New Roman"/>
          <w:strike/>
          <w:sz w:val="22"/>
          <w:szCs w:val="22"/>
        </w:rPr>
      </w:pPr>
      <w:r w:rsidRPr="008D4ED6">
        <w:rPr>
          <w:rFonts w:ascii="Times New Roman" w:hAnsi="Times New Roman" w:cs="Times New Roman"/>
          <w:color w:val="FF0000"/>
          <w:sz w:val="22"/>
          <w:szCs w:val="22"/>
          <w:u w:val="single"/>
        </w:rPr>
        <w:t>Livskraftiga ekosystem bidrar till både samhällsekonomin och välfärden, exempelvis pollinatörer. Genom att restaurera skadade ekosystem stärks människors välbefinnande samtidigt som viktiga bidrag till bland annat</w:t>
      </w:r>
      <w:r w:rsidRPr="008D4ED6">
        <w:rPr>
          <w:color w:val="FF0000"/>
          <w:sz w:val="22"/>
          <w:szCs w:val="22"/>
          <w:u w:val="single"/>
        </w:rPr>
        <w:t xml:space="preserve"> </w:t>
      </w:r>
      <w:r w:rsidRPr="008D4ED6">
        <w:rPr>
          <w:rFonts w:ascii="Times New Roman" w:hAnsi="Times New Roman" w:cs="Times New Roman"/>
          <w:color w:val="FF0000"/>
          <w:sz w:val="22"/>
          <w:szCs w:val="22"/>
          <w:u w:val="single"/>
        </w:rPr>
        <w:t>klimatomställningen möjliggörs.</w:t>
      </w:r>
      <w:r w:rsidRPr="008D4ED6">
        <w:rPr>
          <w:rFonts w:ascii="Times New Roman" w:hAnsi="Times New Roman" w:cs="Times New Roman"/>
          <w:color w:val="FF0000"/>
          <w:sz w:val="22"/>
          <w:szCs w:val="22"/>
        </w:rPr>
        <w:t xml:space="preserve"> </w:t>
      </w:r>
      <w:r w:rsidRPr="008D4ED6">
        <w:rPr>
          <w:rFonts w:ascii="Times New Roman" w:hAnsi="Times New Roman" w:cs="Times New Roman"/>
          <w:sz w:val="22"/>
          <w:szCs w:val="22"/>
        </w:rPr>
        <w:t>,</w:t>
      </w:r>
      <w:r w:rsidRPr="008D4ED6">
        <w:rPr>
          <w:rFonts w:ascii="Times New Roman" w:hAnsi="Times New Roman" w:cs="Times New Roman"/>
          <w:strike/>
          <w:sz w:val="22"/>
          <w:szCs w:val="22"/>
        </w:rPr>
        <w:t xml:space="preserve">Ekosystemtjänsterna utgör en viktig grund </w:t>
      </w:r>
    </w:p>
    <w:p w14:paraId="4284AD70" w14:textId="77777777" w:rsidR="00D61553" w:rsidRPr="008D4ED6" w:rsidRDefault="00D61553" w:rsidP="00D61553">
      <w:pPr>
        <w:widowControl/>
        <w:autoSpaceDE w:val="0"/>
        <w:autoSpaceDN w:val="0"/>
        <w:adjustRightInd w:val="0"/>
        <w:rPr>
          <w:strike/>
          <w:color w:val="000000"/>
          <w:sz w:val="22"/>
          <w:szCs w:val="22"/>
          <w:u w:val="single"/>
        </w:rPr>
      </w:pPr>
      <w:r w:rsidRPr="008D4ED6">
        <w:rPr>
          <w:strike/>
          <w:color w:val="000000"/>
          <w:sz w:val="22"/>
          <w:szCs w:val="22"/>
        </w:rPr>
        <w:t xml:space="preserve">för samhällsekonomin och välfärden. Genom att restaurera skadade ekosystem stärks deras långsiktiga kapacitet att bidra med ekosystemtjänster som har en avgörande betydelse för människors välbefinnande. Regeringen anser att intensifierade åtgärder för att återställa natur och restaurera skadade ekosystem kan bidra till att säkerställa klimatanpassning, nå miljömålen samt för att EU ska kunna leva upp till sina internationella åtaganden kopplade till biologisk mångfald och relaterade globala mål inom Agenda 2030. </w:t>
      </w:r>
      <w:r w:rsidRPr="008D4ED6">
        <w:rPr>
          <w:strike/>
          <w:color w:val="000000"/>
          <w:sz w:val="22"/>
          <w:szCs w:val="22"/>
          <w:u w:val="single"/>
        </w:rPr>
        <w:t xml:space="preserve"> </w:t>
      </w:r>
    </w:p>
    <w:p w14:paraId="76FE7F6B" w14:textId="77777777" w:rsidR="00D61553" w:rsidRPr="008D4ED6" w:rsidRDefault="00D61553" w:rsidP="00D61553">
      <w:pPr>
        <w:widowControl/>
        <w:rPr>
          <w:color w:val="000000"/>
          <w:sz w:val="22"/>
          <w:szCs w:val="22"/>
          <w:u w:val="single"/>
        </w:rPr>
      </w:pPr>
    </w:p>
    <w:p w14:paraId="1C6B34FE" w14:textId="77777777" w:rsidR="00D61553" w:rsidRDefault="00D61553" w:rsidP="00D61553">
      <w:pPr>
        <w:widowControl/>
        <w:autoSpaceDE w:val="0"/>
        <w:autoSpaceDN w:val="0"/>
        <w:adjustRightInd w:val="0"/>
        <w:rPr>
          <w:color w:val="000000"/>
          <w:sz w:val="22"/>
          <w:szCs w:val="22"/>
        </w:rPr>
      </w:pPr>
      <w:r w:rsidRPr="008D4ED6">
        <w:rPr>
          <w:color w:val="000000"/>
          <w:sz w:val="22"/>
          <w:szCs w:val="22"/>
        </w:rPr>
        <w:t xml:space="preserve">Regeringen bedömer att delar av förslaget innebär betydande utmaningar. I flera fall kan det behövas mer tid än vad som föreslås för att vidta nödvändiga åtgärder. Andra delar bedöms bli svåra att nå oberoende av tidsaspekten. Regeringen kommer därför verka för att utformningen av kraven blir rimliga för svensk del samtidigt som behoven av restaurering av ekosystem, livsmiljöer och arter möts på EU-nivå och därmed det uppsatta syftet med lagstiftningen. Detta betyder att vissa mål i förordningen </w:t>
      </w:r>
      <w:r w:rsidRPr="008D4ED6">
        <w:rPr>
          <w:strike/>
          <w:color w:val="000000"/>
          <w:sz w:val="22"/>
          <w:szCs w:val="22"/>
        </w:rPr>
        <w:t>kan</w:t>
      </w:r>
      <w:r w:rsidRPr="008D4ED6">
        <w:rPr>
          <w:color w:val="000000"/>
          <w:sz w:val="22"/>
          <w:szCs w:val="22"/>
        </w:rPr>
        <w:t xml:space="preserve"> behöv</w:t>
      </w:r>
      <w:r w:rsidRPr="008D4ED6">
        <w:rPr>
          <w:color w:val="FF0000"/>
          <w:sz w:val="22"/>
          <w:szCs w:val="22"/>
        </w:rPr>
        <w:t>er</w:t>
      </w:r>
      <w:r w:rsidRPr="008D4ED6">
        <w:rPr>
          <w:strike/>
          <w:color w:val="000000"/>
          <w:sz w:val="22"/>
          <w:szCs w:val="22"/>
        </w:rPr>
        <w:t>a</w:t>
      </w:r>
      <w:r w:rsidRPr="008D4ED6">
        <w:rPr>
          <w:color w:val="000000"/>
          <w:sz w:val="22"/>
          <w:szCs w:val="22"/>
        </w:rPr>
        <w:t xml:space="preserve"> formuleras om. Även medlemsstaternas olika förutsättningar och bedömda kostnader behöver beaktas i utformningen av lagstiftningen. </w:t>
      </w:r>
    </w:p>
    <w:p w14:paraId="57DCB755" w14:textId="77777777" w:rsidR="00D61553" w:rsidRPr="008D4ED6" w:rsidRDefault="00D61553" w:rsidP="00D61553">
      <w:pPr>
        <w:widowControl/>
        <w:autoSpaceDE w:val="0"/>
        <w:autoSpaceDN w:val="0"/>
        <w:adjustRightInd w:val="0"/>
        <w:rPr>
          <w:color w:val="000000"/>
          <w:sz w:val="22"/>
          <w:szCs w:val="22"/>
        </w:rPr>
      </w:pPr>
    </w:p>
    <w:p w14:paraId="49722786" w14:textId="77777777" w:rsidR="00D61553" w:rsidRDefault="00D61553" w:rsidP="00D61553">
      <w:pPr>
        <w:widowControl/>
        <w:autoSpaceDE w:val="0"/>
        <w:autoSpaceDN w:val="0"/>
        <w:adjustRightInd w:val="0"/>
        <w:rPr>
          <w:color w:val="000000"/>
          <w:sz w:val="22"/>
          <w:szCs w:val="22"/>
        </w:rPr>
      </w:pPr>
      <w:r w:rsidRPr="008D4ED6">
        <w:rPr>
          <w:color w:val="000000"/>
          <w:sz w:val="22"/>
          <w:szCs w:val="22"/>
        </w:rPr>
        <w:t xml:space="preserve">Regeringen värnar det kommunala självstyret och det kommunala planmonopolet. Regeringen värnar också det nationella självbestämmandet i skogliga frågor och avser verka för att det slutliga regelverket är förenligt med detta och inte riskerar att kringskära möjligheterna att utforma en kostnadseffektiv nationell politik. </w:t>
      </w:r>
    </w:p>
    <w:p w14:paraId="3B630BE2" w14:textId="77777777" w:rsidR="00D61553" w:rsidRPr="008D4ED6" w:rsidRDefault="00D61553" w:rsidP="00D61553">
      <w:pPr>
        <w:widowControl/>
        <w:autoSpaceDE w:val="0"/>
        <w:autoSpaceDN w:val="0"/>
        <w:adjustRightInd w:val="0"/>
        <w:rPr>
          <w:color w:val="000000"/>
          <w:sz w:val="22"/>
          <w:szCs w:val="22"/>
        </w:rPr>
      </w:pPr>
    </w:p>
    <w:p w14:paraId="61CBAC86" w14:textId="77777777" w:rsidR="00D61553" w:rsidRDefault="00D61553" w:rsidP="00D61553">
      <w:pPr>
        <w:widowControl/>
        <w:autoSpaceDE w:val="0"/>
        <w:autoSpaceDN w:val="0"/>
        <w:adjustRightInd w:val="0"/>
        <w:rPr>
          <w:color w:val="000000"/>
          <w:sz w:val="22"/>
          <w:szCs w:val="22"/>
        </w:rPr>
      </w:pPr>
      <w:r w:rsidRPr="008D4ED6">
        <w:rPr>
          <w:color w:val="000000"/>
          <w:sz w:val="22"/>
          <w:szCs w:val="22"/>
        </w:rPr>
        <w:t xml:space="preserve">Regeringen anser vidare att livsmedelsstrategins övergripande mål ska nås. Ett konkurrenskraftigt jordbruk är en förutsättning för att kunna nå såväl livsmedelsstrategins som delar av restaureringslagstiftningens mål. Därför är det centralt att begränsa negativa konsekvenser för jordbrukssektorn och tillvarata de möjligheter till ökad hållbar jordbruksproduktion som ökad biologisk mångfald och klimatanpassning kan innebära samt aktivt verka för ökad produktion på annan mark. </w:t>
      </w:r>
    </w:p>
    <w:p w14:paraId="5DA67F33" w14:textId="77777777" w:rsidR="00D61553" w:rsidRDefault="00D61553" w:rsidP="00D61553">
      <w:pPr>
        <w:widowControl/>
        <w:autoSpaceDE w:val="0"/>
        <w:autoSpaceDN w:val="0"/>
        <w:adjustRightInd w:val="0"/>
        <w:rPr>
          <w:color w:val="000000"/>
          <w:sz w:val="22"/>
          <w:szCs w:val="22"/>
        </w:rPr>
      </w:pPr>
    </w:p>
    <w:p w14:paraId="576A9E4B" w14:textId="77777777" w:rsidR="00D61553" w:rsidRDefault="00D61553" w:rsidP="00D61553">
      <w:pPr>
        <w:widowControl/>
        <w:autoSpaceDE w:val="0"/>
        <w:autoSpaceDN w:val="0"/>
        <w:adjustRightInd w:val="0"/>
        <w:rPr>
          <w:color w:val="000000"/>
          <w:sz w:val="22"/>
          <w:szCs w:val="22"/>
        </w:rPr>
      </w:pPr>
      <w:r w:rsidRPr="000634C8">
        <w:rPr>
          <w:color w:val="000000"/>
          <w:sz w:val="22"/>
          <w:szCs w:val="22"/>
        </w:rPr>
        <w:t>Regeringen anser att tillgång till råmaterial är en förutsättning för att uppnå målen i gröna given och industristrategin. Gruvor är platsbundna verksamheter och tillståndsprocessen styrs i stor utsträckning av nationella regler. Regeringen avser därför verka för att det slutliga regelverket inte</w:t>
      </w:r>
      <w:r>
        <w:rPr>
          <w:color w:val="000000"/>
          <w:sz w:val="22"/>
          <w:szCs w:val="22"/>
        </w:rPr>
        <w:t xml:space="preserve"> </w:t>
      </w:r>
      <w:r w:rsidRPr="000634C8">
        <w:rPr>
          <w:color w:val="000000"/>
          <w:sz w:val="22"/>
          <w:szCs w:val="22"/>
        </w:rPr>
        <w:t>kringskär möjligheten att göra avvägningar mellan olika samhällsintressen vid prövning av gruvverksamheter.</w:t>
      </w:r>
    </w:p>
    <w:p w14:paraId="30478A20" w14:textId="77777777" w:rsidR="00D61553" w:rsidRDefault="00D61553" w:rsidP="00D61553">
      <w:pPr>
        <w:widowControl/>
        <w:autoSpaceDE w:val="0"/>
        <w:autoSpaceDN w:val="0"/>
        <w:adjustRightInd w:val="0"/>
        <w:rPr>
          <w:color w:val="000000"/>
          <w:sz w:val="22"/>
          <w:szCs w:val="22"/>
        </w:rPr>
      </w:pPr>
    </w:p>
    <w:p w14:paraId="438AB029" w14:textId="77777777" w:rsidR="00D61553" w:rsidRDefault="00D61553" w:rsidP="00D61553">
      <w:pPr>
        <w:widowControl/>
        <w:autoSpaceDE w:val="0"/>
        <w:autoSpaceDN w:val="0"/>
        <w:adjustRightInd w:val="0"/>
        <w:rPr>
          <w:color w:val="000000"/>
          <w:sz w:val="22"/>
          <w:szCs w:val="22"/>
        </w:rPr>
      </w:pPr>
      <w:r w:rsidRPr="006B0FED">
        <w:rPr>
          <w:color w:val="000000"/>
          <w:sz w:val="22"/>
          <w:szCs w:val="22"/>
        </w:rPr>
        <w:t>Förslaget knyter an till och överlappar delvis befintlig lagstiftning och andra lagstiftningsförslag inom EU. Regeringen anser att det är viktigt att det tydliggörs hur de olika lagstiftningarna förhåller sig till varandra och att dubbelreglering undviks. Regeringen anser att det är särskilt viktigt att förslaget utformas på ett sätt som möjliggör, och inte försvårar, en ökning av kolsänkan samt ett aktivt och hållbart skogsbruk som kan leverera hållbart producerad biomassa som ersätter fossilbaserade produkter och energi.</w:t>
      </w:r>
    </w:p>
    <w:p w14:paraId="3A94FA20" w14:textId="77777777" w:rsidR="00D61553" w:rsidRPr="006B0FED" w:rsidRDefault="00D61553" w:rsidP="00D61553">
      <w:pPr>
        <w:widowControl/>
        <w:autoSpaceDE w:val="0"/>
        <w:autoSpaceDN w:val="0"/>
        <w:adjustRightInd w:val="0"/>
        <w:rPr>
          <w:color w:val="000000"/>
          <w:sz w:val="22"/>
          <w:szCs w:val="22"/>
        </w:rPr>
      </w:pPr>
    </w:p>
    <w:p w14:paraId="004C6051" w14:textId="77777777" w:rsidR="00D61553" w:rsidRDefault="00D61553" w:rsidP="00D61553">
      <w:pPr>
        <w:widowControl/>
        <w:autoSpaceDE w:val="0"/>
        <w:autoSpaceDN w:val="0"/>
        <w:adjustRightInd w:val="0"/>
        <w:rPr>
          <w:color w:val="000000"/>
          <w:sz w:val="22"/>
          <w:szCs w:val="22"/>
        </w:rPr>
      </w:pPr>
      <w:r w:rsidRPr="006B0FED">
        <w:rPr>
          <w:color w:val="000000"/>
          <w:sz w:val="22"/>
          <w:szCs w:val="22"/>
        </w:rPr>
        <w:t>Regeringen anser att reglering av utsläpp och upptag av växthusgaser från markanvändning ska hanteras i LULUCF-förordningen. Vidare bör restaureringsförordningen inte utformas så att den begränsar medlemsstaternas handlingsutrymme när det gäller val av åtgärder för att nå målen i LULUCF eller innebär ytterligare reglering av utsläpp och upptag av växthusgaser. De föreslagna målen för kolinlagring i skogs- och jordbruksmark som återfinns i förslaget till restaureringsförordning bör därför strykas. Regeringen anser vidare att det är viktigt att regelverket utformas så att det inte försvårar bevarandet av eller byggande av ny samhällsviktig infrastruktur- och bostäder samt utbyggnad eller drift och underhåll av fossilfri energiproduktion och elnät samt utvinning av samhällsviktiga råmaterial.</w:t>
      </w:r>
    </w:p>
    <w:p w14:paraId="0D17A9DE" w14:textId="77777777" w:rsidR="00D61553" w:rsidRPr="006B0FED" w:rsidRDefault="00D61553" w:rsidP="00D61553">
      <w:pPr>
        <w:widowControl/>
        <w:autoSpaceDE w:val="0"/>
        <w:autoSpaceDN w:val="0"/>
        <w:adjustRightInd w:val="0"/>
        <w:rPr>
          <w:color w:val="000000"/>
          <w:sz w:val="22"/>
          <w:szCs w:val="22"/>
        </w:rPr>
      </w:pPr>
    </w:p>
    <w:p w14:paraId="5FDC6418" w14:textId="77777777" w:rsidR="00D61553" w:rsidRDefault="00D61553" w:rsidP="00D61553">
      <w:pPr>
        <w:widowControl/>
        <w:autoSpaceDE w:val="0"/>
        <w:autoSpaceDN w:val="0"/>
        <w:adjustRightInd w:val="0"/>
        <w:rPr>
          <w:color w:val="000000"/>
          <w:sz w:val="22"/>
          <w:szCs w:val="22"/>
        </w:rPr>
      </w:pPr>
      <w:r w:rsidRPr="006B0FED">
        <w:rPr>
          <w:color w:val="000000"/>
          <w:sz w:val="22"/>
          <w:szCs w:val="22"/>
        </w:rPr>
        <w:t>Sveriges försvarsförmåga måste öka och upprustningen måste ske i snabbare takt. Detta kommer medföra ett ökat behov av militär övningsverksamhet. Det är därför viktigt att förslaget inte försvårar pågående kapacitetsuppbyggnad inom totalförsvaret.</w:t>
      </w:r>
    </w:p>
    <w:p w14:paraId="24F8C8A6" w14:textId="77777777" w:rsidR="00D61553" w:rsidRDefault="00D61553" w:rsidP="00D61553">
      <w:pPr>
        <w:widowControl/>
        <w:autoSpaceDE w:val="0"/>
        <w:autoSpaceDN w:val="0"/>
        <w:adjustRightInd w:val="0"/>
        <w:rPr>
          <w:color w:val="000000"/>
          <w:sz w:val="22"/>
          <w:szCs w:val="22"/>
        </w:rPr>
      </w:pPr>
    </w:p>
    <w:p w14:paraId="77364DFC" w14:textId="77777777" w:rsidR="00D61553" w:rsidRDefault="00D61553" w:rsidP="00D61553">
      <w:pPr>
        <w:widowControl/>
        <w:autoSpaceDE w:val="0"/>
        <w:autoSpaceDN w:val="0"/>
        <w:adjustRightInd w:val="0"/>
        <w:rPr>
          <w:color w:val="000000"/>
          <w:sz w:val="22"/>
          <w:szCs w:val="22"/>
        </w:rPr>
      </w:pPr>
      <w:r w:rsidRPr="008D4ED6">
        <w:rPr>
          <w:color w:val="000000"/>
          <w:sz w:val="22"/>
          <w:szCs w:val="22"/>
        </w:rPr>
        <w:t>Med hänsyn till att förslaget kommer att förhandlas under Sveriges ordförandeskap i rådet under våren 2023 avser regeringen avstå från att framföra svensk ståndpunkt på rådsmötet.</w:t>
      </w:r>
    </w:p>
    <w:p w14:paraId="795AB9E6" w14:textId="77777777" w:rsidR="00D61553" w:rsidRPr="008D4ED6" w:rsidRDefault="00D61553" w:rsidP="00D61553">
      <w:pPr>
        <w:widowControl/>
        <w:autoSpaceDE w:val="0"/>
        <w:autoSpaceDN w:val="0"/>
        <w:adjustRightInd w:val="0"/>
        <w:rPr>
          <w:color w:val="000000"/>
          <w:sz w:val="22"/>
          <w:szCs w:val="22"/>
        </w:rPr>
      </w:pPr>
    </w:p>
    <w:p w14:paraId="289AA86A" w14:textId="77777777" w:rsidR="00D61553" w:rsidRDefault="00D61553" w:rsidP="00D61553">
      <w:pPr>
        <w:widowControl/>
        <w:rPr>
          <w:bCs/>
          <w:sz w:val="22"/>
          <w:szCs w:val="22"/>
        </w:rPr>
      </w:pPr>
      <w:r>
        <w:rPr>
          <w:bCs/>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D61553" w:rsidRPr="008D4ED6" w14:paraId="0DC84124" w14:textId="77777777" w:rsidTr="004D1C92">
        <w:tc>
          <w:tcPr>
            <w:tcW w:w="6532" w:type="dxa"/>
          </w:tcPr>
          <w:p w14:paraId="503BA7B9" w14:textId="77777777" w:rsidR="00D61553" w:rsidRPr="008D4ED6" w:rsidRDefault="00D61553" w:rsidP="004D1C92">
            <w:pPr>
              <w:tabs>
                <w:tab w:val="left" w:pos="1276"/>
              </w:tabs>
              <w:rPr>
                <w:sz w:val="22"/>
                <w:szCs w:val="22"/>
              </w:rPr>
            </w:pPr>
            <w:r w:rsidRPr="008D4ED6">
              <w:rPr>
                <w:bCs/>
                <w:sz w:val="22"/>
                <w:szCs w:val="22"/>
              </w:rPr>
              <w:lastRenderedPageBreak/>
              <w:br w:type="page"/>
            </w:r>
            <w:r w:rsidRPr="008D4ED6">
              <w:rPr>
                <w:sz w:val="22"/>
                <w:szCs w:val="22"/>
              </w:rPr>
              <w:br w:type="page"/>
              <w:t>MILJÖ- OCH JORDBRUKSUTSKOTTET</w:t>
            </w:r>
          </w:p>
        </w:tc>
        <w:tc>
          <w:tcPr>
            <w:tcW w:w="2206" w:type="dxa"/>
          </w:tcPr>
          <w:p w14:paraId="1B9E4D69" w14:textId="77777777" w:rsidR="00D61553" w:rsidRPr="008D4ED6" w:rsidRDefault="00D61553" w:rsidP="004D1C92">
            <w:pPr>
              <w:tabs>
                <w:tab w:val="left" w:pos="1276"/>
              </w:tabs>
              <w:rPr>
                <w:sz w:val="22"/>
                <w:szCs w:val="22"/>
              </w:rPr>
            </w:pPr>
          </w:p>
        </w:tc>
        <w:tc>
          <w:tcPr>
            <w:tcW w:w="2036" w:type="dxa"/>
          </w:tcPr>
          <w:p w14:paraId="230C6986" w14:textId="77777777" w:rsidR="00D61553" w:rsidRPr="008D4ED6" w:rsidRDefault="00D61553" w:rsidP="004D1C92">
            <w:pPr>
              <w:tabs>
                <w:tab w:val="left" w:pos="1276"/>
              </w:tabs>
              <w:ind w:right="-212"/>
              <w:rPr>
                <w:b/>
                <w:sz w:val="22"/>
                <w:szCs w:val="22"/>
              </w:rPr>
            </w:pPr>
            <w:r w:rsidRPr="008D4ED6">
              <w:rPr>
                <w:b/>
                <w:sz w:val="22"/>
                <w:szCs w:val="22"/>
              </w:rPr>
              <w:t>Bilaga 3</w:t>
            </w:r>
          </w:p>
          <w:p w14:paraId="2E38EBE2" w14:textId="77777777" w:rsidR="00D61553" w:rsidRPr="008D4ED6" w:rsidRDefault="00D61553" w:rsidP="004D1C92">
            <w:pPr>
              <w:tabs>
                <w:tab w:val="left" w:pos="1276"/>
              </w:tabs>
              <w:ind w:right="-212"/>
              <w:rPr>
                <w:sz w:val="22"/>
                <w:szCs w:val="22"/>
              </w:rPr>
            </w:pPr>
            <w:r w:rsidRPr="008D4ED6">
              <w:rPr>
                <w:sz w:val="22"/>
                <w:szCs w:val="22"/>
              </w:rPr>
              <w:t>till protokoll</w:t>
            </w:r>
          </w:p>
          <w:p w14:paraId="58BE0B67" w14:textId="77777777" w:rsidR="00D61553" w:rsidRPr="008D4ED6" w:rsidRDefault="00D61553" w:rsidP="004D1C92">
            <w:pPr>
              <w:tabs>
                <w:tab w:val="left" w:pos="1276"/>
              </w:tabs>
              <w:ind w:right="-212"/>
              <w:rPr>
                <w:b/>
                <w:sz w:val="22"/>
                <w:szCs w:val="22"/>
              </w:rPr>
            </w:pPr>
            <w:r w:rsidRPr="008D4ED6">
              <w:rPr>
                <w:sz w:val="22"/>
                <w:szCs w:val="22"/>
              </w:rPr>
              <w:t>2022/23:18</w:t>
            </w:r>
          </w:p>
        </w:tc>
      </w:tr>
    </w:tbl>
    <w:p w14:paraId="5677C9EF" w14:textId="77777777" w:rsidR="00D61553" w:rsidRPr="008D4ED6" w:rsidRDefault="00D61553" w:rsidP="00D61553">
      <w:pPr>
        <w:rPr>
          <w:b/>
          <w:bCs/>
          <w:sz w:val="22"/>
          <w:szCs w:val="22"/>
        </w:rPr>
      </w:pPr>
    </w:p>
    <w:p w14:paraId="4C8AB715" w14:textId="77777777" w:rsidR="00D61553" w:rsidRPr="008D4ED6" w:rsidRDefault="00D61553" w:rsidP="00D61553">
      <w:pPr>
        <w:rPr>
          <w:b/>
          <w:bCs/>
          <w:color w:val="000000"/>
          <w:sz w:val="22"/>
          <w:szCs w:val="22"/>
        </w:rPr>
      </w:pPr>
      <w:r w:rsidRPr="008D4ED6">
        <w:rPr>
          <w:b/>
          <w:bCs/>
          <w:color w:val="000000"/>
          <w:sz w:val="22"/>
          <w:szCs w:val="22"/>
        </w:rPr>
        <w:t xml:space="preserve">Kommissionens </w:t>
      </w:r>
      <w:r w:rsidRPr="008D4ED6">
        <w:rPr>
          <w:b/>
          <w:bCs/>
          <w:sz w:val="22"/>
          <w:szCs w:val="22"/>
        </w:rPr>
        <w:t>förslag till Europaparlamentets och rådets förordning om restaurering av natur</w:t>
      </w:r>
    </w:p>
    <w:p w14:paraId="009E71A1" w14:textId="77777777" w:rsidR="00D61553" w:rsidRPr="008D4ED6" w:rsidRDefault="00D61553" w:rsidP="00D61553">
      <w:pPr>
        <w:rPr>
          <w:b/>
          <w:bCs/>
          <w:color w:val="000000"/>
          <w:sz w:val="22"/>
          <w:szCs w:val="22"/>
        </w:rPr>
      </w:pPr>
    </w:p>
    <w:p w14:paraId="5979EE86" w14:textId="77777777" w:rsidR="00D61553" w:rsidRPr="008D4ED6" w:rsidRDefault="00D61553" w:rsidP="00D61553">
      <w:pPr>
        <w:rPr>
          <w:b/>
          <w:bCs/>
          <w:color w:val="000000"/>
          <w:sz w:val="22"/>
          <w:szCs w:val="22"/>
        </w:rPr>
      </w:pPr>
      <w:r w:rsidRPr="008D4ED6">
        <w:rPr>
          <w:b/>
          <w:bCs/>
          <w:color w:val="000000"/>
          <w:sz w:val="22"/>
          <w:szCs w:val="22"/>
        </w:rPr>
        <w:t>S-ledamöterna anmälde följande avvikande ståndpunkt:</w:t>
      </w:r>
    </w:p>
    <w:p w14:paraId="35C07DFF" w14:textId="77777777" w:rsidR="00D61553" w:rsidRDefault="00D61553" w:rsidP="00D61553">
      <w:pPr>
        <w:rPr>
          <w:color w:val="000000"/>
          <w:sz w:val="22"/>
          <w:szCs w:val="22"/>
        </w:rPr>
      </w:pPr>
      <w:r>
        <w:rPr>
          <w:color w:val="000000"/>
          <w:sz w:val="22"/>
          <w:szCs w:val="22"/>
        </w:rPr>
        <w:t>Socialdemokraterna vill att regeringens ståndpunkt från överläggningen den 27 oktober 2022 ska kvarstå i sin ursprungliga formulering, se nedan. Socialdemokraterna vill vidare att regeringen ska framföra sin ståndpunkt på rådsmötet.</w:t>
      </w:r>
    </w:p>
    <w:p w14:paraId="34AE737C" w14:textId="77777777" w:rsidR="00D61553" w:rsidRDefault="00D61553" w:rsidP="00D61553">
      <w:pPr>
        <w:rPr>
          <w:color w:val="000000"/>
          <w:sz w:val="22"/>
          <w:szCs w:val="22"/>
        </w:rPr>
      </w:pPr>
    </w:p>
    <w:p w14:paraId="23911957" w14:textId="77777777" w:rsidR="00D61553" w:rsidRDefault="00D61553" w:rsidP="00D61553">
      <w:pPr>
        <w:widowControl/>
        <w:autoSpaceDE w:val="0"/>
        <w:autoSpaceDN w:val="0"/>
        <w:adjustRightInd w:val="0"/>
        <w:rPr>
          <w:color w:val="000000"/>
          <w:sz w:val="22"/>
          <w:szCs w:val="22"/>
        </w:rPr>
      </w:pPr>
      <w:r>
        <w:rPr>
          <w:b/>
          <w:sz w:val="22"/>
          <w:szCs w:val="22"/>
        </w:rPr>
        <w:t>S</w:t>
      </w:r>
      <w:r w:rsidRPr="0070719B">
        <w:rPr>
          <w:b/>
          <w:sz w:val="22"/>
          <w:szCs w:val="22"/>
        </w:rPr>
        <w:t>vensk ståndpunkt</w:t>
      </w:r>
      <w:r>
        <w:rPr>
          <w:b/>
          <w:sz w:val="22"/>
          <w:szCs w:val="22"/>
        </w:rPr>
        <w:br/>
      </w:r>
      <w:r w:rsidRPr="00647E66">
        <w:rPr>
          <w:color w:val="000000"/>
          <w:sz w:val="22"/>
          <w:szCs w:val="22"/>
        </w:rPr>
        <w:t xml:space="preserve">Regeringen konstaterar att beslutet om EU:s strategi för biologisk mångfald för 2030 som antogs den 23 oktober 2020, innebär en ökad ambitionsnivå för skyddet av biologisk mångfald och restaurering av natur i unionen. Regeringen bedömer att det finns ett ökat behov av en kontinuerlig, långsiktig och uthållig återhämtning av biologisk mångfald och motståndskraftig natur inom unionens land- och havsområden genom restaurering av ekosystem, livsmiljöer och arter. </w:t>
      </w:r>
    </w:p>
    <w:p w14:paraId="1085E86A" w14:textId="77777777" w:rsidR="00D61553" w:rsidRPr="00647E66" w:rsidRDefault="00D61553" w:rsidP="00D61553">
      <w:pPr>
        <w:widowControl/>
        <w:autoSpaceDE w:val="0"/>
        <w:autoSpaceDN w:val="0"/>
        <w:adjustRightInd w:val="0"/>
        <w:rPr>
          <w:color w:val="000000"/>
          <w:sz w:val="22"/>
          <w:szCs w:val="22"/>
        </w:rPr>
      </w:pPr>
    </w:p>
    <w:p w14:paraId="7C31DAC2" w14:textId="77777777" w:rsidR="00D61553" w:rsidRDefault="00D61553" w:rsidP="00D61553">
      <w:pPr>
        <w:widowControl/>
        <w:autoSpaceDE w:val="0"/>
        <w:autoSpaceDN w:val="0"/>
        <w:adjustRightInd w:val="0"/>
        <w:rPr>
          <w:color w:val="000000"/>
          <w:sz w:val="22"/>
          <w:szCs w:val="22"/>
        </w:rPr>
      </w:pPr>
      <w:r w:rsidRPr="00647E66">
        <w:rPr>
          <w:color w:val="000000"/>
          <w:sz w:val="22"/>
          <w:szCs w:val="22"/>
        </w:rPr>
        <w:t xml:space="preserve">Ekosystemtjänsterna utgör en viktig grund för samhällsekonomin och välfärden. Genom att restaurera skadade ekosystem stärks deras långsiktiga kapacitet att bidra med ekosystemtjänster som har en avgörande betydelse för människors välbefinnande. Regeringen anser att intensifierade åtgärder för att återställa natur och restaurera skadade ekosystem kan bidra till att säkerställa klimatanpassning, nå miljömålen samt för att EU ska kunna leva upp till sina internationella åtaganden kopplade till biologisk mångfald och relaterade globala mål inom Agenda 2030. </w:t>
      </w:r>
    </w:p>
    <w:p w14:paraId="1FA243C8" w14:textId="77777777" w:rsidR="00D61553" w:rsidRPr="00647E66" w:rsidRDefault="00D61553" w:rsidP="00D61553">
      <w:pPr>
        <w:widowControl/>
        <w:autoSpaceDE w:val="0"/>
        <w:autoSpaceDN w:val="0"/>
        <w:adjustRightInd w:val="0"/>
        <w:rPr>
          <w:color w:val="000000"/>
          <w:sz w:val="22"/>
          <w:szCs w:val="22"/>
        </w:rPr>
      </w:pPr>
    </w:p>
    <w:p w14:paraId="2F0F1A83" w14:textId="77777777" w:rsidR="00D61553" w:rsidRDefault="00D61553" w:rsidP="00D61553">
      <w:pPr>
        <w:widowControl/>
        <w:autoSpaceDE w:val="0"/>
        <w:autoSpaceDN w:val="0"/>
        <w:adjustRightInd w:val="0"/>
        <w:rPr>
          <w:color w:val="000000"/>
          <w:sz w:val="22"/>
          <w:szCs w:val="22"/>
        </w:rPr>
      </w:pPr>
      <w:r w:rsidRPr="00647E66">
        <w:rPr>
          <w:color w:val="000000"/>
          <w:sz w:val="22"/>
          <w:szCs w:val="22"/>
        </w:rPr>
        <w:t xml:space="preserve">Regeringen bedömer att delar av förslaget innebär betydande utmaningar. I flera fall kan det behövas mer tid än vad som föreslås för att vidta nödvändiga åtgärder. Andra delar bedöms bli svåra att nå oberoende av tidsaspekten. Regeringen kommer därför verka för att utformningen av kraven blir rimliga för svensk del samtidigt som behoven av restaurering av ekosystem, livsmiljöer och arter möts på EU-nivå och därmed det uppsatta syftet med lagstiftningen. Detta betyder att vissa mål i förordningen kan behöva formuleras om. Även medlemsstaternas olika förutsättningar och bedömda kostnader behöver beaktas i utformningen av lagstiftningen. </w:t>
      </w:r>
    </w:p>
    <w:p w14:paraId="7178D8AC" w14:textId="77777777" w:rsidR="00D61553" w:rsidRPr="00647E66" w:rsidRDefault="00D61553" w:rsidP="00D61553">
      <w:pPr>
        <w:widowControl/>
        <w:autoSpaceDE w:val="0"/>
        <w:autoSpaceDN w:val="0"/>
        <w:adjustRightInd w:val="0"/>
        <w:rPr>
          <w:color w:val="000000"/>
          <w:sz w:val="22"/>
          <w:szCs w:val="22"/>
        </w:rPr>
      </w:pPr>
    </w:p>
    <w:p w14:paraId="441D2A75" w14:textId="77777777" w:rsidR="00D61553" w:rsidRDefault="00D61553" w:rsidP="00D61553">
      <w:pPr>
        <w:widowControl/>
        <w:autoSpaceDE w:val="0"/>
        <w:autoSpaceDN w:val="0"/>
        <w:adjustRightInd w:val="0"/>
        <w:rPr>
          <w:rFonts w:ascii="Garamond" w:hAnsi="Garamond" w:cs="Garamond"/>
          <w:color w:val="000000"/>
          <w:sz w:val="25"/>
          <w:szCs w:val="25"/>
        </w:rPr>
      </w:pPr>
      <w:r w:rsidRPr="00647E66">
        <w:rPr>
          <w:color w:val="000000"/>
          <w:sz w:val="22"/>
          <w:szCs w:val="22"/>
        </w:rPr>
        <w:t>Regeringen värnar det kommunala självstyret och det kommunala planmonopolet. Regeringen värnar också det nationella självbestämmandet i skogliga frågor och avser verka för att det slutliga regelverket är förenligt med detta och inte riskerar att kringskära möjligheterna att utforma en kostnadseffektiv nationell politik.</w:t>
      </w:r>
      <w:r w:rsidRPr="00647E66">
        <w:rPr>
          <w:rFonts w:ascii="Garamond" w:hAnsi="Garamond" w:cs="Garamond"/>
          <w:color w:val="000000"/>
          <w:sz w:val="25"/>
          <w:szCs w:val="25"/>
        </w:rPr>
        <w:t xml:space="preserve"> </w:t>
      </w:r>
    </w:p>
    <w:p w14:paraId="2DF29A9B" w14:textId="77777777" w:rsidR="00D61553" w:rsidRDefault="00D61553" w:rsidP="00D61553">
      <w:pPr>
        <w:widowControl/>
        <w:autoSpaceDE w:val="0"/>
        <w:autoSpaceDN w:val="0"/>
        <w:adjustRightInd w:val="0"/>
        <w:rPr>
          <w:rFonts w:ascii="Garamond" w:hAnsi="Garamond" w:cs="Garamond"/>
          <w:color w:val="000000"/>
          <w:sz w:val="25"/>
          <w:szCs w:val="25"/>
        </w:rPr>
      </w:pPr>
    </w:p>
    <w:p w14:paraId="4F21E674" w14:textId="77777777" w:rsidR="00D61553" w:rsidRDefault="00D61553" w:rsidP="00D61553">
      <w:pPr>
        <w:widowControl/>
        <w:autoSpaceDE w:val="0"/>
        <w:autoSpaceDN w:val="0"/>
        <w:adjustRightInd w:val="0"/>
        <w:rPr>
          <w:bCs/>
          <w:sz w:val="22"/>
          <w:szCs w:val="22"/>
        </w:rPr>
      </w:pPr>
      <w:r w:rsidRPr="00647E66">
        <w:rPr>
          <w:bCs/>
          <w:sz w:val="22"/>
          <w:szCs w:val="22"/>
        </w:rPr>
        <w:t>Regeringen anser vidare att livsmedelsstrategins övergripande mål ska nås. Ett konkurrenskraftigt jordbruk är en förutsättning för att kunna nå såväl livsmedelsstrategins som delar av restaureringslagstiftningens mål. Därför är det centralt att begränsa negativa konsekvenser för jordbrukssektorn och tillvarata de möjligheter till ökad hållbar jordbruksproduktion som ökad biologisk mångfald och klimatanpassning kan innebära samt aktivt verka för ökad produktion på annan mark.</w:t>
      </w:r>
    </w:p>
    <w:p w14:paraId="6292C82E" w14:textId="77777777" w:rsidR="00D61553" w:rsidRPr="00647E66" w:rsidRDefault="00D61553" w:rsidP="00D61553">
      <w:pPr>
        <w:widowControl/>
        <w:autoSpaceDE w:val="0"/>
        <w:autoSpaceDN w:val="0"/>
        <w:adjustRightInd w:val="0"/>
        <w:rPr>
          <w:bCs/>
          <w:sz w:val="22"/>
          <w:szCs w:val="22"/>
        </w:rPr>
      </w:pPr>
    </w:p>
    <w:p w14:paraId="341676F6" w14:textId="77777777" w:rsidR="00D61553" w:rsidRDefault="00D61553" w:rsidP="00D61553">
      <w:pPr>
        <w:widowControl/>
        <w:autoSpaceDE w:val="0"/>
        <w:autoSpaceDN w:val="0"/>
        <w:adjustRightInd w:val="0"/>
        <w:rPr>
          <w:bCs/>
          <w:sz w:val="22"/>
          <w:szCs w:val="22"/>
        </w:rPr>
      </w:pPr>
      <w:r w:rsidRPr="00647E66">
        <w:rPr>
          <w:bCs/>
          <w:sz w:val="22"/>
          <w:szCs w:val="22"/>
        </w:rPr>
        <w:t>Regeringen anser att tillgång till råmaterial är en förutsättning för att uppnå målen i gröna given och industristrategin. Gruvor är platsbundna verksamheter och tillståndsprocessen styrs i stor utsträckning av nationella regler. Regeringen avser därför verka för att det slutliga regelverket inte kringskär möjligheten att göra avvägningar mellan olika samhällsintressen vid prövning av gruvverksamheter.</w:t>
      </w:r>
    </w:p>
    <w:p w14:paraId="5CDE8492" w14:textId="77777777" w:rsidR="00D61553" w:rsidRDefault="00D61553" w:rsidP="00D61553">
      <w:pPr>
        <w:widowControl/>
        <w:autoSpaceDE w:val="0"/>
        <w:autoSpaceDN w:val="0"/>
        <w:adjustRightInd w:val="0"/>
        <w:rPr>
          <w:bCs/>
          <w:sz w:val="22"/>
          <w:szCs w:val="22"/>
        </w:rPr>
      </w:pPr>
    </w:p>
    <w:p w14:paraId="5F90C0A2" w14:textId="77777777" w:rsidR="00D61553" w:rsidRDefault="00D61553" w:rsidP="00D61553">
      <w:pPr>
        <w:widowControl/>
        <w:autoSpaceDE w:val="0"/>
        <w:autoSpaceDN w:val="0"/>
        <w:adjustRightInd w:val="0"/>
        <w:rPr>
          <w:bCs/>
          <w:sz w:val="22"/>
          <w:szCs w:val="22"/>
        </w:rPr>
      </w:pPr>
      <w:r w:rsidRPr="00647E66">
        <w:rPr>
          <w:bCs/>
          <w:sz w:val="22"/>
          <w:szCs w:val="22"/>
        </w:rPr>
        <w:t xml:space="preserve">Förslaget knyter an till och överlappar delvis befintlig lagstiftning och andra lagstiftningsförslag inom EU. Regeringen anser att det är viktigt att det tydliggörs hur de olika lagstiftningarna förhåller sig till varandra och att dubbelreglering undviks. Regeringen anser att det är särskilt viktigt att förslaget utformas på ett sätt som möjliggör, och inte försvårar, en ökning av kolsänkan samt ett aktivt och hållbart skogsbruk som kan leverera hållbart producerad biomassa som ersätter fossilbaserade produkter och energi. </w:t>
      </w:r>
    </w:p>
    <w:p w14:paraId="4F3B00C2" w14:textId="77777777" w:rsidR="00D61553" w:rsidRDefault="00D61553" w:rsidP="00D61553">
      <w:pPr>
        <w:widowControl/>
        <w:autoSpaceDE w:val="0"/>
        <w:autoSpaceDN w:val="0"/>
        <w:adjustRightInd w:val="0"/>
        <w:rPr>
          <w:bCs/>
          <w:sz w:val="22"/>
          <w:szCs w:val="22"/>
        </w:rPr>
      </w:pPr>
    </w:p>
    <w:p w14:paraId="259900A0" w14:textId="77777777" w:rsidR="00D61553" w:rsidRDefault="00D61553" w:rsidP="00D61553">
      <w:pPr>
        <w:widowControl/>
        <w:autoSpaceDE w:val="0"/>
        <w:autoSpaceDN w:val="0"/>
        <w:adjustRightInd w:val="0"/>
        <w:rPr>
          <w:bCs/>
          <w:sz w:val="22"/>
          <w:szCs w:val="22"/>
        </w:rPr>
      </w:pPr>
      <w:r w:rsidRPr="00647E66">
        <w:rPr>
          <w:bCs/>
          <w:sz w:val="22"/>
          <w:szCs w:val="22"/>
        </w:rPr>
        <w:t xml:space="preserve">Regeringen anser att reglering av utsläpp och upptag av växthusgaser från markanvändning ska hanteras i LULUCF-förordningen. Vidare bör restaureringsförordningen inte utformas så att den </w:t>
      </w:r>
      <w:r>
        <w:rPr>
          <w:bCs/>
          <w:sz w:val="22"/>
          <w:szCs w:val="22"/>
        </w:rPr>
        <w:br/>
      </w:r>
      <w:r w:rsidRPr="00647E66">
        <w:rPr>
          <w:bCs/>
          <w:sz w:val="22"/>
          <w:szCs w:val="22"/>
        </w:rPr>
        <w:t xml:space="preserve">begränsar medlemsstaternas handlingsutrymme när det gäller val av åtgärder för att nå målen i LULUCF eller innebär ytterligare reglering av utsläpp och upptag av växthusgaser. De föreslagna målen för kolinlagring i skogs- och jordbruksmark som återfinns i förslaget till restaureringsförordning bör därför strykas. Regeringen anser vidare att det är viktigt att regelverket utformas så att det inte försvårar bevarandet </w:t>
      </w:r>
      <w:r w:rsidRPr="00647E66">
        <w:rPr>
          <w:bCs/>
          <w:sz w:val="22"/>
          <w:szCs w:val="22"/>
        </w:rPr>
        <w:lastRenderedPageBreak/>
        <w:t xml:space="preserve">av eller byggande av ny samhällsviktig infrastruktur- och bostäder samt utbyggnad eller drift och underhåll av fossilfri energiproduktion och elnät samt utvinning av samhällsviktiga råmaterial. </w:t>
      </w:r>
    </w:p>
    <w:p w14:paraId="79B9AE0C" w14:textId="77777777" w:rsidR="00D61553" w:rsidRPr="00647E66" w:rsidRDefault="00D61553" w:rsidP="00D61553">
      <w:pPr>
        <w:widowControl/>
        <w:autoSpaceDE w:val="0"/>
        <w:autoSpaceDN w:val="0"/>
        <w:adjustRightInd w:val="0"/>
        <w:rPr>
          <w:bCs/>
          <w:sz w:val="22"/>
          <w:szCs w:val="22"/>
        </w:rPr>
      </w:pPr>
    </w:p>
    <w:p w14:paraId="6356FDD7" w14:textId="77777777" w:rsidR="00D61553" w:rsidRDefault="00D61553" w:rsidP="00D61553">
      <w:pPr>
        <w:widowControl/>
        <w:autoSpaceDE w:val="0"/>
        <w:autoSpaceDN w:val="0"/>
        <w:adjustRightInd w:val="0"/>
        <w:rPr>
          <w:bCs/>
          <w:sz w:val="22"/>
          <w:szCs w:val="22"/>
        </w:rPr>
      </w:pPr>
      <w:r w:rsidRPr="00647E66">
        <w:rPr>
          <w:bCs/>
          <w:sz w:val="22"/>
          <w:szCs w:val="22"/>
        </w:rPr>
        <w:t xml:space="preserve">Sveriges försvarsförmåga måste öka och upprustningen måste ske i snabbare takt. Detta kommer medföra ett ökat behov av militär övningsverksamhet. Det är därför viktigt att förslaget inte försvårar pågående kapacitetsuppbyggnad inom totalförsvaret. </w:t>
      </w:r>
    </w:p>
    <w:p w14:paraId="1B550822" w14:textId="77777777" w:rsidR="00D61553" w:rsidRPr="00647E66" w:rsidRDefault="00D61553" w:rsidP="00D61553">
      <w:pPr>
        <w:widowControl/>
        <w:autoSpaceDE w:val="0"/>
        <w:autoSpaceDN w:val="0"/>
        <w:adjustRightInd w:val="0"/>
        <w:rPr>
          <w:bCs/>
          <w:sz w:val="22"/>
          <w:szCs w:val="22"/>
        </w:rPr>
      </w:pPr>
    </w:p>
    <w:p w14:paraId="2825D0D4" w14:textId="77777777" w:rsidR="00D61553" w:rsidRDefault="00D61553" w:rsidP="00D61553">
      <w:pPr>
        <w:rPr>
          <w:b/>
          <w:bCs/>
          <w:color w:val="000000"/>
          <w:sz w:val="22"/>
          <w:szCs w:val="22"/>
        </w:rPr>
      </w:pPr>
      <w:r w:rsidRPr="008D4ED6">
        <w:rPr>
          <w:b/>
          <w:bCs/>
          <w:color w:val="000000"/>
          <w:sz w:val="22"/>
          <w:szCs w:val="22"/>
        </w:rPr>
        <w:t xml:space="preserve">V-ledamoten </w:t>
      </w:r>
      <w:r>
        <w:rPr>
          <w:b/>
          <w:bCs/>
          <w:color w:val="000000"/>
          <w:sz w:val="22"/>
          <w:szCs w:val="22"/>
        </w:rPr>
        <w:t>vidhöll den</w:t>
      </w:r>
      <w:r w:rsidRPr="008D4ED6">
        <w:rPr>
          <w:b/>
          <w:bCs/>
          <w:color w:val="000000"/>
          <w:sz w:val="22"/>
          <w:szCs w:val="22"/>
        </w:rPr>
        <w:t xml:space="preserve"> avvikande ståndpunkt</w:t>
      </w:r>
      <w:r>
        <w:rPr>
          <w:b/>
          <w:bCs/>
          <w:color w:val="000000"/>
          <w:sz w:val="22"/>
          <w:szCs w:val="22"/>
        </w:rPr>
        <w:t xml:space="preserve"> som lämnades vid </w:t>
      </w:r>
      <w:r w:rsidRPr="006B0FED">
        <w:rPr>
          <w:b/>
          <w:bCs/>
          <w:color w:val="000000"/>
          <w:sz w:val="22"/>
          <w:szCs w:val="22"/>
        </w:rPr>
        <w:t xml:space="preserve">överläggningen den 27 oktober 2022 </w:t>
      </w:r>
    </w:p>
    <w:p w14:paraId="4DC90BA3" w14:textId="77777777" w:rsidR="00D61553" w:rsidRPr="008D4ED6" w:rsidRDefault="00D61553" w:rsidP="00D61553">
      <w:pPr>
        <w:rPr>
          <w:sz w:val="22"/>
          <w:szCs w:val="22"/>
        </w:rPr>
      </w:pPr>
      <w:r w:rsidRPr="008D4ED6">
        <w:rPr>
          <w:sz w:val="22"/>
          <w:szCs w:val="22"/>
        </w:rPr>
        <w:t>Vänsterpartiet välkomnar förslaget till förordning, som är ett stort framsteg i arbetet för att återställa natur och gynna både den biologiska mångfalden och klimatarbetet. Regeringens ståndpunkt innebär att förslaget i många delar skulle försvagas, vilket vi vänder oss emot. Regeringens hållning är att fokusera på risker för ökade kostnader för restaurering av natur. Vi vill istället se till möjligheterna och de positiva effekterna. Restaurering av ekosystem som torvmarker, skogar och havsgräsängar kan bidra till att minska utsläppen och binda miljontals ton kol varje år. Insatserna skulle också bidra stort till klimatanpassning genom att öka vår motståndskraft mot torka, översvämningar och andra extrema väderförhållanden. Kommissionen bedömer att investeringar i restaurering av natur ger 8–38 euro i ekonomiskt värde för varje euro som spenderas, detta tack vare stärkande av ekosystemtjänster som gynnar livsmedelstrygghet, ekosystemens motståndskraft och människors hälsa. Till skillnad från regeringen ser vi restaurering av natur som en förutsättning för biologisk mångfald, livsmedels-säkerhet, hållbart skogsbruk och effektiv klimatomställning. Vår hållning är att förslaget till förordning snarare bör skärpas än försvagas.</w:t>
      </w:r>
    </w:p>
    <w:p w14:paraId="34D05604" w14:textId="77777777" w:rsidR="00D61553" w:rsidRPr="008D4ED6" w:rsidRDefault="00D61553" w:rsidP="00D61553">
      <w:pPr>
        <w:rPr>
          <w:b/>
          <w:bCs/>
          <w:color w:val="000000"/>
          <w:sz w:val="22"/>
          <w:szCs w:val="22"/>
        </w:rPr>
      </w:pPr>
    </w:p>
    <w:p w14:paraId="37809D36" w14:textId="77777777" w:rsidR="00D61553" w:rsidRPr="008D4ED6" w:rsidRDefault="00D61553" w:rsidP="00D61553">
      <w:pPr>
        <w:rPr>
          <w:b/>
          <w:bCs/>
          <w:color w:val="000000"/>
          <w:sz w:val="22"/>
          <w:szCs w:val="22"/>
        </w:rPr>
      </w:pPr>
      <w:r w:rsidRPr="008D4ED6">
        <w:rPr>
          <w:b/>
          <w:bCs/>
          <w:color w:val="000000"/>
          <w:sz w:val="22"/>
          <w:szCs w:val="22"/>
        </w:rPr>
        <w:t>C-ledamoten anmälde följande avvikande ståndpunkt:</w:t>
      </w:r>
    </w:p>
    <w:p w14:paraId="5C1BFE93" w14:textId="77777777" w:rsidR="00D61553" w:rsidRPr="006B0FED" w:rsidRDefault="00D61553" w:rsidP="00D61553">
      <w:pPr>
        <w:rPr>
          <w:color w:val="000000"/>
          <w:sz w:val="22"/>
          <w:szCs w:val="22"/>
        </w:rPr>
      </w:pPr>
      <w:r w:rsidRPr="006B0FED">
        <w:rPr>
          <w:color w:val="000000"/>
          <w:sz w:val="22"/>
          <w:szCs w:val="22"/>
        </w:rPr>
        <w:t xml:space="preserve">Centerpartiet vill att </w:t>
      </w:r>
      <w:r>
        <w:rPr>
          <w:color w:val="000000"/>
          <w:sz w:val="22"/>
          <w:szCs w:val="22"/>
        </w:rPr>
        <w:t xml:space="preserve">regeringen ska framföra sin ståndpunkt på rådsmötet. </w:t>
      </w:r>
    </w:p>
    <w:p w14:paraId="39024510" w14:textId="77777777" w:rsidR="00D61553" w:rsidRPr="008D4ED6" w:rsidRDefault="00D61553" w:rsidP="00D61553">
      <w:pPr>
        <w:rPr>
          <w:color w:val="000000"/>
          <w:sz w:val="22"/>
          <w:szCs w:val="22"/>
        </w:rPr>
      </w:pPr>
    </w:p>
    <w:p w14:paraId="272053BA" w14:textId="77777777" w:rsidR="00D61553" w:rsidRPr="008D4ED6" w:rsidRDefault="00D61553" w:rsidP="00D61553">
      <w:pPr>
        <w:rPr>
          <w:color w:val="000000"/>
          <w:sz w:val="22"/>
          <w:szCs w:val="22"/>
        </w:rPr>
      </w:pPr>
      <w:r w:rsidRPr="008D4ED6">
        <w:rPr>
          <w:b/>
          <w:bCs/>
          <w:color w:val="000000"/>
          <w:sz w:val="22"/>
          <w:szCs w:val="22"/>
        </w:rPr>
        <w:t>MP-ledamoten anmälde följande avvikande ståndpunkt:</w:t>
      </w:r>
      <w:r w:rsidRPr="008D4ED6">
        <w:rPr>
          <w:color w:val="000000"/>
          <w:sz w:val="22"/>
          <w:szCs w:val="22"/>
        </w:rPr>
        <w:br/>
        <w:t>Miljöpartiet anser att regeringen på ett oacceptabelt sätt bromsar kommissionens förslag till förordning om restaurering av natur. Förslaget bör i stället starkt välkomnas, det är avgörande för en kontinuerlig och långsiktig återhämtning av biologiskt rik och motståndskraftig natur i hela unionen, för klimatanpassning och kolinlagring, för livsmedelssäkerhet, rekreationsmöjligheter och för människors hälsa. Genom att driva denna linje kommer Sverige bromsa inte bara vårt nationella miljö- och klimatarbete, utan hela unionens miljö- och klimatarbete. Sedan den tidigare överläggningen har den svenska ståndpunkten försämrats. Vi menar att det är av största vikt att fortsatt betona ekosystemens vikt och roll för våra samhällen.  Att stryka nedanstående stycke försämrar den nuvarande svenska ståndpunkten ytterligare och vi anser att den ska vara med.</w:t>
      </w:r>
    </w:p>
    <w:p w14:paraId="1E38C30A" w14:textId="77777777" w:rsidR="00D61553" w:rsidRPr="008D4ED6" w:rsidRDefault="00D61553" w:rsidP="00D61553">
      <w:pPr>
        <w:rPr>
          <w:color w:val="000000"/>
          <w:sz w:val="22"/>
          <w:szCs w:val="22"/>
        </w:rPr>
      </w:pPr>
    </w:p>
    <w:p w14:paraId="029F2084" w14:textId="77777777" w:rsidR="00D61553" w:rsidRPr="008D4ED6" w:rsidRDefault="00D61553" w:rsidP="00D61553">
      <w:pPr>
        <w:rPr>
          <w:color w:val="000000"/>
          <w:sz w:val="22"/>
          <w:szCs w:val="22"/>
        </w:rPr>
      </w:pPr>
      <w:r w:rsidRPr="008D4ED6">
        <w:rPr>
          <w:color w:val="000000"/>
          <w:sz w:val="22"/>
          <w:szCs w:val="22"/>
        </w:rPr>
        <w:t>”Ekosystemtjänsterna utgör en viktig grund för samhällsekonomin och välfärden. Genom att restaurera skadade ekosystem stärks deras långsiktiga kapacitet att bidra med ekosystemtjänster som har en avgörande betydelse för människors välbefinnande. Intensifierade åtgärder för att återställa natur och restaurera skadade ekosystem kan bidra till att säkerställa klimatanpassning, nå miljömålen samt för att EU ska kunna leva upp till sina internationella åtaganden kopplade till biologisk mångfald och relaterade globala mål inom Agenda 2030.”</w:t>
      </w:r>
    </w:p>
    <w:p w14:paraId="2DAF1F2D" w14:textId="77777777" w:rsidR="00D61553" w:rsidRPr="008D4ED6" w:rsidRDefault="00D61553" w:rsidP="00D61553">
      <w:pPr>
        <w:rPr>
          <w:color w:val="000000"/>
          <w:sz w:val="22"/>
          <w:szCs w:val="22"/>
        </w:rPr>
      </w:pPr>
    </w:p>
    <w:p w14:paraId="324BD62C" w14:textId="77777777" w:rsidR="00D61553" w:rsidRPr="008D4ED6" w:rsidRDefault="00D61553" w:rsidP="00D61553">
      <w:pPr>
        <w:rPr>
          <w:color w:val="000000"/>
          <w:sz w:val="22"/>
          <w:szCs w:val="22"/>
        </w:rPr>
      </w:pPr>
      <w:r w:rsidRPr="008D4ED6">
        <w:rPr>
          <w:color w:val="000000"/>
          <w:sz w:val="22"/>
          <w:szCs w:val="22"/>
        </w:rPr>
        <w:t xml:space="preserve">Regeringen bromsar förslag som kan påverka skogsförvaltningen, istället för att verka för en förändring av det traditionella trakthyggesbruket med höga avverkningsnivåer. Skogspolitiken är i många delar en del av miljö- och klimatpolitiken, som är gemensam EU-kompetens. </w:t>
      </w:r>
    </w:p>
    <w:p w14:paraId="226411C7" w14:textId="77777777" w:rsidR="00D61553" w:rsidRPr="008D4ED6" w:rsidRDefault="00D61553" w:rsidP="00D61553">
      <w:pPr>
        <w:rPr>
          <w:color w:val="000000"/>
          <w:sz w:val="22"/>
          <w:szCs w:val="22"/>
        </w:rPr>
      </w:pPr>
      <w:r w:rsidRPr="008D4ED6">
        <w:rPr>
          <w:color w:val="000000"/>
          <w:sz w:val="22"/>
          <w:szCs w:val="22"/>
        </w:rPr>
        <w:t>För att klara klimatkrisen behöver världens skogar i högre utsträckning betraktas som en gemensam, planetär resurs. EU måste vara en ledstjärna och ett lärande exempel för andra skogrika länder. Det handlar om världens regnskogar, om taigan, och om andra skogar. Om inte EU föregår med gott exempel, kan vi inte kräva av andra länder att göra det.</w:t>
      </w:r>
    </w:p>
    <w:p w14:paraId="740AD72E" w14:textId="77777777" w:rsidR="00D61553" w:rsidRPr="008D4ED6" w:rsidRDefault="00D61553" w:rsidP="00D61553">
      <w:pPr>
        <w:rPr>
          <w:color w:val="000000"/>
          <w:sz w:val="22"/>
          <w:szCs w:val="22"/>
        </w:rPr>
      </w:pPr>
    </w:p>
    <w:p w14:paraId="5EEE0262" w14:textId="77777777" w:rsidR="00D61553" w:rsidRPr="008D4ED6" w:rsidRDefault="00D61553" w:rsidP="00D61553">
      <w:pPr>
        <w:rPr>
          <w:color w:val="000000"/>
          <w:sz w:val="22"/>
          <w:szCs w:val="22"/>
        </w:rPr>
      </w:pPr>
      <w:r w:rsidRPr="008D4ED6">
        <w:rPr>
          <w:color w:val="000000"/>
          <w:sz w:val="22"/>
          <w:szCs w:val="22"/>
        </w:rPr>
        <w:t xml:space="preserve">För en stark lagstiftning med potential att få en effekt i den skala som krävs kommer målkonflikter med annan samhällsverksamhet i vissa fall att uppstå, det är själva poängen med lagstiftningen. Regeringen vill skapa kryphål för att undkomma dessa målkonflikter, exempelvis genom att betona vikten av allmänna intressen, och verka för ”rimliga restaureringsmål” genom översyn av nivåerna för referensareal, istället för att erkänna att behoven av starka ekosystem bör prioriteras. </w:t>
      </w:r>
    </w:p>
    <w:p w14:paraId="6BDE6169" w14:textId="77777777" w:rsidR="00D61553" w:rsidRPr="008D4ED6" w:rsidRDefault="00D61553" w:rsidP="00D61553">
      <w:pPr>
        <w:rPr>
          <w:color w:val="000000"/>
          <w:sz w:val="22"/>
          <w:szCs w:val="22"/>
        </w:rPr>
      </w:pPr>
    </w:p>
    <w:p w14:paraId="4D4BE3FE" w14:textId="77777777" w:rsidR="00D61553" w:rsidRPr="008D4ED6" w:rsidRDefault="00D61553" w:rsidP="00D61553">
      <w:pPr>
        <w:rPr>
          <w:color w:val="000000"/>
          <w:sz w:val="22"/>
          <w:szCs w:val="22"/>
        </w:rPr>
      </w:pPr>
      <w:r w:rsidRPr="008D4ED6">
        <w:rPr>
          <w:color w:val="000000"/>
          <w:sz w:val="22"/>
          <w:szCs w:val="22"/>
        </w:rPr>
        <w:t>Regelverk för grönska i städer bör välkomnas, inte bromsas.</w:t>
      </w:r>
    </w:p>
    <w:p w14:paraId="73766202" w14:textId="77777777" w:rsidR="00D61553" w:rsidRPr="008D4ED6" w:rsidRDefault="00D61553" w:rsidP="00D61553">
      <w:pPr>
        <w:rPr>
          <w:color w:val="000000"/>
          <w:sz w:val="22"/>
          <w:szCs w:val="22"/>
        </w:rPr>
      </w:pPr>
    </w:p>
    <w:p w14:paraId="1F9AE5A8" w14:textId="77777777" w:rsidR="00D61553" w:rsidRPr="008D4ED6" w:rsidRDefault="00D61553" w:rsidP="00D61553">
      <w:pPr>
        <w:rPr>
          <w:color w:val="000000"/>
          <w:sz w:val="22"/>
          <w:szCs w:val="22"/>
        </w:rPr>
      </w:pPr>
      <w:r w:rsidRPr="008D4ED6">
        <w:rPr>
          <w:color w:val="000000"/>
          <w:sz w:val="22"/>
          <w:szCs w:val="22"/>
        </w:rPr>
        <w:t xml:space="preserve">Ambitionsnivån för restaurering av torvmarker bör vara högt satt, vilket regeringen bör välkomna istället för </w:t>
      </w:r>
      <w:r w:rsidRPr="008D4ED6">
        <w:rPr>
          <w:color w:val="000000"/>
          <w:sz w:val="22"/>
          <w:szCs w:val="22"/>
        </w:rPr>
        <w:lastRenderedPageBreak/>
        <w:t>ifrågasätta, även när det gäller delar av jordbrukslandskapets dikade mulljordar. Återvätning generellt är en nyckelåtgärd för ökade kolsänkor, som i som tur är en nyckelåtgärd för att EU som helhet ska leva upp till 1,5-graders gränserna i Parisavtalet. Förslaget bör också utvidgas till att omfatta annan mark än enbart jordbruksmark, som skogsbruk. Tidsramarna bör göras mer ambitiösa och arealmål för restaurering av torvmarker bör höjas.</w:t>
      </w:r>
    </w:p>
    <w:p w14:paraId="14692C7C" w14:textId="77777777" w:rsidR="00D61553" w:rsidRPr="008D4ED6" w:rsidRDefault="00D61553" w:rsidP="00D61553">
      <w:pPr>
        <w:rPr>
          <w:color w:val="000000"/>
          <w:sz w:val="22"/>
          <w:szCs w:val="22"/>
        </w:rPr>
      </w:pPr>
    </w:p>
    <w:p w14:paraId="21DC4B58" w14:textId="77777777" w:rsidR="00D61553" w:rsidRPr="008D4ED6" w:rsidRDefault="00D61553" w:rsidP="00D61553">
      <w:pPr>
        <w:rPr>
          <w:color w:val="000000"/>
          <w:sz w:val="22"/>
          <w:szCs w:val="22"/>
        </w:rPr>
      </w:pPr>
      <w:r w:rsidRPr="008D4ED6">
        <w:rPr>
          <w:color w:val="000000"/>
          <w:sz w:val="22"/>
          <w:szCs w:val="22"/>
        </w:rPr>
        <w:t>MP anser att Natura 2000-områden ska utgöra ett starkt skydd för alla typer av anläggningar och verksamheter utanför området som kan innebära en försämring av tillståndet för art- och habitatdirektivets naturtyper inom det skyddade området. Regeringen bör inte stryka denna del.</w:t>
      </w:r>
    </w:p>
    <w:p w14:paraId="1B432E96" w14:textId="77777777" w:rsidR="00D61553" w:rsidRPr="008D4ED6" w:rsidRDefault="00D61553" w:rsidP="00D61553">
      <w:pPr>
        <w:rPr>
          <w:color w:val="000000"/>
          <w:sz w:val="22"/>
          <w:szCs w:val="22"/>
        </w:rPr>
      </w:pPr>
    </w:p>
    <w:p w14:paraId="7B5EEC22" w14:textId="36C88A9D" w:rsidR="00D61553" w:rsidRDefault="00D61553" w:rsidP="00D61553">
      <w:pPr>
        <w:rPr>
          <w:color w:val="000000"/>
          <w:sz w:val="22"/>
          <w:szCs w:val="22"/>
        </w:rPr>
      </w:pPr>
      <w:r w:rsidRPr="008D4ED6">
        <w:rPr>
          <w:color w:val="000000"/>
          <w:sz w:val="22"/>
          <w:szCs w:val="22"/>
        </w:rPr>
        <w:t>MP anser att det är av stor vikt att rapportering och uppföljning är jämförbar och kvalitetssäkrad mellan medlemsstaterna och ser med oro på regeringens ingång att underdriva vikten av gemensamma, validerade system.</w:t>
      </w:r>
    </w:p>
    <w:p w14:paraId="467A6820" w14:textId="77777777" w:rsidR="00D61553" w:rsidRDefault="00D61553">
      <w:pPr>
        <w:widowControl/>
        <w:rPr>
          <w:color w:val="000000"/>
          <w:sz w:val="22"/>
          <w:szCs w:val="22"/>
        </w:rPr>
      </w:pPr>
      <w:r>
        <w:rPr>
          <w:color w:val="000000"/>
          <w:sz w:val="22"/>
          <w:szCs w:val="22"/>
        </w:rPr>
        <w:br w:type="page"/>
      </w:r>
    </w:p>
    <w:tbl>
      <w:tblPr>
        <w:tblW w:w="10779" w:type="dxa"/>
        <w:tblInd w:w="-709" w:type="dxa"/>
        <w:tblLayout w:type="fixed"/>
        <w:tblCellMar>
          <w:left w:w="70" w:type="dxa"/>
          <w:right w:w="70" w:type="dxa"/>
        </w:tblCellMar>
        <w:tblLook w:val="0000" w:firstRow="0" w:lastRow="0" w:firstColumn="0" w:lastColumn="0" w:noHBand="0" w:noVBand="0"/>
      </w:tblPr>
      <w:tblGrid>
        <w:gridCol w:w="1900"/>
        <w:gridCol w:w="4266"/>
        <w:gridCol w:w="1843"/>
        <w:gridCol w:w="1701"/>
        <w:gridCol w:w="992"/>
        <w:gridCol w:w="77"/>
      </w:tblGrid>
      <w:tr w:rsidR="00AF70B0" w:rsidRPr="00B40F4D" w14:paraId="35BD90B4" w14:textId="77777777" w:rsidTr="00035595">
        <w:trPr>
          <w:gridAfter w:val="2"/>
          <w:wAfter w:w="1069" w:type="dxa"/>
          <w:tblHeader/>
        </w:trPr>
        <w:tc>
          <w:tcPr>
            <w:tcW w:w="6166" w:type="dxa"/>
            <w:gridSpan w:val="2"/>
          </w:tcPr>
          <w:p w14:paraId="1A9AC5A3" w14:textId="69B9C669" w:rsidR="00AF70B0" w:rsidRPr="00B40F4D" w:rsidRDefault="00AF70B0" w:rsidP="00CA34AD">
            <w:pPr>
              <w:tabs>
                <w:tab w:val="left" w:pos="1276"/>
              </w:tabs>
              <w:rPr>
                <w:sz w:val="22"/>
                <w:szCs w:val="22"/>
              </w:rPr>
            </w:pPr>
            <w:bookmarkStart w:id="3" w:name="_Hlk73713493"/>
            <w:r w:rsidRPr="00B40F4D">
              <w:rPr>
                <w:sz w:val="22"/>
                <w:szCs w:val="22"/>
              </w:rPr>
              <w:lastRenderedPageBreak/>
              <w:t>MILJÖ- OCH JORDBRUKSUTSKOTTET</w:t>
            </w:r>
          </w:p>
        </w:tc>
        <w:tc>
          <w:tcPr>
            <w:tcW w:w="1843" w:type="dxa"/>
          </w:tcPr>
          <w:p w14:paraId="3E9CD0DC" w14:textId="77777777" w:rsidR="00AF70B0" w:rsidRPr="00B40F4D" w:rsidRDefault="00AF70B0" w:rsidP="00CA34AD">
            <w:pPr>
              <w:tabs>
                <w:tab w:val="left" w:pos="1276"/>
              </w:tabs>
              <w:rPr>
                <w:sz w:val="22"/>
                <w:szCs w:val="22"/>
              </w:rPr>
            </w:pPr>
          </w:p>
        </w:tc>
        <w:tc>
          <w:tcPr>
            <w:tcW w:w="1701" w:type="dxa"/>
          </w:tcPr>
          <w:p w14:paraId="21056F2D" w14:textId="448E2B63" w:rsidR="00AF70B0" w:rsidRPr="00D61553" w:rsidRDefault="00AF70B0" w:rsidP="00D61553">
            <w:pPr>
              <w:widowControl/>
              <w:rPr>
                <w:sz w:val="22"/>
                <w:szCs w:val="22"/>
              </w:rPr>
            </w:pPr>
            <w:r w:rsidRPr="00B40F4D">
              <w:rPr>
                <w:b/>
                <w:sz w:val="22"/>
                <w:szCs w:val="22"/>
              </w:rPr>
              <w:t>Bilaga</w:t>
            </w:r>
            <w:r w:rsidR="00D61553">
              <w:rPr>
                <w:sz w:val="22"/>
                <w:szCs w:val="22"/>
              </w:rPr>
              <w:t xml:space="preserve"> </w:t>
            </w:r>
            <w:r w:rsidR="00D61553">
              <w:rPr>
                <w:b/>
                <w:sz w:val="22"/>
                <w:szCs w:val="22"/>
              </w:rPr>
              <w:t>4</w:t>
            </w:r>
          </w:p>
          <w:p w14:paraId="6886D05C" w14:textId="77777777" w:rsidR="00AF70B0" w:rsidRPr="00B40F4D" w:rsidRDefault="00AF70B0" w:rsidP="00CA34AD">
            <w:pPr>
              <w:tabs>
                <w:tab w:val="left" w:pos="1276"/>
              </w:tabs>
              <w:ind w:right="-212"/>
              <w:rPr>
                <w:sz w:val="22"/>
                <w:szCs w:val="22"/>
              </w:rPr>
            </w:pPr>
            <w:r w:rsidRPr="00B40F4D">
              <w:rPr>
                <w:sz w:val="22"/>
                <w:szCs w:val="22"/>
              </w:rPr>
              <w:t>till protokoll</w:t>
            </w:r>
          </w:p>
          <w:p w14:paraId="41E1D190" w14:textId="77777777" w:rsidR="00AF70B0" w:rsidRDefault="00AF70B0" w:rsidP="00CA34AD">
            <w:pPr>
              <w:tabs>
                <w:tab w:val="left" w:pos="1276"/>
              </w:tabs>
              <w:ind w:right="-212"/>
              <w:rPr>
                <w:sz w:val="22"/>
                <w:szCs w:val="22"/>
              </w:rPr>
            </w:pPr>
            <w:r w:rsidRPr="00B40F4D">
              <w:rPr>
                <w:sz w:val="22"/>
                <w:szCs w:val="22"/>
              </w:rPr>
              <w:t>20</w:t>
            </w:r>
            <w:r>
              <w:rPr>
                <w:sz w:val="22"/>
                <w:szCs w:val="22"/>
              </w:rPr>
              <w:t>2</w:t>
            </w:r>
            <w:r w:rsidR="00BE333D">
              <w:rPr>
                <w:sz w:val="22"/>
                <w:szCs w:val="22"/>
              </w:rPr>
              <w:t>2</w:t>
            </w:r>
            <w:r w:rsidRPr="00B40F4D">
              <w:rPr>
                <w:sz w:val="22"/>
                <w:szCs w:val="22"/>
              </w:rPr>
              <w:t>/2</w:t>
            </w:r>
            <w:r w:rsidR="00BE333D">
              <w:rPr>
                <w:sz w:val="22"/>
                <w:szCs w:val="22"/>
              </w:rPr>
              <w:t>3</w:t>
            </w:r>
            <w:r w:rsidRPr="00B40F4D">
              <w:rPr>
                <w:sz w:val="22"/>
                <w:szCs w:val="22"/>
              </w:rPr>
              <w:t>:</w:t>
            </w:r>
            <w:r w:rsidR="00AC3850">
              <w:rPr>
                <w:sz w:val="22"/>
                <w:szCs w:val="22"/>
              </w:rPr>
              <w:t>1</w:t>
            </w:r>
            <w:r w:rsidR="00743D88">
              <w:rPr>
                <w:sz w:val="22"/>
                <w:szCs w:val="22"/>
              </w:rPr>
              <w:t>8</w:t>
            </w:r>
          </w:p>
          <w:p w14:paraId="16F45069" w14:textId="3C3E6CD4" w:rsidR="00035595" w:rsidRPr="00B40F4D" w:rsidRDefault="00035595" w:rsidP="00CA34AD">
            <w:pPr>
              <w:tabs>
                <w:tab w:val="left" w:pos="1276"/>
              </w:tabs>
              <w:ind w:right="-212"/>
              <w:rPr>
                <w:b/>
                <w:sz w:val="22"/>
                <w:szCs w:val="22"/>
              </w:rPr>
            </w:pPr>
          </w:p>
        </w:tc>
      </w:tr>
      <w:tr w:rsidR="00AF70B0" w:rsidRPr="00B40F4D" w14:paraId="782D72C8" w14:textId="77777777" w:rsidTr="00035595">
        <w:trPr>
          <w:gridAfter w:val="1"/>
          <w:wAfter w:w="77" w:type="dxa"/>
          <w:trHeight w:val="450"/>
        </w:trPr>
        <w:tc>
          <w:tcPr>
            <w:tcW w:w="10702" w:type="dxa"/>
            <w:gridSpan w:val="5"/>
            <w:tcBorders>
              <w:left w:val="nil"/>
              <w:bottom w:val="single" w:sz="4" w:space="0" w:color="A9A9A9"/>
              <w:right w:val="nil"/>
            </w:tcBorders>
            <w:shd w:val="clear" w:color="auto" w:fill="auto"/>
            <w:vAlign w:val="bottom"/>
          </w:tcPr>
          <w:p w14:paraId="0EE7A95D" w14:textId="77777777" w:rsidR="00AF70B0" w:rsidRDefault="00AF70B0" w:rsidP="00CA34AD">
            <w:pPr>
              <w:widowControl/>
              <w:rPr>
                <w:b/>
                <w:bCs/>
                <w:sz w:val="22"/>
                <w:szCs w:val="22"/>
              </w:rPr>
            </w:pPr>
            <w:r w:rsidRPr="00B40F4D">
              <w:rPr>
                <w:b/>
                <w:bCs/>
                <w:sz w:val="22"/>
                <w:szCs w:val="22"/>
              </w:rPr>
              <w:t>Till MJU inkomna EU-dokument m.m.</w:t>
            </w:r>
            <w:r>
              <w:rPr>
                <w:b/>
                <w:bCs/>
                <w:sz w:val="22"/>
                <w:szCs w:val="22"/>
              </w:rPr>
              <w:t xml:space="preserve"> </w:t>
            </w:r>
            <w:r w:rsidR="00AC3850">
              <w:rPr>
                <w:b/>
                <w:bCs/>
                <w:sz w:val="22"/>
                <w:szCs w:val="22"/>
              </w:rPr>
              <w:t>29</w:t>
            </w:r>
            <w:r>
              <w:rPr>
                <w:b/>
                <w:bCs/>
                <w:sz w:val="22"/>
                <w:szCs w:val="22"/>
              </w:rPr>
              <w:t xml:space="preserve"> </w:t>
            </w:r>
            <w:r w:rsidR="0038725A">
              <w:rPr>
                <w:b/>
                <w:bCs/>
                <w:sz w:val="22"/>
                <w:szCs w:val="22"/>
              </w:rPr>
              <w:t>november</w:t>
            </w:r>
            <w:r w:rsidRPr="00B40F4D">
              <w:rPr>
                <w:b/>
                <w:bCs/>
                <w:sz w:val="22"/>
                <w:szCs w:val="22"/>
              </w:rPr>
              <w:t xml:space="preserve"> </w:t>
            </w:r>
            <w:r w:rsidR="00AC3850">
              <w:rPr>
                <w:b/>
                <w:bCs/>
                <w:sz w:val="22"/>
                <w:szCs w:val="22"/>
              </w:rPr>
              <w:t xml:space="preserve">– 12 december </w:t>
            </w:r>
            <w:r w:rsidRPr="00B40F4D">
              <w:rPr>
                <w:b/>
                <w:bCs/>
                <w:sz w:val="22"/>
                <w:szCs w:val="22"/>
              </w:rPr>
              <w:t>20</w:t>
            </w:r>
            <w:r>
              <w:rPr>
                <w:b/>
                <w:bCs/>
                <w:sz w:val="22"/>
                <w:szCs w:val="22"/>
              </w:rPr>
              <w:t>2</w:t>
            </w:r>
            <w:r w:rsidR="008E6B40">
              <w:rPr>
                <w:b/>
                <w:bCs/>
                <w:sz w:val="22"/>
                <w:szCs w:val="22"/>
              </w:rPr>
              <w:t>2</w:t>
            </w:r>
          </w:p>
          <w:p w14:paraId="44652AF3" w14:textId="16E94ACF" w:rsidR="00035595" w:rsidRPr="00B40F4D" w:rsidRDefault="00035595" w:rsidP="00CA34AD">
            <w:pPr>
              <w:widowControl/>
              <w:rPr>
                <w:b/>
                <w:bCs/>
                <w:sz w:val="22"/>
                <w:szCs w:val="22"/>
              </w:rPr>
            </w:pPr>
          </w:p>
        </w:tc>
      </w:tr>
      <w:tr w:rsidR="00AF70B0" w:rsidRPr="00B40F4D" w14:paraId="510248A3" w14:textId="77777777" w:rsidTr="00035595">
        <w:trPr>
          <w:gridAfter w:val="1"/>
          <w:wAfter w:w="77" w:type="dxa"/>
          <w:trHeight w:val="745"/>
        </w:trPr>
        <w:tc>
          <w:tcPr>
            <w:tcW w:w="10702"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14:paraId="1A8C641C" w14:textId="77777777" w:rsidR="00035595" w:rsidRDefault="00035595" w:rsidP="00CA34AD">
            <w:pPr>
              <w:pStyle w:val="Rubrik1"/>
              <w:spacing w:before="0" w:after="0"/>
              <w:rPr>
                <w:bCs/>
                <w:sz w:val="22"/>
                <w:szCs w:val="22"/>
              </w:rPr>
            </w:pPr>
          </w:p>
          <w:p w14:paraId="43A1503E" w14:textId="1E90229B" w:rsidR="00AF70B0" w:rsidRDefault="00AF70B0" w:rsidP="00CA34AD">
            <w:pPr>
              <w:pStyle w:val="Rubrik1"/>
              <w:spacing w:before="0" w:after="0"/>
              <w:rPr>
                <w:bCs/>
                <w:sz w:val="22"/>
                <w:szCs w:val="22"/>
              </w:rPr>
            </w:pPr>
            <w:r w:rsidRPr="00B40F4D">
              <w:rPr>
                <w:bCs/>
                <w:sz w:val="22"/>
                <w:szCs w:val="22"/>
              </w:rPr>
              <w:t>COM-dokument. (Kommissionens utkast till lagförslag och andra meddelanden från kommissionen inklusive det förberedande arbetet till lagförslag såsom grön- och vitböcker, rapporter m.m.)</w:t>
            </w:r>
          </w:p>
          <w:p w14:paraId="02995FF1" w14:textId="60DAC415" w:rsidR="00035595" w:rsidRPr="00035595" w:rsidRDefault="00035595" w:rsidP="00035595"/>
        </w:tc>
      </w:tr>
      <w:tr w:rsidR="00AF70B0" w:rsidRPr="00B40F4D" w14:paraId="60C63136" w14:textId="77777777" w:rsidTr="00743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shd w:val="clear" w:color="auto" w:fill="auto"/>
            <w:vAlign w:val="center"/>
          </w:tcPr>
          <w:p w14:paraId="5FA975E0" w14:textId="77777777" w:rsidR="00AF70B0" w:rsidRPr="00B40F4D" w:rsidRDefault="00AF70B0" w:rsidP="00CA34AD">
            <w:pPr>
              <w:rPr>
                <w:b/>
                <w:bCs/>
                <w:sz w:val="22"/>
                <w:szCs w:val="22"/>
              </w:rPr>
            </w:pPr>
            <w:r w:rsidRPr="00B40F4D">
              <w:rPr>
                <w:b/>
                <w:bCs/>
                <w:sz w:val="22"/>
                <w:szCs w:val="22"/>
              </w:rPr>
              <w:t>Beteckning</w:t>
            </w:r>
          </w:p>
        </w:tc>
        <w:tc>
          <w:tcPr>
            <w:tcW w:w="8879" w:type="dxa"/>
            <w:gridSpan w:val="5"/>
            <w:shd w:val="clear" w:color="auto" w:fill="auto"/>
            <w:vAlign w:val="center"/>
          </w:tcPr>
          <w:p w14:paraId="031BE8FF" w14:textId="77777777" w:rsidR="00AF70B0" w:rsidRPr="00B40F4D" w:rsidRDefault="00AF70B0" w:rsidP="00CA34AD">
            <w:pPr>
              <w:rPr>
                <w:b/>
                <w:bCs/>
                <w:sz w:val="22"/>
                <w:szCs w:val="22"/>
              </w:rPr>
            </w:pPr>
            <w:r w:rsidRPr="00B40F4D">
              <w:rPr>
                <w:b/>
                <w:bCs/>
                <w:sz w:val="22"/>
                <w:szCs w:val="22"/>
              </w:rPr>
              <w:t>Rubrik</w:t>
            </w:r>
          </w:p>
        </w:tc>
      </w:tr>
      <w:tr w:rsidR="00743D88" w:rsidRPr="00743D88" w14:paraId="16F89408" w14:textId="77777777" w:rsidTr="00743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14:paraId="2E5AD5C3" w14:textId="19DFF552" w:rsidR="00743D88" w:rsidRPr="00743D88" w:rsidRDefault="005610EC" w:rsidP="00743D88">
            <w:pPr>
              <w:rPr>
                <w:sz w:val="22"/>
                <w:szCs w:val="22"/>
              </w:rPr>
            </w:pPr>
            <w:hyperlink r:id="rId10" w:history="1">
              <w:r w:rsidR="00743D88" w:rsidRPr="00743D88">
                <w:rPr>
                  <w:sz w:val="22"/>
                  <w:szCs w:val="22"/>
                </w:rPr>
                <w:t>COM(2022) 659</w:t>
              </w:r>
            </w:hyperlink>
          </w:p>
        </w:tc>
        <w:tc>
          <w:tcPr>
            <w:tcW w:w="8879" w:type="dxa"/>
            <w:gridSpan w:val="5"/>
            <w:shd w:val="clear" w:color="auto" w:fill="auto"/>
            <w:vAlign w:val="center"/>
          </w:tcPr>
          <w:p w14:paraId="3CDACA47" w14:textId="77777777" w:rsidR="00743D88" w:rsidRDefault="00743D88" w:rsidP="00743D88">
            <w:pPr>
              <w:rPr>
                <w:b/>
                <w:bCs/>
                <w:sz w:val="22"/>
                <w:szCs w:val="22"/>
              </w:rPr>
            </w:pPr>
            <w:r w:rsidRPr="00743D88">
              <w:rPr>
                <w:sz w:val="22"/>
                <w:szCs w:val="22"/>
              </w:rPr>
              <w:t xml:space="preserve">Förslag till Europaparlamentets och rådets förordning om </w:t>
            </w:r>
            <w:r w:rsidRPr="00743D88">
              <w:rPr>
                <w:b/>
                <w:bCs/>
                <w:sz w:val="22"/>
                <w:szCs w:val="22"/>
              </w:rPr>
              <w:t>märkning av ekologiskt sällskapsdjursfoder</w:t>
            </w:r>
          </w:p>
          <w:p w14:paraId="6DC76EF5" w14:textId="308ED0B9" w:rsidR="00035595" w:rsidRPr="00743D88" w:rsidRDefault="00035595" w:rsidP="00743D88">
            <w:pPr>
              <w:rPr>
                <w:bCs/>
                <w:sz w:val="22"/>
                <w:szCs w:val="22"/>
              </w:rPr>
            </w:pPr>
          </w:p>
        </w:tc>
      </w:tr>
      <w:tr w:rsidR="00743D88" w:rsidRPr="00B714E7" w14:paraId="69262B65" w14:textId="77777777" w:rsidTr="00743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14:paraId="5953C774" w14:textId="3FD2FAE5" w:rsidR="00743D88" w:rsidRPr="00743D88" w:rsidRDefault="005610EC" w:rsidP="00743D88">
            <w:pPr>
              <w:rPr>
                <w:sz w:val="22"/>
                <w:szCs w:val="22"/>
              </w:rPr>
            </w:pPr>
            <w:hyperlink r:id="rId11" w:history="1">
              <w:r w:rsidR="00743D88" w:rsidRPr="00743D88">
                <w:rPr>
                  <w:sz w:val="22"/>
                  <w:szCs w:val="22"/>
                </w:rPr>
                <w:t>COM(2022) 672</w:t>
              </w:r>
            </w:hyperlink>
          </w:p>
        </w:tc>
        <w:tc>
          <w:tcPr>
            <w:tcW w:w="8879" w:type="dxa"/>
            <w:gridSpan w:val="5"/>
            <w:shd w:val="clear" w:color="auto" w:fill="auto"/>
            <w:vAlign w:val="center"/>
          </w:tcPr>
          <w:p w14:paraId="6393F7D4" w14:textId="77777777" w:rsidR="00743D88" w:rsidRDefault="00743D88" w:rsidP="00743D88">
            <w:pPr>
              <w:rPr>
                <w:b/>
                <w:bCs/>
                <w:sz w:val="22"/>
                <w:szCs w:val="22"/>
                <w:lang w:val="en-GB"/>
              </w:rPr>
            </w:pPr>
            <w:r w:rsidRPr="00743D88">
              <w:rPr>
                <w:sz w:val="22"/>
                <w:szCs w:val="22"/>
                <w:lang w:val="en-GB"/>
              </w:rPr>
              <w:t xml:space="preserve">Proposal for a REGULATION OF THE EUROPEAN PARLIAMENT AND OF THE COUNCIL establishing </w:t>
            </w:r>
            <w:r w:rsidRPr="00743D88">
              <w:rPr>
                <w:b/>
                <w:bCs/>
                <w:sz w:val="22"/>
                <w:szCs w:val="22"/>
                <w:lang w:val="en-GB"/>
              </w:rPr>
              <w:t>a Union certification</w:t>
            </w:r>
            <w:r w:rsidRPr="00743D88">
              <w:rPr>
                <w:sz w:val="22"/>
                <w:szCs w:val="22"/>
                <w:lang w:val="en-GB"/>
              </w:rPr>
              <w:t xml:space="preserve"> </w:t>
            </w:r>
            <w:r w:rsidRPr="00743D88">
              <w:rPr>
                <w:b/>
                <w:bCs/>
                <w:sz w:val="22"/>
                <w:szCs w:val="22"/>
                <w:lang w:val="en-GB"/>
              </w:rPr>
              <w:t>framework for carbon removals</w:t>
            </w:r>
          </w:p>
          <w:p w14:paraId="7E179117" w14:textId="1218FC4E" w:rsidR="00035595" w:rsidRPr="00743D88" w:rsidRDefault="00035595" w:rsidP="00743D88">
            <w:pPr>
              <w:rPr>
                <w:b/>
                <w:bCs/>
                <w:sz w:val="22"/>
                <w:szCs w:val="22"/>
                <w:lang w:val="en-GB"/>
              </w:rPr>
            </w:pPr>
          </w:p>
        </w:tc>
      </w:tr>
      <w:tr w:rsidR="00743D88" w:rsidRPr="00B714E7" w14:paraId="5AD07B52" w14:textId="77777777" w:rsidTr="00743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14:paraId="785BAE42" w14:textId="1BEFEE32" w:rsidR="00743D88" w:rsidRPr="00743D88" w:rsidRDefault="005610EC" w:rsidP="00743D88">
            <w:pPr>
              <w:rPr>
                <w:sz w:val="22"/>
                <w:szCs w:val="22"/>
              </w:rPr>
            </w:pPr>
            <w:hyperlink r:id="rId12" w:history="1">
              <w:r w:rsidR="00743D88" w:rsidRPr="00743D88">
                <w:rPr>
                  <w:sz w:val="22"/>
                  <w:szCs w:val="22"/>
                </w:rPr>
                <w:t>SWD(2022) 377</w:t>
              </w:r>
            </w:hyperlink>
          </w:p>
        </w:tc>
        <w:tc>
          <w:tcPr>
            <w:tcW w:w="8879" w:type="dxa"/>
            <w:gridSpan w:val="5"/>
            <w:shd w:val="clear" w:color="auto" w:fill="auto"/>
            <w:vAlign w:val="center"/>
          </w:tcPr>
          <w:p w14:paraId="7AABC5EB" w14:textId="77777777" w:rsidR="00743D88" w:rsidRDefault="00743D88" w:rsidP="00743D88">
            <w:pPr>
              <w:rPr>
                <w:b/>
                <w:bCs/>
                <w:sz w:val="22"/>
                <w:szCs w:val="22"/>
                <w:lang w:val="en-GB"/>
              </w:rPr>
            </w:pPr>
            <w:r w:rsidRPr="00743D88">
              <w:rPr>
                <w:sz w:val="22"/>
                <w:szCs w:val="22"/>
                <w:lang w:val="en-GB"/>
              </w:rPr>
              <w:t xml:space="preserve">COMMISSION STAFF WORKING DOCUMENT IMPACT ASSESSMENT REPORT Accompanying the document Proposal for a REGULATION OF THE EUROPEAN PARLIAMENT AND OF THE COUNCIL establishing a </w:t>
            </w:r>
            <w:r w:rsidRPr="00743D88">
              <w:rPr>
                <w:b/>
                <w:bCs/>
                <w:sz w:val="22"/>
                <w:szCs w:val="22"/>
                <w:lang w:val="en-GB"/>
              </w:rPr>
              <w:t>Union certfication framework for carbon removals</w:t>
            </w:r>
          </w:p>
          <w:p w14:paraId="703921BE" w14:textId="4A214DA0" w:rsidR="00035595" w:rsidRPr="00743D88" w:rsidRDefault="00035595" w:rsidP="00743D88">
            <w:pPr>
              <w:rPr>
                <w:sz w:val="22"/>
                <w:szCs w:val="22"/>
                <w:lang w:val="en-GB"/>
              </w:rPr>
            </w:pPr>
          </w:p>
        </w:tc>
      </w:tr>
      <w:tr w:rsidR="00743D88" w:rsidRPr="00B714E7" w14:paraId="70F69269" w14:textId="77777777" w:rsidTr="00743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14:paraId="0B17D807" w14:textId="5E91C72F" w:rsidR="00743D88" w:rsidRPr="00743D88" w:rsidRDefault="005610EC" w:rsidP="00743D88">
            <w:pPr>
              <w:rPr>
                <w:sz w:val="22"/>
                <w:szCs w:val="22"/>
              </w:rPr>
            </w:pPr>
            <w:hyperlink r:id="rId13" w:history="1">
              <w:r w:rsidR="00743D88" w:rsidRPr="00743D88">
                <w:rPr>
                  <w:sz w:val="22"/>
                  <w:szCs w:val="22"/>
                </w:rPr>
                <w:t>SWD(2022) 378</w:t>
              </w:r>
            </w:hyperlink>
          </w:p>
        </w:tc>
        <w:tc>
          <w:tcPr>
            <w:tcW w:w="8879" w:type="dxa"/>
            <w:gridSpan w:val="5"/>
            <w:shd w:val="clear" w:color="auto" w:fill="auto"/>
            <w:vAlign w:val="center"/>
          </w:tcPr>
          <w:p w14:paraId="3E78F416" w14:textId="77777777" w:rsidR="00743D88" w:rsidRDefault="00743D88" w:rsidP="00743D88">
            <w:pPr>
              <w:rPr>
                <w:b/>
                <w:bCs/>
                <w:sz w:val="22"/>
                <w:szCs w:val="22"/>
                <w:lang w:val="en-GB"/>
              </w:rPr>
            </w:pPr>
            <w:r w:rsidRPr="00743D88">
              <w:rPr>
                <w:sz w:val="22"/>
                <w:szCs w:val="22"/>
                <w:lang w:val="en-GB"/>
              </w:rPr>
              <w:t xml:space="preserve">COMMISSION STAFF WORKING DOCUMENT EXECUTIVE SUMMARY OF THE IMPACT ASSESSMENT REPORT Accompanying the document Proposal for a Regulation of the European Parliament and of the Council establishing a </w:t>
            </w:r>
            <w:r w:rsidRPr="00743D88">
              <w:rPr>
                <w:b/>
                <w:bCs/>
                <w:sz w:val="22"/>
                <w:szCs w:val="22"/>
                <w:lang w:val="en-GB"/>
              </w:rPr>
              <w:t>Union certification framework for carbon removals</w:t>
            </w:r>
          </w:p>
          <w:p w14:paraId="2CC732DA" w14:textId="2AD4BD90" w:rsidR="00035595" w:rsidRPr="00743D88" w:rsidRDefault="00035595" w:rsidP="00743D88">
            <w:pPr>
              <w:rPr>
                <w:sz w:val="22"/>
                <w:szCs w:val="22"/>
                <w:lang w:val="en-GB"/>
              </w:rPr>
            </w:pPr>
          </w:p>
        </w:tc>
      </w:tr>
      <w:tr w:rsidR="00743D88" w:rsidRPr="00B714E7" w14:paraId="08490153" w14:textId="77777777" w:rsidTr="00743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14:paraId="3E5BAF58" w14:textId="199339CE" w:rsidR="00743D88" w:rsidRPr="00743D88" w:rsidRDefault="005610EC" w:rsidP="00743D88">
            <w:pPr>
              <w:rPr>
                <w:sz w:val="22"/>
                <w:szCs w:val="22"/>
              </w:rPr>
            </w:pPr>
            <w:hyperlink r:id="rId14" w:history="1">
              <w:r w:rsidR="00743D88" w:rsidRPr="00743D88">
                <w:rPr>
                  <w:sz w:val="22"/>
                  <w:szCs w:val="22"/>
                </w:rPr>
                <w:t>SEC(2022) 423</w:t>
              </w:r>
            </w:hyperlink>
          </w:p>
        </w:tc>
        <w:tc>
          <w:tcPr>
            <w:tcW w:w="8879" w:type="dxa"/>
            <w:gridSpan w:val="5"/>
            <w:shd w:val="clear" w:color="auto" w:fill="auto"/>
            <w:vAlign w:val="center"/>
          </w:tcPr>
          <w:p w14:paraId="5E629DB5" w14:textId="2AC87541" w:rsidR="00743D88" w:rsidRPr="00743D88" w:rsidRDefault="00743D88" w:rsidP="00743D88">
            <w:pPr>
              <w:rPr>
                <w:sz w:val="22"/>
                <w:szCs w:val="22"/>
                <w:lang w:val="en-GB"/>
              </w:rPr>
            </w:pPr>
            <w:r>
              <w:rPr>
                <w:sz w:val="22"/>
                <w:szCs w:val="22"/>
                <w:lang w:val="en-GB"/>
              </w:rPr>
              <w:t>R</w:t>
            </w:r>
            <w:r w:rsidRPr="00743D88">
              <w:rPr>
                <w:sz w:val="22"/>
                <w:szCs w:val="22"/>
                <w:lang w:val="en-GB"/>
              </w:rPr>
              <w:t xml:space="preserve">EGULATORY SCRUTINY BOARD OPINION </w:t>
            </w:r>
            <w:r w:rsidRPr="00743D88">
              <w:rPr>
                <w:b/>
                <w:bCs/>
                <w:sz w:val="22"/>
                <w:szCs w:val="22"/>
                <w:lang w:val="en-GB"/>
              </w:rPr>
              <w:t>Certification of carbon removals</w:t>
            </w:r>
          </w:p>
        </w:tc>
      </w:tr>
      <w:tr w:rsidR="00743D88" w:rsidRPr="00B714E7" w14:paraId="14D7B520" w14:textId="77777777" w:rsidTr="00743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14:paraId="73C47516" w14:textId="401D649C" w:rsidR="00743D88" w:rsidRPr="00743D88" w:rsidRDefault="005610EC" w:rsidP="00743D88">
            <w:pPr>
              <w:rPr>
                <w:sz w:val="22"/>
                <w:szCs w:val="22"/>
              </w:rPr>
            </w:pPr>
            <w:hyperlink r:id="rId15" w:history="1">
              <w:r w:rsidR="00743D88" w:rsidRPr="00743D88">
                <w:rPr>
                  <w:sz w:val="22"/>
                  <w:szCs w:val="22"/>
                </w:rPr>
                <w:t>COM(2022) 677</w:t>
              </w:r>
            </w:hyperlink>
          </w:p>
        </w:tc>
        <w:tc>
          <w:tcPr>
            <w:tcW w:w="8879" w:type="dxa"/>
            <w:gridSpan w:val="5"/>
            <w:shd w:val="clear" w:color="auto" w:fill="auto"/>
            <w:vAlign w:val="center"/>
          </w:tcPr>
          <w:p w14:paraId="395EF0AA" w14:textId="77777777" w:rsidR="00743D88" w:rsidRDefault="00743D88" w:rsidP="00743D88">
            <w:pPr>
              <w:rPr>
                <w:sz w:val="22"/>
                <w:szCs w:val="22"/>
                <w:lang w:val="en-GB"/>
              </w:rPr>
            </w:pPr>
            <w:r w:rsidRPr="00743D88">
              <w:rPr>
                <w:sz w:val="22"/>
                <w:szCs w:val="22"/>
                <w:lang w:val="en-GB"/>
              </w:rPr>
              <w:t xml:space="preserve">Proposal for a REGULATION OF THE EUROPEAN PARLIAMENT AND OF THE COUNCIL on </w:t>
            </w:r>
            <w:r w:rsidRPr="00743D88">
              <w:rPr>
                <w:b/>
                <w:bCs/>
                <w:sz w:val="22"/>
                <w:szCs w:val="22"/>
                <w:lang w:val="en-GB"/>
              </w:rPr>
              <w:t>packaging and packaging waste</w:t>
            </w:r>
            <w:r w:rsidRPr="00743D88">
              <w:rPr>
                <w:sz w:val="22"/>
                <w:szCs w:val="22"/>
                <w:lang w:val="en-GB"/>
              </w:rPr>
              <w:t>, amending Regulation (EU) 2019/1020 and Directive (EU) 2019/904, and repealing Directive 94/62/EC</w:t>
            </w:r>
          </w:p>
          <w:p w14:paraId="52CCC613" w14:textId="4138C15D" w:rsidR="00035595" w:rsidRPr="00743D88" w:rsidRDefault="00035595" w:rsidP="00743D88">
            <w:pPr>
              <w:rPr>
                <w:b/>
                <w:bCs/>
                <w:sz w:val="22"/>
                <w:szCs w:val="22"/>
                <w:lang w:val="en-GB"/>
              </w:rPr>
            </w:pPr>
          </w:p>
        </w:tc>
      </w:tr>
      <w:tr w:rsidR="00743D88" w:rsidRPr="00B714E7" w14:paraId="744E9A0A" w14:textId="77777777" w:rsidTr="00743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14:paraId="1C3221C2" w14:textId="42A9872B" w:rsidR="00743D88" w:rsidRPr="00743D88" w:rsidRDefault="005610EC" w:rsidP="00743D88">
            <w:pPr>
              <w:rPr>
                <w:sz w:val="22"/>
                <w:szCs w:val="22"/>
              </w:rPr>
            </w:pPr>
            <w:hyperlink r:id="rId16" w:history="1">
              <w:r w:rsidR="00743D88" w:rsidRPr="00743D88">
                <w:rPr>
                  <w:sz w:val="22"/>
                  <w:szCs w:val="22"/>
                </w:rPr>
                <w:t>SWD(2022) 384</w:t>
              </w:r>
            </w:hyperlink>
          </w:p>
        </w:tc>
        <w:tc>
          <w:tcPr>
            <w:tcW w:w="8879" w:type="dxa"/>
            <w:gridSpan w:val="5"/>
            <w:shd w:val="clear" w:color="auto" w:fill="auto"/>
            <w:vAlign w:val="center"/>
          </w:tcPr>
          <w:p w14:paraId="5BD72DD9" w14:textId="77777777" w:rsidR="00743D88" w:rsidRDefault="00743D88" w:rsidP="00743D88">
            <w:pPr>
              <w:rPr>
                <w:sz w:val="22"/>
                <w:szCs w:val="22"/>
                <w:lang w:val="en-GB"/>
              </w:rPr>
            </w:pPr>
            <w:r w:rsidRPr="00743D88">
              <w:rPr>
                <w:sz w:val="22"/>
                <w:szCs w:val="22"/>
                <w:lang w:val="en-GB"/>
              </w:rPr>
              <w:t xml:space="preserve">COMMISSION STAFF WORKING DOCUMENT IMPACT ASSESSMENT REPORT Accompanying the document Proposal for a Regulation of the European Parliament and the Council on </w:t>
            </w:r>
            <w:r w:rsidRPr="00743D88">
              <w:rPr>
                <w:b/>
                <w:bCs/>
                <w:sz w:val="22"/>
                <w:szCs w:val="22"/>
                <w:lang w:val="en-GB"/>
              </w:rPr>
              <w:t>packaging and packaging waste</w:t>
            </w:r>
            <w:r w:rsidRPr="00743D88">
              <w:rPr>
                <w:sz w:val="22"/>
                <w:szCs w:val="22"/>
                <w:lang w:val="en-GB"/>
              </w:rPr>
              <w:t>, amending Regulation (EU) 2019/1020, and repealing Directive 94/62/EC</w:t>
            </w:r>
          </w:p>
          <w:p w14:paraId="4A45D6CF" w14:textId="0A438879" w:rsidR="00035595" w:rsidRPr="00743D88" w:rsidRDefault="00035595" w:rsidP="00743D88">
            <w:pPr>
              <w:rPr>
                <w:b/>
                <w:bCs/>
                <w:sz w:val="22"/>
                <w:szCs w:val="22"/>
                <w:lang w:val="en-GB"/>
              </w:rPr>
            </w:pPr>
          </w:p>
        </w:tc>
      </w:tr>
      <w:tr w:rsidR="00743D88" w:rsidRPr="00B714E7" w14:paraId="0405CC65" w14:textId="77777777" w:rsidTr="00743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14:paraId="091FE9E5" w14:textId="7CB355EF" w:rsidR="00743D88" w:rsidRPr="00743D88" w:rsidRDefault="005610EC" w:rsidP="00743D88">
            <w:pPr>
              <w:rPr>
                <w:sz w:val="22"/>
                <w:szCs w:val="22"/>
              </w:rPr>
            </w:pPr>
            <w:hyperlink r:id="rId17" w:history="1">
              <w:r w:rsidR="00743D88" w:rsidRPr="00743D88">
                <w:rPr>
                  <w:sz w:val="22"/>
                  <w:szCs w:val="22"/>
                </w:rPr>
                <w:t>SWD(2022) 385</w:t>
              </w:r>
            </w:hyperlink>
          </w:p>
        </w:tc>
        <w:tc>
          <w:tcPr>
            <w:tcW w:w="8879" w:type="dxa"/>
            <w:gridSpan w:val="5"/>
            <w:shd w:val="clear" w:color="auto" w:fill="auto"/>
            <w:vAlign w:val="center"/>
          </w:tcPr>
          <w:p w14:paraId="41C9B2C5" w14:textId="77777777" w:rsidR="00743D88" w:rsidRDefault="00743D88" w:rsidP="00743D88">
            <w:pPr>
              <w:rPr>
                <w:sz w:val="22"/>
                <w:szCs w:val="22"/>
                <w:lang w:val="en-GB"/>
              </w:rPr>
            </w:pPr>
            <w:r w:rsidRPr="00743D88">
              <w:rPr>
                <w:sz w:val="22"/>
                <w:szCs w:val="22"/>
                <w:lang w:val="en-GB"/>
              </w:rPr>
              <w:t xml:space="preserve">COMMISSION STAFF WORKING DOCUMENT EXECUTIVE SUMMARY OF THE IMPACT ASSESSMENT REPORT Accompanying the document Proposal for a Regulation of the European Parliament and the Council on </w:t>
            </w:r>
            <w:r w:rsidRPr="00743D88">
              <w:rPr>
                <w:b/>
                <w:bCs/>
                <w:sz w:val="22"/>
                <w:szCs w:val="22"/>
                <w:lang w:val="en-GB"/>
              </w:rPr>
              <w:t>packaging and packaging waste</w:t>
            </w:r>
            <w:r w:rsidRPr="00743D88">
              <w:rPr>
                <w:sz w:val="22"/>
                <w:szCs w:val="22"/>
                <w:lang w:val="en-GB"/>
              </w:rPr>
              <w:t>, amending Regulation (EU) 2019/1020, and repealing Directive 94/62/EC</w:t>
            </w:r>
          </w:p>
          <w:p w14:paraId="285C9D28" w14:textId="6906B7E5" w:rsidR="00035595" w:rsidRPr="00743D88" w:rsidRDefault="00035595" w:rsidP="00743D88">
            <w:pPr>
              <w:rPr>
                <w:b/>
                <w:bCs/>
                <w:sz w:val="22"/>
                <w:szCs w:val="22"/>
                <w:lang w:val="en-GB"/>
              </w:rPr>
            </w:pPr>
          </w:p>
        </w:tc>
      </w:tr>
      <w:tr w:rsidR="00743D88" w:rsidRPr="00B714E7" w14:paraId="2EB55E5E" w14:textId="77777777" w:rsidTr="00743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14:paraId="79F75693" w14:textId="06F49F73" w:rsidR="00743D88" w:rsidRPr="00743D88" w:rsidRDefault="005610EC" w:rsidP="00743D88">
            <w:pPr>
              <w:rPr>
                <w:sz w:val="22"/>
                <w:szCs w:val="22"/>
              </w:rPr>
            </w:pPr>
            <w:hyperlink r:id="rId18" w:history="1">
              <w:r w:rsidR="00743D88" w:rsidRPr="00743D88">
                <w:rPr>
                  <w:sz w:val="22"/>
                  <w:szCs w:val="22"/>
                </w:rPr>
                <w:t>SEC(2022) 425</w:t>
              </w:r>
            </w:hyperlink>
          </w:p>
        </w:tc>
        <w:tc>
          <w:tcPr>
            <w:tcW w:w="8879" w:type="dxa"/>
            <w:gridSpan w:val="5"/>
            <w:shd w:val="clear" w:color="auto" w:fill="auto"/>
            <w:vAlign w:val="center"/>
          </w:tcPr>
          <w:p w14:paraId="1F762292" w14:textId="77777777" w:rsidR="00743D88" w:rsidRDefault="00743D88" w:rsidP="00743D88">
            <w:pPr>
              <w:rPr>
                <w:b/>
                <w:bCs/>
                <w:sz w:val="22"/>
                <w:szCs w:val="22"/>
                <w:lang w:val="en-GB"/>
              </w:rPr>
            </w:pPr>
            <w:r w:rsidRPr="00743D88">
              <w:rPr>
                <w:sz w:val="22"/>
                <w:szCs w:val="22"/>
                <w:lang w:val="en-GB"/>
              </w:rPr>
              <w:t xml:space="preserve">REGULATORY SCRUTINY BOARD OPINION Revision of the </w:t>
            </w:r>
            <w:r w:rsidRPr="00743D88">
              <w:rPr>
                <w:b/>
                <w:bCs/>
                <w:sz w:val="22"/>
                <w:szCs w:val="22"/>
                <w:lang w:val="en-GB"/>
              </w:rPr>
              <w:t xml:space="preserve">Packaging and Packaging Waste Directive </w:t>
            </w:r>
          </w:p>
          <w:p w14:paraId="20C1325A" w14:textId="71DBFC97" w:rsidR="00035595" w:rsidRPr="00743D88" w:rsidRDefault="00035595" w:rsidP="00743D88">
            <w:pPr>
              <w:rPr>
                <w:b/>
                <w:bCs/>
                <w:sz w:val="22"/>
                <w:szCs w:val="22"/>
                <w:lang w:val="en-GB"/>
              </w:rPr>
            </w:pPr>
          </w:p>
        </w:tc>
      </w:tr>
      <w:tr w:rsidR="00743D88" w:rsidRPr="00C824C0" w14:paraId="7841B905" w14:textId="77777777" w:rsidTr="00743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779" w:type="dxa"/>
            <w:gridSpan w:val="6"/>
            <w:shd w:val="clear" w:color="auto" w:fill="auto"/>
            <w:vAlign w:val="center"/>
          </w:tcPr>
          <w:p w14:paraId="55A00DE4" w14:textId="77777777" w:rsidR="00743D88" w:rsidRPr="00C824C0" w:rsidRDefault="00743D88" w:rsidP="00743D88">
            <w:pPr>
              <w:rPr>
                <w:b/>
                <w:kern w:val="32"/>
                <w:sz w:val="22"/>
                <w:szCs w:val="22"/>
              </w:rPr>
            </w:pPr>
            <w:r>
              <w:rPr>
                <w:b/>
                <w:kern w:val="32"/>
                <w:sz w:val="22"/>
                <w:szCs w:val="22"/>
              </w:rPr>
              <w:t>Ö</w:t>
            </w:r>
            <w:r w:rsidRPr="00C824C0">
              <w:rPr>
                <w:b/>
                <w:kern w:val="32"/>
                <w:sz w:val="22"/>
                <w:szCs w:val="22"/>
              </w:rPr>
              <w:t>vriga överlämnade dokument som rör EU-arbetet för kännedom</w:t>
            </w:r>
          </w:p>
        </w:tc>
      </w:tr>
      <w:tr w:rsidR="00743D88" w:rsidRPr="00C824C0" w14:paraId="17191B5F" w14:textId="77777777" w:rsidTr="00743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14:paraId="0C63E2D1" w14:textId="77777777" w:rsidR="00743D88" w:rsidRPr="00C824C0" w:rsidRDefault="00743D88" w:rsidP="00743D88">
            <w:pPr>
              <w:rPr>
                <w:b/>
                <w:bCs/>
                <w:sz w:val="22"/>
                <w:szCs w:val="22"/>
              </w:rPr>
            </w:pPr>
            <w:r w:rsidRPr="00C824C0">
              <w:rPr>
                <w:b/>
                <w:bCs/>
                <w:sz w:val="22"/>
                <w:szCs w:val="22"/>
              </w:rPr>
              <w:t>Rådsmöten</w:t>
            </w:r>
          </w:p>
        </w:tc>
        <w:tc>
          <w:tcPr>
            <w:tcW w:w="8879" w:type="dxa"/>
            <w:gridSpan w:val="5"/>
            <w:shd w:val="clear" w:color="auto" w:fill="auto"/>
            <w:vAlign w:val="center"/>
          </w:tcPr>
          <w:p w14:paraId="6F0111E9" w14:textId="77777777" w:rsidR="00743D88" w:rsidRPr="00C824C0" w:rsidRDefault="00743D88" w:rsidP="00743D88">
            <w:pPr>
              <w:rPr>
                <w:sz w:val="22"/>
                <w:szCs w:val="22"/>
              </w:rPr>
            </w:pPr>
          </w:p>
        </w:tc>
      </w:tr>
      <w:tr w:rsidR="00743D88" w:rsidRPr="00743D88" w14:paraId="2FB6C827" w14:textId="77777777" w:rsidTr="00743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tcBorders>
              <w:bottom w:val="single" w:sz="4" w:space="0" w:color="auto"/>
            </w:tcBorders>
            <w:shd w:val="clear" w:color="auto" w:fill="auto"/>
            <w:vAlign w:val="center"/>
          </w:tcPr>
          <w:p w14:paraId="028C3A54" w14:textId="77777777" w:rsidR="00743D88" w:rsidRPr="00743D88" w:rsidRDefault="00743D88" w:rsidP="00743D88">
            <w:pPr>
              <w:rPr>
                <w:sz w:val="22"/>
                <w:szCs w:val="22"/>
              </w:rPr>
            </w:pPr>
            <w:r w:rsidRPr="00743D88">
              <w:rPr>
                <w:sz w:val="22"/>
                <w:szCs w:val="22"/>
              </w:rPr>
              <w:t xml:space="preserve">Jordbruks- och fiskeråd </w:t>
            </w:r>
          </w:p>
          <w:p w14:paraId="393BCB93" w14:textId="58A65A7E" w:rsidR="00743D88" w:rsidRPr="00743D88" w:rsidRDefault="00743D88" w:rsidP="00743D88">
            <w:pPr>
              <w:rPr>
                <w:sz w:val="22"/>
                <w:szCs w:val="22"/>
              </w:rPr>
            </w:pPr>
            <w:r w:rsidRPr="00743D88">
              <w:rPr>
                <w:sz w:val="22"/>
                <w:szCs w:val="22"/>
              </w:rPr>
              <w:t>221121</w:t>
            </w:r>
          </w:p>
        </w:tc>
        <w:tc>
          <w:tcPr>
            <w:tcW w:w="8879" w:type="dxa"/>
            <w:gridSpan w:val="5"/>
            <w:tcBorders>
              <w:bottom w:val="single" w:sz="4" w:space="0" w:color="auto"/>
            </w:tcBorders>
            <w:shd w:val="clear" w:color="auto" w:fill="auto"/>
            <w:vAlign w:val="center"/>
          </w:tcPr>
          <w:p w14:paraId="45FDABDB" w14:textId="2685C258" w:rsidR="00743D88" w:rsidRPr="00743D88" w:rsidRDefault="00743D88" w:rsidP="00743D88">
            <w:pPr>
              <w:rPr>
                <w:sz w:val="22"/>
                <w:szCs w:val="22"/>
              </w:rPr>
            </w:pPr>
            <w:r w:rsidRPr="00743D88">
              <w:rPr>
                <w:sz w:val="22"/>
                <w:szCs w:val="22"/>
              </w:rPr>
              <w:t>Rapport från Europeiska unionens Råd, Jordbruk och Fiske 21 november 2022 i Bryssel</w:t>
            </w:r>
            <w:r w:rsidRPr="00743D88">
              <w:rPr>
                <w:sz w:val="22"/>
                <w:szCs w:val="22"/>
              </w:rPr>
              <w:br/>
            </w:r>
          </w:p>
        </w:tc>
      </w:tr>
      <w:tr w:rsidR="00743D88" w:rsidRPr="00C824C0" w14:paraId="02D71B4E" w14:textId="77777777" w:rsidTr="00743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tcBorders>
              <w:bottom w:val="single" w:sz="4" w:space="0" w:color="auto"/>
            </w:tcBorders>
            <w:shd w:val="clear" w:color="auto" w:fill="auto"/>
            <w:vAlign w:val="center"/>
          </w:tcPr>
          <w:p w14:paraId="10CC973A" w14:textId="22C07E32" w:rsidR="00743D88" w:rsidRPr="009D3809" w:rsidRDefault="00743D88" w:rsidP="00743D88">
            <w:pPr>
              <w:rPr>
                <w:sz w:val="22"/>
                <w:szCs w:val="22"/>
              </w:rPr>
            </w:pPr>
            <w:r w:rsidRPr="00557AA4">
              <w:rPr>
                <w:b/>
                <w:bCs/>
                <w:sz w:val="22"/>
                <w:szCs w:val="22"/>
              </w:rPr>
              <w:t>Fakta-PM</w:t>
            </w:r>
          </w:p>
        </w:tc>
        <w:tc>
          <w:tcPr>
            <w:tcW w:w="8879" w:type="dxa"/>
            <w:gridSpan w:val="5"/>
            <w:tcBorders>
              <w:bottom w:val="single" w:sz="4" w:space="0" w:color="auto"/>
            </w:tcBorders>
            <w:shd w:val="clear" w:color="auto" w:fill="auto"/>
            <w:vAlign w:val="center"/>
          </w:tcPr>
          <w:p w14:paraId="13D238BB" w14:textId="77777777" w:rsidR="00743D88" w:rsidRPr="009D3809" w:rsidRDefault="00743D88" w:rsidP="00743D88">
            <w:pPr>
              <w:rPr>
                <w:sz w:val="22"/>
                <w:szCs w:val="22"/>
              </w:rPr>
            </w:pPr>
          </w:p>
        </w:tc>
      </w:tr>
      <w:tr w:rsidR="00743D88" w:rsidRPr="00743D88" w14:paraId="125B901C" w14:textId="77777777" w:rsidTr="00743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tcBorders>
              <w:bottom w:val="single" w:sz="4" w:space="0" w:color="auto"/>
            </w:tcBorders>
            <w:shd w:val="clear" w:color="auto" w:fill="auto"/>
            <w:vAlign w:val="center"/>
          </w:tcPr>
          <w:p w14:paraId="04806546" w14:textId="7195A85C" w:rsidR="00743D88" w:rsidRPr="00743D88" w:rsidRDefault="005610EC" w:rsidP="00743D88">
            <w:pPr>
              <w:rPr>
                <w:sz w:val="22"/>
                <w:szCs w:val="22"/>
              </w:rPr>
            </w:pPr>
            <w:hyperlink r:id="rId19" w:history="1">
              <w:r w:rsidR="00743D88" w:rsidRPr="00743D88">
                <w:rPr>
                  <w:sz w:val="22"/>
                  <w:szCs w:val="22"/>
                </w:rPr>
                <w:t>2022/23:FPM19</w:t>
              </w:r>
            </w:hyperlink>
          </w:p>
        </w:tc>
        <w:tc>
          <w:tcPr>
            <w:tcW w:w="8879" w:type="dxa"/>
            <w:gridSpan w:val="5"/>
            <w:tcBorders>
              <w:bottom w:val="single" w:sz="4" w:space="0" w:color="auto"/>
            </w:tcBorders>
            <w:shd w:val="clear" w:color="auto" w:fill="auto"/>
            <w:vAlign w:val="center"/>
          </w:tcPr>
          <w:p w14:paraId="4CB9E38E" w14:textId="07357147" w:rsidR="00743D88" w:rsidRPr="00743D88" w:rsidRDefault="00743D88" w:rsidP="00743D88">
            <w:pPr>
              <w:rPr>
                <w:sz w:val="22"/>
                <w:szCs w:val="22"/>
              </w:rPr>
            </w:pPr>
            <w:r w:rsidRPr="00743D88">
              <w:rPr>
                <w:sz w:val="22"/>
                <w:szCs w:val="22"/>
              </w:rPr>
              <w:t>Förslag till direktiv om ändring av ramdirektivet för vatten, grundvattendirektivet och prioämnesdirektivet</w:t>
            </w:r>
          </w:p>
        </w:tc>
      </w:tr>
      <w:tr w:rsidR="00743D88" w:rsidRPr="00743D88" w14:paraId="5F16B090" w14:textId="77777777" w:rsidTr="00743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tcBorders>
              <w:bottom w:val="single" w:sz="4" w:space="0" w:color="auto"/>
            </w:tcBorders>
            <w:shd w:val="clear" w:color="auto" w:fill="auto"/>
            <w:vAlign w:val="center"/>
          </w:tcPr>
          <w:p w14:paraId="771752B7" w14:textId="1568CA5C" w:rsidR="00743D88" w:rsidRPr="00743D88" w:rsidRDefault="005610EC" w:rsidP="00743D88">
            <w:pPr>
              <w:rPr>
                <w:sz w:val="22"/>
                <w:szCs w:val="22"/>
              </w:rPr>
            </w:pPr>
            <w:hyperlink r:id="rId20" w:history="1">
              <w:r w:rsidR="00743D88" w:rsidRPr="00743D88">
                <w:rPr>
                  <w:sz w:val="22"/>
                  <w:szCs w:val="22"/>
                </w:rPr>
                <w:t>2022/23:FPM20</w:t>
              </w:r>
            </w:hyperlink>
          </w:p>
        </w:tc>
        <w:tc>
          <w:tcPr>
            <w:tcW w:w="8879" w:type="dxa"/>
            <w:gridSpan w:val="5"/>
            <w:tcBorders>
              <w:bottom w:val="single" w:sz="4" w:space="0" w:color="auto"/>
            </w:tcBorders>
            <w:shd w:val="clear" w:color="auto" w:fill="auto"/>
            <w:vAlign w:val="center"/>
          </w:tcPr>
          <w:p w14:paraId="54CD327C" w14:textId="58C13B80" w:rsidR="00743D88" w:rsidRPr="00743D88" w:rsidRDefault="00743D88" w:rsidP="00743D88">
            <w:pPr>
              <w:rPr>
                <w:sz w:val="22"/>
                <w:szCs w:val="22"/>
              </w:rPr>
            </w:pPr>
            <w:r w:rsidRPr="00743D88">
              <w:rPr>
                <w:sz w:val="22"/>
                <w:szCs w:val="22"/>
              </w:rPr>
              <w:t>Översyn av EU:s luftkvalitetsdirektiv</w:t>
            </w:r>
          </w:p>
        </w:tc>
      </w:tr>
      <w:tr w:rsidR="00743D88" w:rsidRPr="00743D88" w14:paraId="143CC16B" w14:textId="77777777" w:rsidTr="00743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tcBorders>
              <w:bottom w:val="single" w:sz="4" w:space="0" w:color="auto"/>
            </w:tcBorders>
            <w:shd w:val="clear" w:color="auto" w:fill="auto"/>
            <w:vAlign w:val="center"/>
          </w:tcPr>
          <w:p w14:paraId="6679913F" w14:textId="77777777" w:rsidR="00743D88" w:rsidRPr="00743D88" w:rsidRDefault="00743D88" w:rsidP="00743D88">
            <w:pPr>
              <w:rPr>
                <w:sz w:val="22"/>
                <w:szCs w:val="22"/>
              </w:rPr>
            </w:pPr>
          </w:p>
          <w:p w14:paraId="085E4148" w14:textId="7027E57D" w:rsidR="00743D88" w:rsidRPr="00743D88" w:rsidRDefault="005610EC" w:rsidP="00743D88">
            <w:pPr>
              <w:rPr>
                <w:sz w:val="22"/>
                <w:szCs w:val="22"/>
              </w:rPr>
            </w:pPr>
            <w:hyperlink r:id="rId21" w:history="1">
              <w:r w:rsidR="00743D88" w:rsidRPr="00743D88">
                <w:rPr>
                  <w:sz w:val="22"/>
                  <w:szCs w:val="22"/>
                </w:rPr>
                <w:t>2022/23:FPM21</w:t>
              </w:r>
            </w:hyperlink>
            <w:r w:rsidR="00743D88" w:rsidRPr="00743D88">
              <w:rPr>
                <w:sz w:val="22"/>
                <w:szCs w:val="22"/>
              </w:rPr>
              <w:br/>
            </w:r>
          </w:p>
        </w:tc>
        <w:tc>
          <w:tcPr>
            <w:tcW w:w="8879" w:type="dxa"/>
            <w:gridSpan w:val="5"/>
            <w:tcBorders>
              <w:bottom w:val="single" w:sz="4" w:space="0" w:color="auto"/>
            </w:tcBorders>
            <w:shd w:val="clear" w:color="auto" w:fill="auto"/>
            <w:vAlign w:val="center"/>
          </w:tcPr>
          <w:p w14:paraId="22FB0D5F" w14:textId="2B82E9C5" w:rsidR="00743D88" w:rsidRPr="00743D88" w:rsidRDefault="00743D88" w:rsidP="00743D88">
            <w:pPr>
              <w:rPr>
                <w:sz w:val="22"/>
                <w:szCs w:val="22"/>
              </w:rPr>
            </w:pPr>
            <w:r w:rsidRPr="00743D88">
              <w:rPr>
                <w:sz w:val="22"/>
                <w:szCs w:val="22"/>
              </w:rPr>
              <w:t>Ett reviderat avloppsdirektiv</w:t>
            </w:r>
          </w:p>
        </w:tc>
      </w:tr>
      <w:tr w:rsidR="00743D88" w:rsidRPr="00743D88" w14:paraId="275EDBCD" w14:textId="77777777" w:rsidTr="00743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tcBorders>
              <w:bottom w:val="single" w:sz="4" w:space="0" w:color="auto"/>
            </w:tcBorders>
            <w:shd w:val="clear" w:color="auto" w:fill="auto"/>
            <w:vAlign w:val="center"/>
          </w:tcPr>
          <w:p w14:paraId="5D88BAFC" w14:textId="459BE3D9" w:rsidR="00743D88" w:rsidRPr="00743D88" w:rsidRDefault="005610EC" w:rsidP="00743D88">
            <w:pPr>
              <w:rPr>
                <w:sz w:val="22"/>
                <w:szCs w:val="22"/>
              </w:rPr>
            </w:pPr>
            <w:hyperlink r:id="rId22" w:history="1">
              <w:r w:rsidR="00743D88" w:rsidRPr="00743D88">
                <w:rPr>
                  <w:sz w:val="22"/>
                  <w:szCs w:val="22"/>
                </w:rPr>
                <w:t>2022/23:FPM22</w:t>
              </w:r>
            </w:hyperlink>
          </w:p>
        </w:tc>
        <w:tc>
          <w:tcPr>
            <w:tcW w:w="8879" w:type="dxa"/>
            <w:gridSpan w:val="5"/>
            <w:tcBorders>
              <w:bottom w:val="single" w:sz="4" w:space="0" w:color="auto"/>
            </w:tcBorders>
            <w:shd w:val="clear" w:color="auto" w:fill="auto"/>
            <w:vAlign w:val="center"/>
          </w:tcPr>
          <w:p w14:paraId="691B6A74" w14:textId="77777777" w:rsidR="00743D88" w:rsidRPr="00743D88" w:rsidRDefault="00743D88" w:rsidP="00743D88">
            <w:pPr>
              <w:rPr>
                <w:sz w:val="22"/>
                <w:szCs w:val="22"/>
              </w:rPr>
            </w:pPr>
          </w:p>
          <w:p w14:paraId="313519F0" w14:textId="77777777" w:rsidR="00743D88" w:rsidRDefault="00743D88" w:rsidP="00743D88">
            <w:pPr>
              <w:rPr>
                <w:sz w:val="22"/>
                <w:szCs w:val="22"/>
              </w:rPr>
            </w:pPr>
            <w:r w:rsidRPr="00743D88">
              <w:rPr>
                <w:sz w:val="22"/>
                <w:szCs w:val="22"/>
              </w:rPr>
              <w:t>Förordning om fiskemöjligheter för 2023 i Nordostatlanten och för 2023 – 2024 för vissa djuphavsarter</w:t>
            </w:r>
          </w:p>
          <w:p w14:paraId="617A2EB6" w14:textId="585ADF4B" w:rsidR="00035595" w:rsidRPr="00743D88" w:rsidRDefault="00035595" w:rsidP="00743D88">
            <w:pPr>
              <w:rPr>
                <w:sz w:val="22"/>
                <w:szCs w:val="22"/>
              </w:rPr>
            </w:pPr>
          </w:p>
        </w:tc>
      </w:tr>
      <w:tr w:rsidR="00743D88" w:rsidRPr="00743D88" w14:paraId="5D148432" w14:textId="77777777" w:rsidTr="00743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tcBorders>
              <w:bottom w:val="single" w:sz="4" w:space="0" w:color="auto"/>
            </w:tcBorders>
            <w:shd w:val="clear" w:color="auto" w:fill="auto"/>
            <w:vAlign w:val="center"/>
          </w:tcPr>
          <w:p w14:paraId="190C27D6" w14:textId="0880C3FE" w:rsidR="00743D88" w:rsidRPr="00743D88" w:rsidRDefault="005610EC" w:rsidP="00743D88">
            <w:pPr>
              <w:rPr>
                <w:sz w:val="22"/>
                <w:szCs w:val="22"/>
              </w:rPr>
            </w:pPr>
            <w:hyperlink r:id="rId23" w:history="1">
              <w:r w:rsidR="00743D88" w:rsidRPr="00743D88">
                <w:rPr>
                  <w:sz w:val="22"/>
                  <w:szCs w:val="22"/>
                </w:rPr>
                <w:t>2022/23:FPM26</w:t>
              </w:r>
            </w:hyperlink>
          </w:p>
        </w:tc>
        <w:tc>
          <w:tcPr>
            <w:tcW w:w="8879" w:type="dxa"/>
            <w:gridSpan w:val="5"/>
            <w:tcBorders>
              <w:bottom w:val="single" w:sz="4" w:space="0" w:color="auto"/>
            </w:tcBorders>
            <w:shd w:val="clear" w:color="auto" w:fill="auto"/>
            <w:vAlign w:val="center"/>
          </w:tcPr>
          <w:p w14:paraId="0260F7F1" w14:textId="16639D10" w:rsidR="00743D88" w:rsidRPr="00743D88" w:rsidRDefault="00743D88" w:rsidP="00743D88">
            <w:pPr>
              <w:rPr>
                <w:sz w:val="22"/>
                <w:szCs w:val="22"/>
              </w:rPr>
            </w:pPr>
            <w:r w:rsidRPr="00743D88">
              <w:rPr>
                <w:sz w:val="22"/>
                <w:szCs w:val="22"/>
              </w:rPr>
              <w:t>Meddelande om gödselmedel</w:t>
            </w:r>
          </w:p>
        </w:tc>
      </w:tr>
      <w:tr w:rsidR="00743D88" w:rsidRPr="00C824C0" w14:paraId="5BAF2792" w14:textId="77777777" w:rsidTr="00743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14:paraId="68E558E6" w14:textId="77777777" w:rsidR="00743D88" w:rsidRPr="00B90272" w:rsidRDefault="00743D88" w:rsidP="00743D88">
            <w:pPr>
              <w:rPr>
                <w:b/>
                <w:sz w:val="22"/>
                <w:szCs w:val="22"/>
              </w:rPr>
            </w:pPr>
            <w:r w:rsidRPr="00B90272">
              <w:rPr>
                <w:b/>
                <w:sz w:val="22"/>
                <w:szCs w:val="22"/>
              </w:rPr>
              <w:t>Antagna dokument</w:t>
            </w:r>
          </w:p>
        </w:tc>
        <w:tc>
          <w:tcPr>
            <w:tcW w:w="8879" w:type="dxa"/>
            <w:gridSpan w:val="5"/>
            <w:shd w:val="clear" w:color="auto" w:fill="auto"/>
            <w:vAlign w:val="center"/>
          </w:tcPr>
          <w:p w14:paraId="4190663E" w14:textId="77777777" w:rsidR="00743D88" w:rsidRPr="008105A5" w:rsidRDefault="00743D88" w:rsidP="00743D88">
            <w:pPr>
              <w:rPr>
                <w:sz w:val="22"/>
                <w:szCs w:val="22"/>
              </w:rPr>
            </w:pPr>
          </w:p>
        </w:tc>
      </w:tr>
      <w:tr w:rsidR="00743D88" w:rsidRPr="00C824C0" w14:paraId="03ABC239" w14:textId="77777777" w:rsidTr="00743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14:paraId="698DFE14" w14:textId="566830CB" w:rsidR="00743D88" w:rsidRPr="00B90272" w:rsidRDefault="00743D88" w:rsidP="00743D88">
            <w:pPr>
              <w:rPr>
                <w:sz w:val="22"/>
                <w:szCs w:val="22"/>
              </w:rPr>
            </w:pPr>
            <w:r w:rsidRPr="00181FF8">
              <w:rPr>
                <w:sz w:val="22"/>
                <w:szCs w:val="22"/>
              </w:rPr>
              <w:t>Antagna dokument 17 – 20 oktober 2022</w:t>
            </w:r>
          </w:p>
        </w:tc>
        <w:tc>
          <w:tcPr>
            <w:tcW w:w="8879" w:type="dxa"/>
            <w:gridSpan w:val="5"/>
            <w:shd w:val="clear" w:color="auto" w:fill="auto"/>
            <w:vAlign w:val="center"/>
          </w:tcPr>
          <w:p w14:paraId="075930A4" w14:textId="0AB99941" w:rsidR="00743D88" w:rsidRPr="00B90272" w:rsidRDefault="00743D88" w:rsidP="00743D88">
            <w:pPr>
              <w:rPr>
                <w:sz w:val="22"/>
                <w:szCs w:val="22"/>
              </w:rPr>
            </w:pPr>
            <w:r w:rsidRPr="0062236F">
              <w:rPr>
                <w:sz w:val="22"/>
                <w:szCs w:val="22"/>
              </w:rPr>
              <w:t>Översändande av dokument som antogs av Europaparlamentet under sammanträdesperioden 17</w:t>
            </w:r>
            <w:r>
              <w:rPr>
                <w:sz w:val="22"/>
                <w:szCs w:val="22"/>
              </w:rPr>
              <w:t xml:space="preserve"> – </w:t>
            </w:r>
            <w:r w:rsidRPr="0062236F">
              <w:rPr>
                <w:sz w:val="22"/>
                <w:szCs w:val="22"/>
              </w:rPr>
              <w:t>20 oktober 2022</w:t>
            </w:r>
            <w:r>
              <w:rPr>
                <w:rStyle w:val="Hyperlnk"/>
                <w:sz w:val="22"/>
                <w:szCs w:val="22"/>
              </w:rPr>
              <w:br/>
            </w:r>
          </w:p>
        </w:tc>
      </w:tr>
      <w:tr w:rsidR="00743D88" w:rsidRPr="00C824C0" w14:paraId="04DA8671" w14:textId="77777777" w:rsidTr="00743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14:paraId="17D8A608" w14:textId="4EE5C2C8" w:rsidR="00743D88" w:rsidRPr="00920971" w:rsidRDefault="00743D88" w:rsidP="00743D88">
            <w:pPr>
              <w:rPr>
                <w:b/>
                <w:bCs/>
                <w:sz w:val="22"/>
                <w:szCs w:val="22"/>
              </w:rPr>
            </w:pPr>
            <w:r>
              <w:rPr>
                <w:b/>
                <w:sz w:val="22"/>
                <w:szCs w:val="22"/>
              </w:rPr>
              <w:t>Färdplaner</w:t>
            </w:r>
          </w:p>
        </w:tc>
        <w:tc>
          <w:tcPr>
            <w:tcW w:w="8879" w:type="dxa"/>
            <w:gridSpan w:val="5"/>
            <w:shd w:val="clear" w:color="auto" w:fill="auto"/>
            <w:vAlign w:val="center"/>
          </w:tcPr>
          <w:p w14:paraId="6D6633B5" w14:textId="77777777" w:rsidR="00743D88" w:rsidRPr="00C824C0" w:rsidRDefault="00743D88" w:rsidP="00743D88">
            <w:pPr>
              <w:rPr>
                <w:rStyle w:val="Hyperlnk"/>
                <w:sz w:val="22"/>
                <w:szCs w:val="22"/>
              </w:rPr>
            </w:pPr>
          </w:p>
        </w:tc>
      </w:tr>
      <w:tr w:rsidR="00743D88" w:rsidRPr="00B714E7" w14:paraId="2FB75847" w14:textId="77777777" w:rsidTr="00743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14:paraId="4E644EE1" w14:textId="77777777" w:rsidR="00743D88" w:rsidRPr="00C824C0" w:rsidRDefault="00743D88" w:rsidP="00743D88">
            <w:pPr>
              <w:rPr>
                <w:b/>
                <w:bCs/>
                <w:sz w:val="22"/>
                <w:szCs w:val="22"/>
              </w:rPr>
            </w:pPr>
          </w:p>
        </w:tc>
        <w:tc>
          <w:tcPr>
            <w:tcW w:w="8879" w:type="dxa"/>
            <w:gridSpan w:val="5"/>
            <w:shd w:val="clear" w:color="auto" w:fill="auto"/>
            <w:vAlign w:val="center"/>
          </w:tcPr>
          <w:p w14:paraId="34A5725E" w14:textId="3F26AEB9" w:rsidR="00743D88" w:rsidRDefault="005610EC" w:rsidP="000B1ACE">
            <w:pPr>
              <w:rPr>
                <w:sz w:val="22"/>
                <w:szCs w:val="22"/>
                <w:lang w:val="en-GB"/>
              </w:rPr>
            </w:pPr>
            <w:hyperlink r:id="rId24" w:history="1">
              <w:r w:rsidR="000B1ACE" w:rsidRPr="00F3734F">
                <w:rPr>
                  <w:sz w:val="22"/>
                  <w:szCs w:val="22"/>
                  <w:lang w:val="en-GB"/>
                </w:rPr>
                <w:t>Fitness check of how the Polluter Pays Principle is applied to the environment</w:t>
              </w:r>
            </w:hyperlink>
            <w:r w:rsidR="000B1ACE" w:rsidRPr="00F3734F">
              <w:rPr>
                <w:sz w:val="22"/>
                <w:szCs w:val="22"/>
                <w:lang w:val="en-GB"/>
              </w:rPr>
              <w:t xml:space="preserve"> </w:t>
            </w:r>
            <w:r w:rsidR="000B1ACE" w:rsidRPr="00F3734F">
              <w:rPr>
                <w:sz w:val="22"/>
                <w:szCs w:val="22"/>
                <w:lang w:val="en-GB"/>
              </w:rPr>
              <w:br/>
            </w:r>
            <w:r w:rsidR="000B1ACE" w:rsidRPr="00F3734F">
              <w:rPr>
                <w:sz w:val="22"/>
                <w:szCs w:val="22"/>
                <w:lang w:val="en-GB"/>
              </w:rPr>
              <w:br/>
            </w:r>
            <w:hyperlink r:id="rId25" w:history="1">
              <w:r w:rsidR="000B1ACE" w:rsidRPr="00F3734F">
                <w:rPr>
                  <w:sz w:val="22"/>
                  <w:szCs w:val="22"/>
                  <w:lang w:val="en-GB"/>
                </w:rPr>
                <w:t>Energy transition of EU fisheries and aquaculture sector</w:t>
              </w:r>
            </w:hyperlink>
            <w:r w:rsidR="000B1ACE" w:rsidRPr="00F3734F">
              <w:rPr>
                <w:sz w:val="22"/>
                <w:szCs w:val="22"/>
                <w:lang w:val="en-GB"/>
              </w:rPr>
              <w:t xml:space="preserve"> </w:t>
            </w:r>
          </w:p>
          <w:p w14:paraId="7932DF8F" w14:textId="5D30CFEC" w:rsidR="00035595" w:rsidRPr="000B1ACE" w:rsidRDefault="00035595" w:rsidP="000B1ACE">
            <w:pPr>
              <w:rPr>
                <w:rStyle w:val="Hyperlnk"/>
                <w:sz w:val="22"/>
                <w:szCs w:val="22"/>
                <w:lang w:val="en-GB"/>
              </w:rPr>
            </w:pPr>
          </w:p>
        </w:tc>
      </w:tr>
      <w:tr w:rsidR="000B1ACE" w:rsidRPr="00C824C0" w14:paraId="0663480D" w14:textId="77777777" w:rsidTr="000B1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14:paraId="6CB51757" w14:textId="28992440" w:rsidR="000B1ACE" w:rsidRPr="008A243B" w:rsidRDefault="000B1ACE" w:rsidP="000B1ACE">
            <w:pPr>
              <w:rPr>
                <w:bCs/>
                <w:sz w:val="22"/>
                <w:szCs w:val="22"/>
              </w:rPr>
            </w:pPr>
            <w:r w:rsidRPr="005D76B4">
              <w:rPr>
                <w:b/>
                <w:sz w:val="22"/>
                <w:szCs w:val="22"/>
              </w:rPr>
              <w:t>Yttranden från andra nationella parlament</w:t>
            </w:r>
          </w:p>
        </w:tc>
        <w:tc>
          <w:tcPr>
            <w:tcW w:w="8879" w:type="dxa"/>
            <w:gridSpan w:val="5"/>
            <w:shd w:val="clear" w:color="auto" w:fill="auto"/>
            <w:vAlign w:val="center"/>
          </w:tcPr>
          <w:p w14:paraId="7A4D6687" w14:textId="77777777" w:rsidR="000B1ACE" w:rsidRPr="008A243B" w:rsidRDefault="000B1ACE" w:rsidP="000B1ACE">
            <w:pPr>
              <w:rPr>
                <w:sz w:val="22"/>
                <w:szCs w:val="22"/>
              </w:rPr>
            </w:pPr>
          </w:p>
        </w:tc>
      </w:tr>
      <w:tr w:rsidR="000B1ACE" w:rsidRPr="00B714E7" w14:paraId="073D32F5" w14:textId="77777777" w:rsidTr="000B1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14:paraId="6A510E12" w14:textId="77777777" w:rsidR="000B1ACE" w:rsidRPr="008A243B" w:rsidRDefault="000B1ACE" w:rsidP="000B1ACE">
            <w:pPr>
              <w:rPr>
                <w:bCs/>
                <w:sz w:val="22"/>
                <w:szCs w:val="22"/>
              </w:rPr>
            </w:pPr>
          </w:p>
        </w:tc>
        <w:tc>
          <w:tcPr>
            <w:tcW w:w="8879" w:type="dxa"/>
            <w:gridSpan w:val="5"/>
            <w:shd w:val="clear" w:color="auto" w:fill="auto"/>
            <w:vAlign w:val="center"/>
          </w:tcPr>
          <w:p w14:paraId="4295C897" w14:textId="636EB9F7" w:rsidR="000B1ACE" w:rsidRPr="000B1ACE" w:rsidRDefault="000B1ACE" w:rsidP="000B1ACE">
            <w:pPr>
              <w:rPr>
                <w:sz w:val="22"/>
                <w:szCs w:val="22"/>
                <w:lang w:val="en-GB"/>
              </w:rPr>
            </w:pPr>
            <w:r w:rsidRPr="00D30837">
              <w:rPr>
                <w:sz w:val="22"/>
                <w:szCs w:val="22"/>
                <w:lang w:val="en-GB"/>
              </w:rPr>
              <w:t xml:space="preserve">Proposal for a REGULATION OF THE EUROPEAN PARLIAMENT AND OF THE COUNCIL </w:t>
            </w:r>
            <w:r w:rsidRPr="005C6740">
              <w:rPr>
                <w:sz w:val="22"/>
                <w:szCs w:val="22"/>
                <w:lang w:val="en-GB"/>
              </w:rPr>
              <w:t xml:space="preserve">on </w:t>
            </w:r>
            <w:r w:rsidRPr="005C6740">
              <w:rPr>
                <w:b/>
                <w:bCs/>
                <w:sz w:val="22"/>
                <w:szCs w:val="22"/>
                <w:lang w:val="en-GB"/>
              </w:rPr>
              <w:t>nature restoration</w:t>
            </w:r>
            <w:r w:rsidRPr="00D30837">
              <w:rPr>
                <w:sz w:val="22"/>
                <w:szCs w:val="22"/>
                <w:lang w:val="en-GB"/>
              </w:rPr>
              <w:t xml:space="preserve"> [10607/22 + ADD 1 – COM (2022) 304 final + Annex] - Opinion on the application of the Principles of Subsidiarity and Proportionality - Parliament of Finland</w:t>
            </w:r>
            <w:r w:rsidRPr="00D30837">
              <w:rPr>
                <w:sz w:val="22"/>
                <w:szCs w:val="22"/>
                <w:lang w:val="en-GB"/>
              </w:rPr>
              <w:br/>
            </w:r>
          </w:p>
        </w:tc>
      </w:tr>
      <w:tr w:rsidR="000B1ACE" w:rsidRPr="000B1ACE" w14:paraId="79911362" w14:textId="77777777" w:rsidTr="000B1A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shd w:val="clear" w:color="auto" w:fill="auto"/>
            <w:vAlign w:val="center"/>
          </w:tcPr>
          <w:p w14:paraId="1E697CEF" w14:textId="288C2A4C" w:rsidR="000B1ACE" w:rsidRPr="000B1ACE" w:rsidRDefault="000B1ACE" w:rsidP="000B1ACE">
            <w:pPr>
              <w:rPr>
                <w:bCs/>
                <w:sz w:val="22"/>
                <w:szCs w:val="22"/>
                <w:lang w:val="en-GB"/>
              </w:rPr>
            </w:pPr>
            <w:r w:rsidRPr="00C824C0">
              <w:rPr>
                <w:b/>
                <w:bCs/>
                <w:sz w:val="22"/>
                <w:szCs w:val="22"/>
              </w:rPr>
              <w:t>Övrigt</w:t>
            </w:r>
          </w:p>
        </w:tc>
        <w:tc>
          <w:tcPr>
            <w:tcW w:w="8879" w:type="dxa"/>
            <w:gridSpan w:val="5"/>
            <w:shd w:val="clear" w:color="auto" w:fill="auto"/>
            <w:vAlign w:val="center"/>
          </w:tcPr>
          <w:p w14:paraId="4FEAB0E5" w14:textId="77777777" w:rsidR="000B1ACE" w:rsidRPr="000B1ACE" w:rsidRDefault="000B1ACE" w:rsidP="000B1ACE">
            <w:pPr>
              <w:rPr>
                <w:sz w:val="22"/>
                <w:szCs w:val="22"/>
                <w:lang w:val="en-GB"/>
              </w:rPr>
            </w:pPr>
          </w:p>
        </w:tc>
      </w:tr>
      <w:tr w:rsidR="000B1ACE" w:rsidRPr="000B1ACE" w14:paraId="5C19CFE0" w14:textId="77777777" w:rsidTr="00743D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tcBorders>
              <w:bottom w:val="single" w:sz="4" w:space="0" w:color="auto"/>
            </w:tcBorders>
            <w:shd w:val="clear" w:color="auto" w:fill="auto"/>
            <w:vAlign w:val="center"/>
          </w:tcPr>
          <w:p w14:paraId="2C472F5F" w14:textId="77777777" w:rsidR="000B1ACE" w:rsidRPr="00C824C0" w:rsidRDefault="000B1ACE" w:rsidP="000B1ACE">
            <w:pPr>
              <w:rPr>
                <w:b/>
                <w:bCs/>
                <w:sz w:val="22"/>
                <w:szCs w:val="22"/>
              </w:rPr>
            </w:pPr>
          </w:p>
        </w:tc>
        <w:tc>
          <w:tcPr>
            <w:tcW w:w="8879" w:type="dxa"/>
            <w:gridSpan w:val="5"/>
            <w:tcBorders>
              <w:bottom w:val="single" w:sz="4" w:space="0" w:color="auto"/>
            </w:tcBorders>
            <w:shd w:val="clear" w:color="auto" w:fill="auto"/>
            <w:vAlign w:val="center"/>
          </w:tcPr>
          <w:p w14:paraId="1FDC0FE7" w14:textId="77777777" w:rsidR="000B1ACE" w:rsidRDefault="000B1ACE" w:rsidP="000B1ACE">
            <w:pPr>
              <w:rPr>
                <w:sz w:val="22"/>
                <w:szCs w:val="22"/>
              </w:rPr>
            </w:pPr>
            <w:r w:rsidRPr="005C6A3D">
              <w:rPr>
                <w:sz w:val="22"/>
                <w:szCs w:val="22"/>
              </w:rPr>
              <w:t xml:space="preserve">Svar på motiverat yttrande om bristande införlivande av artikel 12.1 första stycket led a i Europaparlamentets och rådets direktiv 2004/35/EG om </w:t>
            </w:r>
            <w:r w:rsidRPr="005C6740">
              <w:rPr>
                <w:b/>
                <w:bCs/>
                <w:sz w:val="22"/>
                <w:szCs w:val="22"/>
              </w:rPr>
              <w:t>miljöansvar för att förebygga och avhjälpa miljöskador</w:t>
            </w:r>
            <w:r w:rsidRPr="005C6A3D">
              <w:rPr>
                <w:sz w:val="22"/>
                <w:szCs w:val="22"/>
              </w:rPr>
              <w:t xml:space="preserve"> (KOM:s ref. C(2022)6367, överträdelsenummer 2020/2114)</w:t>
            </w:r>
          </w:p>
          <w:p w14:paraId="41F12B60" w14:textId="24D5243D" w:rsidR="00035595" w:rsidRPr="000B1ACE" w:rsidRDefault="00035595" w:rsidP="000B1ACE">
            <w:pPr>
              <w:rPr>
                <w:sz w:val="22"/>
                <w:szCs w:val="22"/>
                <w:lang w:val="en-GB"/>
              </w:rPr>
            </w:pPr>
          </w:p>
        </w:tc>
      </w:tr>
    </w:tbl>
    <w:p w14:paraId="29CFC9B4" w14:textId="77777777" w:rsidR="003A2D61" w:rsidRPr="000B1ACE" w:rsidRDefault="003A2D61">
      <w:pPr>
        <w:widowControl/>
        <w:rPr>
          <w:sz w:val="22"/>
          <w:szCs w:val="22"/>
          <w:lang w:val="en-GB"/>
        </w:rPr>
      </w:pPr>
    </w:p>
    <w:bookmarkEnd w:id="3"/>
    <w:p w14:paraId="7996B3B0" w14:textId="77777777" w:rsidR="00D1794C" w:rsidRPr="000B1ACE" w:rsidRDefault="00D1794C">
      <w:pPr>
        <w:widowControl/>
        <w:rPr>
          <w:sz w:val="22"/>
          <w:szCs w:val="22"/>
          <w:lang w:val="en-GB"/>
        </w:rPr>
      </w:pPr>
    </w:p>
    <w:sectPr w:rsidR="00D1794C" w:rsidRPr="000B1ACE"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AA1F9" w14:textId="77777777" w:rsidR="005610EC" w:rsidRDefault="005610EC">
      <w:r>
        <w:separator/>
      </w:r>
    </w:p>
  </w:endnote>
  <w:endnote w:type="continuationSeparator" w:id="0">
    <w:p w14:paraId="6BDD3558" w14:textId="77777777" w:rsidR="005610EC" w:rsidRDefault="00561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6EFE2" w14:textId="77777777" w:rsidR="005610EC" w:rsidRDefault="005610EC">
      <w:r>
        <w:separator/>
      </w:r>
    </w:p>
  </w:footnote>
  <w:footnote w:type="continuationSeparator" w:id="0">
    <w:p w14:paraId="634F20BD" w14:textId="77777777" w:rsidR="005610EC" w:rsidRDefault="00561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3928"/>
    <w:rsid w:val="000340CE"/>
    <w:rsid w:val="0003479D"/>
    <w:rsid w:val="00034F00"/>
    <w:rsid w:val="00035595"/>
    <w:rsid w:val="000402B4"/>
    <w:rsid w:val="00040A3C"/>
    <w:rsid w:val="00041991"/>
    <w:rsid w:val="000459DE"/>
    <w:rsid w:val="000467A5"/>
    <w:rsid w:val="000604E3"/>
    <w:rsid w:val="00061437"/>
    <w:rsid w:val="00064523"/>
    <w:rsid w:val="00065BC5"/>
    <w:rsid w:val="00070A5C"/>
    <w:rsid w:val="00071FBC"/>
    <w:rsid w:val="00076BDD"/>
    <w:rsid w:val="00086A67"/>
    <w:rsid w:val="00087ADB"/>
    <w:rsid w:val="00091EA6"/>
    <w:rsid w:val="000A29E4"/>
    <w:rsid w:val="000B1ACE"/>
    <w:rsid w:val="000D4425"/>
    <w:rsid w:val="000E402E"/>
    <w:rsid w:val="000E777E"/>
    <w:rsid w:val="000F6792"/>
    <w:rsid w:val="000F7521"/>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709AE"/>
    <w:rsid w:val="00172561"/>
    <w:rsid w:val="00176F71"/>
    <w:rsid w:val="00177FF8"/>
    <w:rsid w:val="001806D9"/>
    <w:rsid w:val="00183F5A"/>
    <w:rsid w:val="00190D5B"/>
    <w:rsid w:val="001A198D"/>
    <w:rsid w:val="001A35A0"/>
    <w:rsid w:val="001D7100"/>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505C6"/>
    <w:rsid w:val="0025203B"/>
    <w:rsid w:val="00254C5A"/>
    <w:rsid w:val="0025725D"/>
    <w:rsid w:val="00267A73"/>
    <w:rsid w:val="002830F4"/>
    <w:rsid w:val="00286C79"/>
    <w:rsid w:val="00287223"/>
    <w:rsid w:val="002968EE"/>
    <w:rsid w:val="002A14AC"/>
    <w:rsid w:val="002A3C5F"/>
    <w:rsid w:val="002C1D92"/>
    <w:rsid w:val="002C5FED"/>
    <w:rsid w:val="002C7BBF"/>
    <w:rsid w:val="002D06F9"/>
    <w:rsid w:val="002D20B8"/>
    <w:rsid w:val="002D5CC4"/>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25A"/>
    <w:rsid w:val="00387440"/>
    <w:rsid w:val="003941CA"/>
    <w:rsid w:val="00395EBD"/>
    <w:rsid w:val="00396766"/>
    <w:rsid w:val="003A006F"/>
    <w:rsid w:val="003A2D61"/>
    <w:rsid w:val="003B009D"/>
    <w:rsid w:val="003B57EC"/>
    <w:rsid w:val="003B70D3"/>
    <w:rsid w:val="003E21B4"/>
    <w:rsid w:val="003E2DA5"/>
    <w:rsid w:val="003F5018"/>
    <w:rsid w:val="003F7963"/>
    <w:rsid w:val="00402A6F"/>
    <w:rsid w:val="00405162"/>
    <w:rsid w:val="004072D7"/>
    <w:rsid w:val="00416E51"/>
    <w:rsid w:val="00417CF8"/>
    <w:rsid w:val="00420D39"/>
    <w:rsid w:val="00427033"/>
    <w:rsid w:val="004310CA"/>
    <w:rsid w:val="00440E5D"/>
    <w:rsid w:val="00451DB7"/>
    <w:rsid w:val="00463E6E"/>
    <w:rsid w:val="00467848"/>
    <w:rsid w:val="00470F4B"/>
    <w:rsid w:val="004763AE"/>
    <w:rsid w:val="0047654D"/>
    <w:rsid w:val="00480B2A"/>
    <w:rsid w:val="00481A80"/>
    <w:rsid w:val="00481AE3"/>
    <w:rsid w:val="00482D9A"/>
    <w:rsid w:val="00485C5B"/>
    <w:rsid w:val="004945A7"/>
    <w:rsid w:val="004A5400"/>
    <w:rsid w:val="004B1E7E"/>
    <w:rsid w:val="004C58F4"/>
    <w:rsid w:val="004D422E"/>
    <w:rsid w:val="004D6725"/>
    <w:rsid w:val="004E030E"/>
    <w:rsid w:val="004E0E27"/>
    <w:rsid w:val="004E4C8B"/>
    <w:rsid w:val="004E7DCE"/>
    <w:rsid w:val="00501F97"/>
    <w:rsid w:val="00505A58"/>
    <w:rsid w:val="005118EF"/>
    <w:rsid w:val="00512799"/>
    <w:rsid w:val="0051377A"/>
    <w:rsid w:val="00515AC5"/>
    <w:rsid w:val="00523D80"/>
    <w:rsid w:val="005249C1"/>
    <w:rsid w:val="00530BD4"/>
    <w:rsid w:val="00545E92"/>
    <w:rsid w:val="0055441A"/>
    <w:rsid w:val="005610EC"/>
    <w:rsid w:val="005654CA"/>
    <w:rsid w:val="00573E17"/>
    <w:rsid w:val="00573F9E"/>
    <w:rsid w:val="00575332"/>
    <w:rsid w:val="005855D5"/>
    <w:rsid w:val="00592704"/>
    <w:rsid w:val="005957E5"/>
    <w:rsid w:val="005A3E8B"/>
    <w:rsid w:val="005B0CFF"/>
    <w:rsid w:val="005B1B2C"/>
    <w:rsid w:val="005D2E63"/>
    <w:rsid w:val="005D7C2B"/>
    <w:rsid w:val="005E6A1F"/>
    <w:rsid w:val="005F6C39"/>
    <w:rsid w:val="005F6E22"/>
    <w:rsid w:val="0060083A"/>
    <w:rsid w:val="00605599"/>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9597E"/>
    <w:rsid w:val="006A49EA"/>
    <w:rsid w:val="006A63A7"/>
    <w:rsid w:val="006C1EB7"/>
    <w:rsid w:val="006D05CF"/>
    <w:rsid w:val="006D312E"/>
    <w:rsid w:val="006D4530"/>
    <w:rsid w:val="006D5F8F"/>
    <w:rsid w:val="006E15D9"/>
    <w:rsid w:val="006F4672"/>
    <w:rsid w:val="007027D6"/>
    <w:rsid w:val="00716686"/>
    <w:rsid w:val="00721C53"/>
    <w:rsid w:val="007238FF"/>
    <w:rsid w:val="00740391"/>
    <w:rsid w:val="00743D88"/>
    <w:rsid w:val="007453FF"/>
    <w:rsid w:val="00754C4A"/>
    <w:rsid w:val="007555BE"/>
    <w:rsid w:val="007575CE"/>
    <w:rsid w:val="00762508"/>
    <w:rsid w:val="00764DCA"/>
    <w:rsid w:val="007719E4"/>
    <w:rsid w:val="00783165"/>
    <w:rsid w:val="00796426"/>
    <w:rsid w:val="00797A27"/>
    <w:rsid w:val="007A1132"/>
    <w:rsid w:val="007B1F72"/>
    <w:rsid w:val="007B26F0"/>
    <w:rsid w:val="007C286F"/>
    <w:rsid w:val="007E14E2"/>
    <w:rsid w:val="007F12BB"/>
    <w:rsid w:val="007F7A91"/>
    <w:rsid w:val="00800F79"/>
    <w:rsid w:val="008032FE"/>
    <w:rsid w:val="008072FF"/>
    <w:rsid w:val="008124A2"/>
    <w:rsid w:val="00821792"/>
    <w:rsid w:val="00834E22"/>
    <w:rsid w:val="0084464A"/>
    <w:rsid w:val="008458B4"/>
    <w:rsid w:val="008504EB"/>
    <w:rsid w:val="008537E1"/>
    <w:rsid w:val="00856389"/>
    <w:rsid w:val="00865092"/>
    <w:rsid w:val="00865C85"/>
    <w:rsid w:val="008856C5"/>
    <w:rsid w:val="00886349"/>
    <w:rsid w:val="00894936"/>
    <w:rsid w:val="0089673E"/>
    <w:rsid w:val="008A28BD"/>
    <w:rsid w:val="008A2C1B"/>
    <w:rsid w:val="008B5472"/>
    <w:rsid w:val="008B5D35"/>
    <w:rsid w:val="008B7CC5"/>
    <w:rsid w:val="008C0FEE"/>
    <w:rsid w:val="008C2D5B"/>
    <w:rsid w:val="008D1260"/>
    <w:rsid w:val="008D692B"/>
    <w:rsid w:val="008E1864"/>
    <w:rsid w:val="008E6B40"/>
    <w:rsid w:val="008F4883"/>
    <w:rsid w:val="008F4D6D"/>
    <w:rsid w:val="00911B90"/>
    <w:rsid w:val="009123AE"/>
    <w:rsid w:val="00914C38"/>
    <w:rsid w:val="00921E40"/>
    <w:rsid w:val="009222A6"/>
    <w:rsid w:val="00922EB0"/>
    <w:rsid w:val="009442D4"/>
    <w:rsid w:val="00952893"/>
    <w:rsid w:val="00955CA2"/>
    <w:rsid w:val="00957936"/>
    <w:rsid w:val="009653D4"/>
    <w:rsid w:val="009802CA"/>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3943"/>
    <w:rsid w:val="00A04AA9"/>
    <w:rsid w:val="00A25D52"/>
    <w:rsid w:val="00A34130"/>
    <w:rsid w:val="00A375CF"/>
    <w:rsid w:val="00A37731"/>
    <w:rsid w:val="00A51307"/>
    <w:rsid w:val="00A52D18"/>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C3850"/>
    <w:rsid w:val="00AD2143"/>
    <w:rsid w:val="00AD2B50"/>
    <w:rsid w:val="00AD4D95"/>
    <w:rsid w:val="00AE0071"/>
    <w:rsid w:val="00AE6FBC"/>
    <w:rsid w:val="00AF00D1"/>
    <w:rsid w:val="00AF70B0"/>
    <w:rsid w:val="00B02783"/>
    <w:rsid w:val="00B0296A"/>
    <w:rsid w:val="00B03D1F"/>
    <w:rsid w:val="00B04E15"/>
    <w:rsid w:val="00B070A2"/>
    <w:rsid w:val="00B10BE1"/>
    <w:rsid w:val="00B16C18"/>
    <w:rsid w:val="00B22F3B"/>
    <w:rsid w:val="00B24B9D"/>
    <w:rsid w:val="00B26D29"/>
    <w:rsid w:val="00B3182D"/>
    <w:rsid w:val="00B35D41"/>
    <w:rsid w:val="00B40F4D"/>
    <w:rsid w:val="00B419CA"/>
    <w:rsid w:val="00B54A57"/>
    <w:rsid w:val="00B5691D"/>
    <w:rsid w:val="00B579F1"/>
    <w:rsid w:val="00B62905"/>
    <w:rsid w:val="00B664F7"/>
    <w:rsid w:val="00B714E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90"/>
    <w:rsid w:val="00BF0D09"/>
    <w:rsid w:val="00BF17F3"/>
    <w:rsid w:val="00C013F6"/>
    <w:rsid w:val="00C030B2"/>
    <w:rsid w:val="00C11E5F"/>
    <w:rsid w:val="00C20B9F"/>
    <w:rsid w:val="00C20F78"/>
    <w:rsid w:val="00C21D77"/>
    <w:rsid w:val="00C22E5F"/>
    <w:rsid w:val="00C367C6"/>
    <w:rsid w:val="00C55553"/>
    <w:rsid w:val="00C65F27"/>
    <w:rsid w:val="00C6697A"/>
    <w:rsid w:val="00C674DC"/>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142"/>
    <w:rsid w:val="00D139CC"/>
    <w:rsid w:val="00D1794C"/>
    <w:rsid w:val="00D27454"/>
    <w:rsid w:val="00D27A57"/>
    <w:rsid w:val="00D27BCE"/>
    <w:rsid w:val="00D303F8"/>
    <w:rsid w:val="00D30A97"/>
    <w:rsid w:val="00D46465"/>
    <w:rsid w:val="00D5250E"/>
    <w:rsid w:val="00D61553"/>
    <w:rsid w:val="00D72821"/>
    <w:rsid w:val="00D7301B"/>
    <w:rsid w:val="00D75A18"/>
    <w:rsid w:val="00D775F0"/>
    <w:rsid w:val="00D830E6"/>
    <w:rsid w:val="00D87D66"/>
    <w:rsid w:val="00D94F64"/>
    <w:rsid w:val="00D95C10"/>
    <w:rsid w:val="00DA2753"/>
    <w:rsid w:val="00DA2C47"/>
    <w:rsid w:val="00DA34F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43C72"/>
    <w:rsid w:val="00E44E30"/>
    <w:rsid w:val="00E47577"/>
    <w:rsid w:val="00E53E73"/>
    <w:rsid w:val="00E54E79"/>
    <w:rsid w:val="00E60AE8"/>
    <w:rsid w:val="00E711AA"/>
    <w:rsid w:val="00EA5C1E"/>
    <w:rsid w:val="00EB19C3"/>
    <w:rsid w:val="00EB321F"/>
    <w:rsid w:val="00EB5801"/>
    <w:rsid w:val="00EC7E9B"/>
    <w:rsid w:val="00ED2B25"/>
    <w:rsid w:val="00EE0BF7"/>
    <w:rsid w:val="00EE6E7B"/>
    <w:rsid w:val="00EF1B0A"/>
    <w:rsid w:val="00EF4ADF"/>
    <w:rsid w:val="00EF4B6A"/>
    <w:rsid w:val="00F13B23"/>
    <w:rsid w:val="00F143DB"/>
    <w:rsid w:val="00F25AFF"/>
    <w:rsid w:val="00F3734F"/>
    <w:rsid w:val="00F52E1E"/>
    <w:rsid w:val="00F54B7B"/>
    <w:rsid w:val="00F6549A"/>
    <w:rsid w:val="00F65F54"/>
    <w:rsid w:val="00F66FF9"/>
    <w:rsid w:val="00F73CB8"/>
    <w:rsid w:val="00F73D67"/>
    <w:rsid w:val="00F73D97"/>
    <w:rsid w:val="00F755B2"/>
    <w:rsid w:val="00F82610"/>
    <w:rsid w:val="00F832D2"/>
    <w:rsid w:val="00F86DDF"/>
    <w:rsid w:val="00F902C3"/>
    <w:rsid w:val="00F97D4A"/>
    <w:rsid w:val="00FA2B53"/>
    <w:rsid w:val="00FA6C99"/>
    <w:rsid w:val="00FB0559"/>
    <w:rsid w:val="00FB5AF3"/>
    <w:rsid w:val="00FC1B12"/>
    <w:rsid w:val="00FC227B"/>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uiPriority w:val="99"/>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F37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 w:id="203483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emur.riksdagen.se/?dokumentId=40299" TargetMode="External"/><Relationship Id="rId18" Type="http://schemas.openxmlformats.org/officeDocument/2006/relationships/hyperlink" Target="https://lemur.riksdagen.se/?dokumentId=4030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emur.riksdagen.se/?dokumentId=40279" TargetMode="External"/><Relationship Id="rId7" Type="http://schemas.openxmlformats.org/officeDocument/2006/relationships/endnotes" Target="endnotes.xml"/><Relationship Id="rId12" Type="http://schemas.openxmlformats.org/officeDocument/2006/relationships/hyperlink" Target="https://lemur.riksdagen.se/?dokumentId=40298" TargetMode="External"/><Relationship Id="rId17" Type="http://schemas.openxmlformats.org/officeDocument/2006/relationships/hyperlink" Target="https://lemur.riksdagen.se/?dokumentId=40301" TargetMode="External"/><Relationship Id="rId25" Type="http://schemas.openxmlformats.org/officeDocument/2006/relationships/hyperlink" Target="https://ec.europa.eu/info/law/better-regulation/initiatives/ares-2022-7651710" TargetMode="External"/><Relationship Id="rId2" Type="http://schemas.openxmlformats.org/officeDocument/2006/relationships/numbering" Target="numbering.xml"/><Relationship Id="rId16" Type="http://schemas.openxmlformats.org/officeDocument/2006/relationships/hyperlink" Target="https://lemur.riksdagen.se/?dokumentId=40304" TargetMode="External"/><Relationship Id="rId20" Type="http://schemas.openxmlformats.org/officeDocument/2006/relationships/hyperlink" Target="https://lemur.riksdagen.se/?dokumentId=402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mur.riksdagen.se/?dokumentId=40297" TargetMode="External"/><Relationship Id="rId24" Type="http://schemas.openxmlformats.org/officeDocument/2006/relationships/hyperlink" Target="https://ec.europa.eu/info/law/better-regulation/initiatives/ares-2022-7789078" TargetMode="External"/><Relationship Id="rId5" Type="http://schemas.openxmlformats.org/officeDocument/2006/relationships/webSettings" Target="webSettings.xml"/><Relationship Id="rId15" Type="http://schemas.openxmlformats.org/officeDocument/2006/relationships/hyperlink" Target="https://lemur.riksdagen.se/?dokumentId=40302" TargetMode="External"/><Relationship Id="rId23" Type="http://schemas.openxmlformats.org/officeDocument/2006/relationships/hyperlink" Target="https://lemur.riksdagen.se/Dokument/VisaBilaga.aspx?ID=117794&amp;dokID=40408" TargetMode="External"/><Relationship Id="rId10" Type="http://schemas.openxmlformats.org/officeDocument/2006/relationships/hyperlink" Target="https://lemur.riksdagen.se/?dokumentId=40260" TargetMode="External"/><Relationship Id="rId19" Type="http://schemas.openxmlformats.org/officeDocument/2006/relationships/hyperlink" Target="https://lemur.riksdagen.se/?dokumentId=4027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lemur.riksdagen.se/?dokumentId=40300" TargetMode="External"/><Relationship Id="rId22" Type="http://schemas.openxmlformats.org/officeDocument/2006/relationships/hyperlink" Target="http://lemur.riksdagen.se/?dokumentId=40292"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3526</Words>
  <Characters>21407</Characters>
  <Application>Microsoft Office Word</Application>
  <DocSecurity>0</DocSecurity>
  <Lines>1189</Lines>
  <Paragraphs>437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24496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2023-01-19T10:14:00Z</cp:lastPrinted>
  <dcterms:created xsi:type="dcterms:W3CDTF">2023-01-19T10:15:00Z</dcterms:created>
  <dcterms:modified xsi:type="dcterms:W3CDTF">2023-01-19T10:31:00Z</dcterms:modified>
</cp:coreProperties>
</file>