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E573A">
        <w:tblPrEx>
          <w:tblCellMar>
            <w:top w:w="0" w:type="dxa"/>
            <w:bottom w:w="0" w:type="dxa"/>
          </w:tblCellMar>
        </w:tblPrEx>
        <w:tc>
          <w:tcPr>
            <w:tcW w:w="2268" w:type="dxa"/>
          </w:tcPr>
          <w:p w:rsidR="006E4E11" w:rsidRPr="008E573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E573A" w:rsidRDefault="006E4E11" w:rsidP="007242A3">
            <w:pPr>
              <w:framePr w:w="5035" w:h="1644" w:wrap="notBeside" w:vAnchor="page" w:hAnchor="page" w:x="6573" w:y="721"/>
              <w:rPr>
                <w:rFonts w:ascii="TradeGothic" w:hAnsi="TradeGothic"/>
                <w:i/>
                <w:sz w:val="18"/>
              </w:rPr>
            </w:pPr>
          </w:p>
        </w:tc>
      </w:tr>
      <w:tr w:rsidR="006E4E11" w:rsidRPr="008E573A">
        <w:tblPrEx>
          <w:tblCellMar>
            <w:top w:w="0" w:type="dxa"/>
            <w:bottom w:w="0" w:type="dxa"/>
          </w:tblCellMar>
        </w:tblPrEx>
        <w:tc>
          <w:tcPr>
            <w:tcW w:w="2268" w:type="dxa"/>
          </w:tcPr>
          <w:p w:rsidR="006E4E11" w:rsidRPr="008E573A" w:rsidRDefault="00856A3C" w:rsidP="007242A3">
            <w:pPr>
              <w:framePr w:w="5035" w:h="1644" w:wrap="notBeside" w:vAnchor="page" w:hAnchor="page" w:x="6573" w:y="721"/>
              <w:rPr>
                <w:rFonts w:ascii="TradeGothic" w:hAnsi="TradeGothic"/>
                <w:b/>
                <w:sz w:val="22"/>
              </w:rPr>
            </w:pPr>
            <w:r w:rsidRPr="008E573A">
              <w:rPr>
                <w:rFonts w:ascii="TradeGothic" w:hAnsi="TradeGothic"/>
                <w:b/>
                <w:sz w:val="22"/>
              </w:rPr>
              <w:t xml:space="preserve">Annoteringar </w:t>
            </w:r>
          </w:p>
        </w:tc>
        <w:tc>
          <w:tcPr>
            <w:tcW w:w="2999" w:type="dxa"/>
            <w:gridSpan w:val="2"/>
          </w:tcPr>
          <w:p w:rsidR="006E4E11" w:rsidRPr="008E573A" w:rsidRDefault="006E4E11" w:rsidP="007242A3">
            <w:pPr>
              <w:framePr w:w="5035" w:h="1644" w:wrap="notBeside" w:vAnchor="page" w:hAnchor="page" w:x="6573" w:y="721"/>
              <w:rPr>
                <w:rFonts w:ascii="TradeGothic" w:hAnsi="TradeGothic"/>
                <w:b/>
                <w:sz w:val="22"/>
              </w:rPr>
            </w:pPr>
          </w:p>
        </w:tc>
      </w:tr>
      <w:tr w:rsidR="006E4E11" w:rsidRPr="008E573A">
        <w:tblPrEx>
          <w:tblCellMar>
            <w:top w:w="0" w:type="dxa"/>
            <w:bottom w:w="0" w:type="dxa"/>
          </w:tblCellMar>
        </w:tblPrEx>
        <w:tc>
          <w:tcPr>
            <w:tcW w:w="3402" w:type="dxa"/>
            <w:gridSpan w:val="2"/>
          </w:tcPr>
          <w:p w:rsidR="006E4E11" w:rsidRPr="008E573A" w:rsidRDefault="006E4E11" w:rsidP="007242A3">
            <w:pPr>
              <w:framePr w:w="5035" w:h="1644" w:wrap="notBeside" w:vAnchor="page" w:hAnchor="page" w:x="6573" w:y="721"/>
            </w:pPr>
          </w:p>
        </w:tc>
        <w:tc>
          <w:tcPr>
            <w:tcW w:w="1865" w:type="dxa"/>
          </w:tcPr>
          <w:p w:rsidR="006E4E11" w:rsidRPr="008E573A" w:rsidRDefault="006E4E11" w:rsidP="007242A3">
            <w:pPr>
              <w:framePr w:w="5035" w:h="1644" w:wrap="notBeside" w:vAnchor="page" w:hAnchor="page" w:x="6573" w:y="721"/>
            </w:pPr>
          </w:p>
        </w:tc>
      </w:tr>
      <w:tr w:rsidR="006E4E11" w:rsidRPr="008E573A">
        <w:tblPrEx>
          <w:tblCellMar>
            <w:top w:w="0" w:type="dxa"/>
            <w:bottom w:w="0" w:type="dxa"/>
          </w:tblCellMar>
        </w:tblPrEx>
        <w:tc>
          <w:tcPr>
            <w:tcW w:w="2268" w:type="dxa"/>
          </w:tcPr>
          <w:p w:rsidR="006E4E11" w:rsidRPr="008E573A" w:rsidRDefault="00856A3C" w:rsidP="007242A3">
            <w:pPr>
              <w:framePr w:w="5035" w:h="1644" w:wrap="notBeside" w:vAnchor="page" w:hAnchor="page" w:x="6573" w:y="721"/>
            </w:pPr>
            <w:r w:rsidRPr="008E573A">
              <w:t>20</w:t>
            </w:r>
            <w:r w:rsidR="00557C90" w:rsidRPr="008E573A">
              <w:t>10-</w:t>
            </w:r>
            <w:r w:rsidR="00296623" w:rsidRPr="008E573A">
              <w:t>11-</w:t>
            </w:r>
            <w:r w:rsidR="002047D3" w:rsidRPr="008E573A">
              <w:t>26</w:t>
            </w:r>
          </w:p>
        </w:tc>
        <w:tc>
          <w:tcPr>
            <w:tcW w:w="2999" w:type="dxa"/>
            <w:gridSpan w:val="2"/>
          </w:tcPr>
          <w:p w:rsidR="006E4E11" w:rsidRPr="008E573A" w:rsidRDefault="006E4E11" w:rsidP="007242A3">
            <w:pPr>
              <w:framePr w:w="5035" w:h="1644" w:wrap="notBeside" w:vAnchor="page" w:hAnchor="page" w:x="6573" w:y="721"/>
            </w:pPr>
          </w:p>
        </w:tc>
      </w:tr>
      <w:tr w:rsidR="006E4E11" w:rsidRPr="008E573A">
        <w:tblPrEx>
          <w:tblCellMar>
            <w:top w:w="0" w:type="dxa"/>
            <w:bottom w:w="0" w:type="dxa"/>
          </w:tblCellMar>
        </w:tblPrEx>
        <w:tc>
          <w:tcPr>
            <w:tcW w:w="2268" w:type="dxa"/>
          </w:tcPr>
          <w:p w:rsidR="006E4E11" w:rsidRPr="008E573A" w:rsidRDefault="006E4E11" w:rsidP="007242A3">
            <w:pPr>
              <w:framePr w:w="5035" w:h="1644" w:wrap="notBeside" w:vAnchor="page" w:hAnchor="page" w:x="6573" w:y="721"/>
            </w:pPr>
          </w:p>
        </w:tc>
        <w:tc>
          <w:tcPr>
            <w:tcW w:w="2999" w:type="dxa"/>
            <w:gridSpan w:val="2"/>
          </w:tcPr>
          <w:p w:rsidR="006E4E11" w:rsidRPr="008E573A"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E573A">
        <w:tblPrEx>
          <w:tblCellMar>
            <w:top w:w="0" w:type="dxa"/>
            <w:bottom w:w="0" w:type="dxa"/>
          </w:tblCellMar>
        </w:tblPrEx>
        <w:trPr>
          <w:trHeight w:val="284"/>
        </w:trPr>
        <w:tc>
          <w:tcPr>
            <w:tcW w:w="4911" w:type="dxa"/>
          </w:tcPr>
          <w:p w:rsidR="006E4E11" w:rsidRPr="008E573A" w:rsidRDefault="00856A3C">
            <w:pPr>
              <w:pStyle w:val="Avsndare"/>
              <w:framePr w:h="2483" w:wrap="notBeside" w:x="1504"/>
              <w:rPr>
                <w:b/>
                <w:i w:val="0"/>
                <w:sz w:val="22"/>
              </w:rPr>
            </w:pPr>
            <w:r w:rsidRPr="008E573A">
              <w:rPr>
                <w:b/>
                <w:i w:val="0"/>
                <w:sz w:val="22"/>
              </w:rPr>
              <w:t>Finansdepartementet</w:t>
            </w:r>
          </w:p>
        </w:tc>
      </w:tr>
      <w:tr w:rsidR="006E4E11" w:rsidRPr="008E573A">
        <w:tblPrEx>
          <w:tblCellMar>
            <w:top w:w="0" w:type="dxa"/>
            <w:bottom w:w="0" w:type="dxa"/>
          </w:tblCellMar>
        </w:tblPrEx>
        <w:trPr>
          <w:trHeight w:val="284"/>
        </w:trPr>
        <w:tc>
          <w:tcPr>
            <w:tcW w:w="4911" w:type="dxa"/>
          </w:tcPr>
          <w:p w:rsidR="006E4E11" w:rsidRPr="008E573A" w:rsidRDefault="006E4E11">
            <w:pPr>
              <w:pStyle w:val="Avsndare"/>
              <w:framePr w:h="2483" w:wrap="notBeside" w:x="1504"/>
              <w:rPr>
                <w:bCs/>
                <w:iCs/>
              </w:rPr>
            </w:pPr>
          </w:p>
        </w:tc>
      </w:tr>
      <w:tr w:rsidR="006E4E11" w:rsidRPr="008E573A">
        <w:tblPrEx>
          <w:tblCellMar>
            <w:top w:w="0" w:type="dxa"/>
            <w:bottom w:w="0" w:type="dxa"/>
          </w:tblCellMar>
        </w:tblPrEx>
        <w:trPr>
          <w:trHeight w:val="284"/>
        </w:trPr>
        <w:tc>
          <w:tcPr>
            <w:tcW w:w="4911" w:type="dxa"/>
          </w:tcPr>
          <w:p w:rsidR="006E4E11" w:rsidRPr="008E573A" w:rsidRDefault="006E4E11">
            <w:pPr>
              <w:pStyle w:val="Avsndare"/>
              <w:framePr w:h="2483" w:wrap="notBeside" w:x="1504"/>
              <w:rPr>
                <w:bCs/>
                <w:iCs/>
              </w:rPr>
            </w:pPr>
          </w:p>
        </w:tc>
      </w:tr>
      <w:tr w:rsidR="006E4E11" w:rsidRPr="008E573A">
        <w:tblPrEx>
          <w:tblCellMar>
            <w:top w:w="0" w:type="dxa"/>
            <w:bottom w:w="0" w:type="dxa"/>
          </w:tblCellMar>
        </w:tblPrEx>
        <w:trPr>
          <w:trHeight w:val="284"/>
        </w:trPr>
        <w:tc>
          <w:tcPr>
            <w:tcW w:w="4911" w:type="dxa"/>
          </w:tcPr>
          <w:p w:rsidR="006E4E11" w:rsidRPr="008E573A" w:rsidRDefault="00856A3C">
            <w:pPr>
              <w:pStyle w:val="Avsndare"/>
              <w:framePr w:h="2483" w:wrap="notBeside" w:x="1504"/>
              <w:rPr>
                <w:bCs/>
                <w:iCs/>
              </w:rPr>
            </w:pPr>
            <w:r w:rsidRPr="008E573A">
              <w:rPr>
                <w:bCs/>
                <w:iCs/>
              </w:rPr>
              <w:t>Peter Holmgren</w:t>
            </w:r>
          </w:p>
        </w:tc>
      </w:tr>
      <w:tr w:rsidR="006E4E11" w:rsidRPr="008E573A">
        <w:tblPrEx>
          <w:tblCellMar>
            <w:top w:w="0" w:type="dxa"/>
            <w:bottom w:w="0" w:type="dxa"/>
          </w:tblCellMar>
        </w:tblPrEx>
        <w:trPr>
          <w:trHeight w:val="284"/>
        </w:trPr>
        <w:tc>
          <w:tcPr>
            <w:tcW w:w="4911" w:type="dxa"/>
          </w:tcPr>
          <w:p w:rsidR="006E4E11" w:rsidRPr="008E573A" w:rsidRDefault="006E4E11">
            <w:pPr>
              <w:pStyle w:val="Avsndare"/>
              <w:framePr w:h="2483" w:wrap="notBeside" w:x="1504"/>
              <w:rPr>
                <w:bCs/>
                <w:iCs/>
              </w:rPr>
            </w:pPr>
          </w:p>
        </w:tc>
      </w:tr>
      <w:tr w:rsidR="006E4E11" w:rsidRPr="008E573A">
        <w:tblPrEx>
          <w:tblCellMar>
            <w:top w:w="0" w:type="dxa"/>
            <w:bottom w:w="0" w:type="dxa"/>
          </w:tblCellMar>
        </w:tblPrEx>
        <w:trPr>
          <w:trHeight w:val="284"/>
        </w:trPr>
        <w:tc>
          <w:tcPr>
            <w:tcW w:w="4911" w:type="dxa"/>
          </w:tcPr>
          <w:p w:rsidR="006E4E11" w:rsidRPr="008E573A" w:rsidRDefault="006E4E11">
            <w:pPr>
              <w:pStyle w:val="Avsndare"/>
              <w:framePr w:h="2483" w:wrap="notBeside" w:x="1504"/>
              <w:rPr>
                <w:bCs/>
                <w:iCs/>
              </w:rPr>
            </w:pPr>
          </w:p>
        </w:tc>
      </w:tr>
    </w:tbl>
    <w:p w:rsidR="00856A3C" w:rsidRPr="008E573A" w:rsidRDefault="00856A3C">
      <w:pPr>
        <w:framePr w:w="4400" w:h="2523" w:wrap="notBeside" w:vAnchor="page" w:hAnchor="page" w:x="6453" w:y="2445"/>
        <w:ind w:left="142"/>
      </w:pPr>
    </w:p>
    <w:p w:rsidR="00856A3C" w:rsidRPr="008E573A" w:rsidRDefault="00856A3C">
      <w:pPr>
        <w:framePr w:w="4400" w:h="2523" w:wrap="notBeside" w:vAnchor="page" w:hAnchor="page" w:x="6453" w:y="2445"/>
        <w:ind w:left="142"/>
      </w:pPr>
    </w:p>
    <w:p w:rsidR="00856A3C" w:rsidRPr="008E573A" w:rsidRDefault="00856A3C">
      <w:pPr>
        <w:framePr w:w="4400" w:h="2523" w:wrap="notBeside" w:vAnchor="page" w:hAnchor="page" w:x="6453" w:y="2445"/>
        <w:ind w:left="142"/>
      </w:pPr>
    </w:p>
    <w:p w:rsidR="00F069DE" w:rsidRPr="008E573A" w:rsidRDefault="00856A3C">
      <w:pPr>
        <w:framePr w:w="4400" w:h="2523" w:wrap="notBeside" w:vAnchor="page" w:hAnchor="page" w:x="6453" w:y="2445"/>
        <w:ind w:left="142"/>
      </w:pPr>
      <w:r w:rsidRPr="008E573A">
        <w:t xml:space="preserve">Ekofinrådets möte </w:t>
      </w:r>
      <w:r w:rsidR="00F069DE" w:rsidRPr="008E573A">
        <w:t xml:space="preserve">i </w:t>
      </w:r>
      <w:r w:rsidR="00296623" w:rsidRPr="008E573A">
        <w:t>Bryssel</w:t>
      </w:r>
      <w:r w:rsidR="00F069DE" w:rsidRPr="008E573A">
        <w:t xml:space="preserve"> </w:t>
      </w:r>
    </w:p>
    <w:p w:rsidR="00DA5FE2" w:rsidRPr="008E573A" w:rsidRDefault="00F069DE">
      <w:pPr>
        <w:framePr w:w="4400" w:h="2523" w:wrap="notBeside" w:vAnchor="page" w:hAnchor="page" w:x="6453" w:y="2445"/>
        <w:ind w:left="142"/>
      </w:pPr>
      <w:r w:rsidRPr="008E573A">
        <w:t>den</w:t>
      </w:r>
      <w:r w:rsidR="002047D3" w:rsidRPr="008E573A">
        <w:t xml:space="preserve"> </w:t>
      </w:r>
      <w:r w:rsidR="00296623" w:rsidRPr="008E573A">
        <w:t xml:space="preserve">7 </w:t>
      </w:r>
      <w:r w:rsidR="002047D3" w:rsidRPr="008E573A">
        <w:t>december</w:t>
      </w:r>
      <w:r w:rsidR="00296623" w:rsidRPr="008E573A">
        <w:t xml:space="preserve"> </w:t>
      </w:r>
      <w:r w:rsidRPr="008E573A">
        <w:t>2010</w:t>
      </w:r>
    </w:p>
    <w:p w:rsidR="006E4E11" w:rsidRPr="008E573A" w:rsidRDefault="00856A3C" w:rsidP="00856A3C">
      <w:pPr>
        <w:pStyle w:val="RKrubrik"/>
        <w:pBdr>
          <w:bottom w:val="single" w:sz="4" w:space="1" w:color="000000"/>
        </w:pBdr>
        <w:spacing w:before="0" w:after="0"/>
      </w:pPr>
      <w:r w:rsidRPr="008E573A">
        <w:t>Kommentera</w:t>
      </w:r>
      <w:r w:rsidR="004706A2" w:rsidRPr="008E573A">
        <w:t>d</w:t>
      </w:r>
      <w:r w:rsidRPr="008E573A">
        <w:t xml:space="preserve"> dagordning</w:t>
      </w:r>
    </w:p>
    <w:p w:rsidR="006E4E11" w:rsidRPr="008E573A" w:rsidRDefault="004706A2">
      <w:pPr>
        <w:pStyle w:val="RKnormal"/>
        <w:rPr>
          <w:sz w:val="20"/>
        </w:rPr>
      </w:pPr>
      <w:r w:rsidRPr="008E573A">
        <w:rPr>
          <w:sz w:val="20"/>
        </w:rPr>
        <w:t>- enligt den preliminära dagordning som framkom vid Coreper den</w:t>
      </w:r>
      <w:r w:rsidR="002047D3" w:rsidRPr="008E573A">
        <w:rPr>
          <w:sz w:val="20"/>
        </w:rPr>
        <w:t xml:space="preserve"> 24 november</w:t>
      </w:r>
    </w:p>
    <w:p w:rsidR="004706A2" w:rsidRPr="008E573A" w:rsidRDefault="004706A2" w:rsidP="00856A3C">
      <w:pPr>
        <w:pStyle w:val="RKnormal"/>
        <w:tabs>
          <w:tab w:val="clear" w:pos="2835"/>
          <w:tab w:val="left" w:pos="1701"/>
        </w:tabs>
        <w:rPr>
          <w:b/>
        </w:rPr>
      </w:pPr>
    </w:p>
    <w:p w:rsidR="0089124D" w:rsidRPr="008E573A"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8E573A" w:rsidRDefault="0089124D" w:rsidP="0089124D">
      <w:pPr>
        <w:tabs>
          <w:tab w:val="left" w:pos="1701"/>
        </w:tabs>
        <w:overflowPunct/>
        <w:spacing w:line="240" w:lineRule="auto"/>
        <w:textAlignment w:val="auto"/>
        <w:rPr>
          <w:rFonts w:cs="OrigGarmnd BT"/>
          <w:b/>
          <w:bCs/>
          <w:color w:val="000000"/>
          <w:szCs w:val="24"/>
          <w:lang w:eastAsia="sv-SE"/>
        </w:rPr>
      </w:pPr>
      <w:r w:rsidRPr="008E573A">
        <w:rPr>
          <w:rFonts w:cs="OrigGarmnd BT"/>
          <w:b/>
          <w:bCs/>
          <w:color w:val="000000"/>
          <w:szCs w:val="24"/>
          <w:lang w:eastAsia="sv-SE"/>
        </w:rPr>
        <w:t>1.</w:t>
      </w:r>
      <w:r w:rsidRPr="008E573A">
        <w:rPr>
          <w:rFonts w:cs="OrigGarmnd BT"/>
          <w:b/>
          <w:bCs/>
          <w:color w:val="000000"/>
          <w:szCs w:val="24"/>
          <w:lang w:eastAsia="sv-SE"/>
        </w:rPr>
        <w:tab/>
        <w:t>Antagande av den preliminära dagordningen</w:t>
      </w:r>
    </w:p>
    <w:p w:rsidR="0089124D" w:rsidRPr="008E573A" w:rsidRDefault="0089124D" w:rsidP="0089124D">
      <w:pPr>
        <w:tabs>
          <w:tab w:val="left" w:pos="1701"/>
        </w:tabs>
        <w:overflowPunct/>
        <w:spacing w:line="240" w:lineRule="auto"/>
        <w:textAlignment w:val="auto"/>
        <w:rPr>
          <w:rFonts w:cs="OrigGarmnd BT"/>
          <w:b/>
          <w:bCs/>
          <w:color w:val="000000"/>
          <w:szCs w:val="24"/>
          <w:lang w:eastAsia="sv-SE"/>
        </w:rPr>
      </w:pPr>
    </w:p>
    <w:p w:rsidR="00EF5C7B" w:rsidRPr="008E573A" w:rsidRDefault="00EF5C7B" w:rsidP="0089124D">
      <w:pPr>
        <w:tabs>
          <w:tab w:val="left" w:pos="1701"/>
        </w:tabs>
        <w:overflowPunct/>
        <w:spacing w:line="240" w:lineRule="auto"/>
        <w:textAlignment w:val="auto"/>
        <w:rPr>
          <w:rFonts w:cs="OrigGarmnd BT"/>
          <w:b/>
          <w:bCs/>
          <w:color w:val="000000"/>
          <w:szCs w:val="24"/>
          <w:lang w:eastAsia="sv-SE"/>
        </w:rPr>
      </w:pPr>
    </w:p>
    <w:p w:rsidR="0089124D" w:rsidRPr="008E573A" w:rsidRDefault="0089124D" w:rsidP="0089124D">
      <w:pPr>
        <w:tabs>
          <w:tab w:val="left" w:pos="1701"/>
        </w:tabs>
        <w:overflowPunct/>
        <w:spacing w:line="240" w:lineRule="auto"/>
        <w:textAlignment w:val="auto"/>
        <w:rPr>
          <w:rFonts w:cs="OrigGarmnd BT"/>
          <w:b/>
          <w:bCs/>
          <w:color w:val="000000"/>
          <w:szCs w:val="24"/>
          <w:lang w:eastAsia="sv-SE"/>
        </w:rPr>
      </w:pPr>
      <w:r w:rsidRPr="008E573A">
        <w:rPr>
          <w:rFonts w:cs="OrigGarmnd BT"/>
          <w:b/>
          <w:bCs/>
          <w:color w:val="000000"/>
          <w:szCs w:val="24"/>
          <w:lang w:eastAsia="sv-SE"/>
        </w:rPr>
        <w:t>2/3.</w:t>
      </w:r>
      <w:r w:rsidRPr="008E573A">
        <w:rPr>
          <w:rFonts w:cs="OrigGarmnd BT"/>
          <w:b/>
          <w:bCs/>
          <w:color w:val="000000"/>
          <w:szCs w:val="24"/>
          <w:lang w:eastAsia="sv-SE"/>
        </w:rPr>
        <w:tab/>
        <w:t>Godkännande av listorna över A-punkter</w:t>
      </w:r>
    </w:p>
    <w:p w:rsidR="0089124D" w:rsidRPr="008E573A" w:rsidRDefault="0089124D" w:rsidP="0089124D">
      <w:pPr>
        <w:tabs>
          <w:tab w:val="left" w:pos="1701"/>
        </w:tabs>
        <w:overflowPunct/>
        <w:spacing w:line="240" w:lineRule="auto"/>
        <w:textAlignment w:val="auto"/>
        <w:rPr>
          <w:rFonts w:cs="OrigGarmnd BT"/>
          <w:b/>
          <w:bCs/>
          <w:color w:val="000000"/>
          <w:szCs w:val="24"/>
          <w:lang w:eastAsia="sv-SE"/>
        </w:rPr>
      </w:pPr>
    </w:p>
    <w:p w:rsidR="0089124D" w:rsidRPr="008E573A" w:rsidRDefault="0089124D" w:rsidP="0089124D">
      <w:pPr>
        <w:tabs>
          <w:tab w:val="left" w:pos="1701"/>
        </w:tabs>
        <w:overflowPunct/>
        <w:spacing w:line="240" w:lineRule="auto"/>
        <w:textAlignment w:val="auto"/>
        <w:rPr>
          <w:rFonts w:cs="OrigGarmnd BT"/>
          <w:color w:val="000000"/>
          <w:szCs w:val="24"/>
          <w:lang w:eastAsia="sv-SE"/>
        </w:rPr>
      </w:pPr>
      <w:r w:rsidRPr="008E573A">
        <w:rPr>
          <w:rFonts w:cs="OrigGarmnd BT"/>
          <w:color w:val="000000"/>
          <w:szCs w:val="24"/>
          <w:lang w:eastAsia="sv-SE"/>
        </w:rPr>
        <w:t xml:space="preserve">Det finns i skrivande stund inga </w:t>
      </w:r>
      <w:r w:rsidR="00EF1EDB" w:rsidRPr="008E573A">
        <w:rPr>
          <w:rFonts w:cs="OrigGarmnd BT"/>
          <w:color w:val="000000"/>
          <w:szCs w:val="24"/>
          <w:lang w:eastAsia="sv-SE"/>
        </w:rPr>
        <w:t xml:space="preserve">presenterade listor över </w:t>
      </w:r>
      <w:r w:rsidRPr="008E573A">
        <w:rPr>
          <w:rFonts w:cs="OrigGarmnd BT"/>
          <w:color w:val="000000"/>
          <w:szCs w:val="24"/>
          <w:lang w:eastAsia="sv-SE"/>
        </w:rPr>
        <w:t>tänkbara a-punkter</w:t>
      </w:r>
      <w:r w:rsidR="006855DF" w:rsidRPr="008E573A">
        <w:rPr>
          <w:rFonts w:cs="OrigGarmnd BT"/>
          <w:color w:val="000000"/>
          <w:szCs w:val="24"/>
          <w:lang w:eastAsia="sv-SE"/>
        </w:rPr>
        <w:t xml:space="preserve"> för vare sig lagstift</w:t>
      </w:r>
      <w:r w:rsidR="001365AC" w:rsidRPr="008E573A">
        <w:rPr>
          <w:rFonts w:cs="OrigGarmnd BT"/>
          <w:color w:val="000000"/>
          <w:szCs w:val="24"/>
          <w:lang w:eastAsia="sv-SE"/>
        </w:rPr>
        <w:t xml:space="preserve">ningsöverläggningar </w:t>
      </w:r>
      <w:r w:rsidR="00EF1EDB" w:rsidRPr="008E573A">
        <w:rPr>
          <w:rFonts w:cs="OrigGarmnd BT"/>
          <w:color w:val="000000"/>
          <w:szCs w:val="24"/>
          <w:lang w:eastAsia="sv-SE"/>
        </w:rPr>
        <w:t xml:space="preserve">eller </w:t>
      </w:r>
      <w:r w:rsidR="006855DF" w:rsidRPr="008E573A">
        <w:rPr>
          <w:rFonts w:cs="OrigGarmnd BT"/>
          <w:color w:val="000000"/>
          <w:szCs w:val="24"/>
          <w:lang w:eastAsia="sv-SE"/>
        </w:rPr>
        <w:t>icke-lagstiftande verksamhet</w:t>
      </w:r>
      <w:r w:rsidRPr="008E573A">
        <w:rPr>
          <w:rFonts w:cs="OrigGarmnd BT"/>
          <w:color w:val="000000"/>
          <w:szCs w:val="24"/>
          <w:lang w:eastAsia="sv-SE"/>
        </w:rPr>
        <w:t>.</w:t>
      </w:r>
    </w:p>
    <w:p w:rsidR="0089124D" w:rsidRPr="008E573A" w:rsidRDefault="0089124D" w:rsidP="0089124D">
      <w:pPr>
        <w:tabs>
          <w:tab w:val="left" w:pos="1701"/>
        </w:tabs>
        <w:overflowPunct/>
        <w:spacing w:line="240" w:lineRule="auto"/>
        <w:textAlignment w:val="auto"/>
        <w:rPr>
          <w:rFonts w:cs="OrigGarmnd BT"/>
          <w:color w:val="000000"/>
          <w:szCs w:val="24"/>
          <w:lang w:eastAsia="sv-SE"/>
        </w:rPr>
      </w:pPr>
    </w:p>
    <w:p w:rsidR="0089124D" w:rsidRPr="008E573A" w:rsidRDefault="0089124D" w:rsidP="0089124D">
      <w:pPr>
        <w:tabs>
          <w:tab w:val="left" w:pos="1701"/>
        </w:tabs>
        <w:overflowPunct/>
        <w:spacing w:line="240" w:lineRule="auto"/>
        <w:textAlignment w:val="auto"/>
        <w:rPr>
          <w:rFonts w:cs="OrigGarmnd BT"/>
          <w:color w:val="000000"/>
          <w:szCs w:val="24"/>
          <w:lang w:eastAsia="sv-SE"/>
        </w:rPr>
      </w:pPr>
    </w:p>
    <w:p w:rsidR="00F069DE" w:rsidRPr="008E573A" w:rsidRDefault="0089124D" w:rsidP="0089124D">
      <w:pPr>
        <w:tabs>
          <w:tab w:val="left" w:pos="1701"/>
        </w:tabs>
        <w:overflowPunct/>
        <w:spacing w:line="240" w:lineRule="auto"/>
        <w:textAlignment w:val="auto"/>
        <w:rPr>
          <w:rFonts w:cs="OrigGarmnd BT"/>
          <w:b/>
          <w:bCs/>
          <w:color w:val="000000"/>
          <w:szCs w:val="24"/>
          <w:lang w:eastAsia="sv-SE"/>
        </w:rPr>
      </w:pPr>
      <w:r w:rsidRPr="008E573A">
        <w:rPr>
          <w:rFonts w:cs="OrigGarmnd BT"/>
          <w:b/>
          <w:bCs/>
          <w:color w:val="000000"/>
          <w:szCs w:val="24"/>
          <w:lang w:eastAsia="sv-SE"/>
        </w:rPr>
        <w:t>4.</w:t>
      </w:r>
      <w:r w:rsidRPr="008E573A">
        <w:rPr>
          <w:rFonts w:cs="OrigGarmnd BT"/>
          <w:b/>
          <w:bCs/>
          <w:color w:val="000000"/>
          <w:szCs w:val="24"/>
          <w:lang w:eastAsia="sv-SE"/>
        </w:rPr>
        <w:tab/>
      </w:r>
      <w:r w:rsidR="002047D3" w:rsidRPr="008E573A">
        <w:rPr>
          <w:rFonts w:cs="OrigGarmnd BT"/>
          <w:b/>
          <w:bCs/>
          <w:color w:val="000000"/>
          <w:szCs w:val="24"/>
          <w:lang w:eastAsia="sv-SE"/>
        </w:rPr>
        <w:t>Mervärdesskattebehandling av posttjänster</w:t>
      </w:r>
    </w:p>
    <w:p w:rsidR="0089124D" w:rsidRPr="008E573A" w:rsidRDefault="00F069DE" w:rsidP="0089124D">
      <w:pPr>
        <w:tabs>
          <w:tab w:val="left" w:pos="1701"/>
        </w:tabs>
        <w:overflowPunct/>
        <w:spacing w:line="240" w:lineRule="auto"/>
        <w:textAlignment w:val="auto"/>
        <w:rPr>
          <w:rFonts w:cs="OrigGarmnd BT"/>
          <w:bCs/>
          <w:i/>
          <w:color w:val="000000"/>
          <w:szCs w:val="24"/>
          <w:lang w:eastAsia="sv-SE"/>
        </w:rPr>
      </w:pPr>
      <w:r w:rsidRPr="008E573A">
        <w:rPr>
          <w:rFonts w:cs="OrigGarmnd BT"/>
          <w:bCs/>
          <w:i/>
          <w:color w:val="000000"/>
          <w:szCs w:val="24"/>
          <w:lang w:eastAsia="sv-SE"/>
        </w:rPr>
        <w:tab/>
        <w:t>-</w:t>
      </w:r>
      <w:r w:rsidR="00296623" w:rsidRPr="008E573A">
        <w:rPr>
          <w:rFonts w:cs="OrigGarmnd BT"/>
          <w:bCs/>
          <w:i/>
          <w:color w:val="000000"/>
          <w:szCs w:val="24"/>
          <w:lang w:eastAsia="sv-SE"/>
        </w:rPr>
        <w:t xml:space="preserve"> </w:t>
      </w:r>
      <w:r w:rsidR="002047D3" w:rsidRPr="008E573A">
        <w:rPr>
          <w:rFonts w:cs="OrigGarmnd BT"/>
          <w:bCs/>
          <w:i/>
          <w:color w:val="000000"/>
          <w:szCs w:val="24"/>
          <w:lang w:eastAsia="sv-SE"/>
        </w:rPr>
        <w:t>lägesrapport</w:t>
      </w:r>
      <w:r w:rsidR="0089124D" w:rsidRPr="008E573A">
        <w:rPr>
          <w:rFonts w:cs="OrigGarmnd BT"/>
          <w:bCs/>
          <w:i/>
          <w:color w:val="000000"/>
          <w:szCs w:val="24"/>
          <w:lang w:eastAsia="sv-SE"/>
        </w:rPr>
        <w:t xml:space="preserve"> </w:t>
      </w:r>
    </w:p>
    <w:p w:rsidR="00DA7924" w:rsidRPr="008E573A" w:rsidRDefault="00DA7924" w:rsidP="00DA7924">
      <w:pPr>
        <w:pStyle w:val="RKnormal"/>
      </w:pPr>
    </w:p>
    <w:p w:rsidR="00DA7924" w:rsidRPr="008E573A" w:rsidRDefault="00446811" w:rsidP="00DA7924">
      <w:pPr>
        <w:pStyle w:val="RKnormal"/>
      </w:pPr>
      <w:r w:rsidRPr="008E573A">
        <w:t>Ärendet b</w:t>
      </w:r>
      <w:r w:rsidR="002047D3" w:rsidRPr="008E573A">
        <w:t>lir A-punkt.</w:t>
      </w:r>
    </w:p>
    <w:p w:rsidR="002047D3" w:rsidRPr="008E573A" w:rsidRDefault="002047D3" w:rsidP="00DA7924">
      <w:pPr>
        <w:pStyle w:val="RKnormal"/>
      </w:pPr>
    </w:p>
    <w:p w:rsidR="00510FAE" w:rsidRPr="008E573A" w:rsidRDefault="00510FAE" w:rsidP="0089124D">
      <w:pPr>
        <w:tabs>
          <w:tab w:val="left" w:pos="1701"/>
        </w:tabs>
        <w:overflowPunct/>
        <w:spacing w:line="240" w:lineRule="auto"/>
        <w:textAlignment w:val="auto"/>
        <w:rPr>
          <w:rFonts w:cs="OrigGarmnd BT"/>
          <w:b/>
          <w:bCs/>
          <w:color w:val="000000"/>
          <w:szCs w:val="24"/>
          <w:lang w:eastAsia="sv-SE"/>
        </w:rPr>
      </w:pPr>
    </w:p>
    <w:p w:rsidR="002047D3" w:rsidRPr="008E573A" w:rsidRDefault="00862A80" w:rsidP="0089124D">
      <w:pPr>
        <w:tabs>
          <w:tab w:val="left" w:pos="1701"/>
        </w:tabs>
        <w:overflowPunct/>
        <w:spacing w:line="240" w:lineRule="auto"/>
        <w:textAlignment w:val="auto"/>
        <w:rPr>
          <w:rFonts w:cs="OrigGarmnd BT"/>
          <w:b/>
          <w:bCs/>
          <w:color w:val="000000"/>
          <w:szCs w:val="24"/>
          <w:lang w:eastAsia="sv-SE"/>
        </w:rPr>
      </w:pPr>
      <w:r w:rsidRPr="008E573A">
        <w:rPr>
          <w:rFonts w:cs="OrigGarmnd BT"/>
          <w:b/>
          <w:bCs/>
          <w:color w:val="000000"/>
          <w:szCs w:val="24"/>
          <w:lang w:eastAsia="sv-SE"/>
        </w:rPr>
        <w:t>5</w:t>
      </w:r>
      <w:r w:rsidR="0089124D" w:rsidRPr="008E573A">
        <w:rPr>
          <w:rFonts w:cs="OrigGarmnd BT"/>
          <w:b/>
          <w:bCs/>
          <w:color w:val="000000"/>
          <w:szCs w:val="24"/>
          <w:lang w:eastAsia="sv-SE"/>
        </w:rPr>
        <w:t>.</w:t>
      </w:r>
      <w:r w:rsidR="0089124D" w:rsidRPr="008E573A">
        <w:rPr>
          <w:rFonts w:cs="OrigGarmnd BT"/>
          <w:b/>
          <w:bCs/>
          <w:color w:val="000000"/>
          <w:szCs w:val="24"/>
          <w:lang w:eastAsia="sv-SE"/>
        </w:rPr>
        <w:tab/>
      </w:r>
      <w:r w:rsidR="002047D3" w:rsidRPr="008E573A">
        <w:rPr>
          <w:rFonts w:cs="OrigGarmnd BT"/>
          <w:b/>
          <w:bCs/>
          <w:color w:val="000000"/>
          <w:szCs w:val="24"/>
          <w:lang w:eastAsia="sv-SE"/>
        </w:rPr>
        <w:t>Mervärdesskattebehandling av resebyråer</w:t>
      </w:r>
    </w:p>
    <w:p w:rsidR="0089124D" w:rsidRPr="008E573A" w:rsidRDefault="002047D3" w:rsidP="0089124D">
      <w:pPr>
        <w:tabs>
          <w:tab w:val="left" w:pos="1701"/>
        </w:tabs>
        <w:overflowPunct/>
        <w:spacing w:line="240" w:lineRule="auto"/>
        <w:textAlignment w:val="auto"/>
        <w:rPr>
          <w:rFonts w:cs="OrigGarmnd BT"/>
          <w:i/>
          <w:iCs/>
          <w:color w:val="000000"/>
          <w:szCs w:val="24"/>
          <w:lang w:eastAsia="sv-SE"/>
        </w:rPr>
      </w:pPr>
      <w:r w:rsidRPr="008E573A">
        <w:rPr>
          <w:rFonts w:cs="OrigGarmnd BT"/>
          <w:b/>
          <w:bCs/>
          <w:color w:val="000000"/>
          <w:szCs w:val="24"/>
          <w:lang w:eastAsia="sv-SE"/>
        </w:rPr>
        <w:tab/>
      </w:r>
      <w:r w:rsidR="0089124D" w:rsidRPr="008E573A">
        <w:rPr>
          <w:rFonts w:cs="OrigGarmnd BT"/>
          <w:i/>
          <w:iCs/>
          <w:color w:val="000000"/>
          <w:szCs w:val="24"/>
          <w:lang w:eastAsia="sv-SE"/>
        </w:rPr>
        <w:t>-</w:t>
      </w:r>
      <w:r w:rsidRPr="008E573A">
        <w:rPr>
          <w:rFonts w:cs="OrigGarmnd BT"/>
          <w:i/>
          <w:iCs/>
          <w:color w:val="000000"/>
          <w:szCs w:val="24"/>
          <w:lang w:eastAsia="sv-SE"/>
        </w:rPr>
        <w:t>politisk överenskommelse</w:t>
      </w:r>
    </w:p>
    <w:p w:rsidR="00445181" w:rsidRPr="008E573A" w:rsidRDefault="00445181" w:rsidP="00445181"/>
    <w:p w:rsidR="00CB5547" w:rsidRPr="008E573A" w:rsidRDefault="00446811" w:rsidP="00CB5547">
      <w:pPr>
        <w:pStyle w:val="RKnormal"/>
      </w:pPr>
      <w:r w:rsidRPr="008E573A">
        <w:t xml:space="preserve">Ärendet utgår </w:t>
      </w:r>
      <w:r w:rsidR="002047D3" w:rsidRPr="008E573A">
        <w:t>från dagordningen.</w:t>
      </w:r>
    </w:p>
    <w:p w:rsidR="0089124D" w:rsidRPr="008E573A" w:rsidRDefault="0089124D" w:rsidP="0089124D">
      <w:pPr>
        <w:overflowPunct/>
        <w:spacing w:line="240" w:lineRule="auto"/>
        <w:textAlignment w:val="auto"/>
        <w:rPr>
          <w:rFonts w:cs="OrigGarmnd BT"/>
          <w:iCs/>
          <w:color w:val="000000"/>
          <w:szCs w:val="24"/>
          <w:lang w:eastAsia="sv-SE"/>
        </w:rPr>
      </w:pPr>
    </w:p>
    <w:p w:rsidR="00B64E35" w:rsidRPr="008E573A" w:rsidRDefault="00B64E35" w:rsidP="0089124D">
      <w:pPr>
        <w:overflowPunct/>
        <w:spacing w:line="240" w:lineRule="auto"/>
        <w:textAlignment w:val="auto"/>
        <w:rPr>
          <w:rFonts w:cs="OrigGarmnd BT"/>
          <w:iCs/>
          <w:color w:val="000000"/>
          <w:szCs w:val="24"/>
          <w:lang w:eastAsia="sv-SE"/>
        </w:rPr>
      </w:pPr>
    </w:p>
    <w:p w:rsidR="0089124D" w:rsidRPr="008E573A" w:rsidRDefault="00862A80" w:rsidP="0089124D">
      <w:pPr>
        <w:tabs>
          <w:tab w:val="left" w:pos="1701"/>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6</w:t>
      </w:r>
      <w:r w:rsidR="00F069DE" w:rsidRPr="008E573A">
        <w:rPr>
          <w:rFonts w:cs="OrigGarmnd BT"/>
          <w:b/>
          <w:color w:val="000000"/>
          <w:szCs w:val="24"/>
          <w:lang w:eastAsia="sv-SE"/>
        </w:rPr>
        <w:t>.</w:t>
      </w:r>
      <w:r w:rsidR="00F069DE" w:rsidRPr="008E573A">
        <w:rPr>
          <w:rFonts w:cs="OrigGarmnd BT"/>
          <w:b/>
          <w:color w:val="000000"/>
          <w:szCs w:val="24"/>
          <w:lang w:eastAsia="sv-SE"/>
        </w:rPr>
        <w:tab/>
      </w:r>
      <w:r w:rsidR="002047D3" w:rsidRPr="008E573A">
        <w:rPr>
          <w:rFonts w:cs="OrigGarmnd BT"/>
          <w:b/>
          <w:color w:val="000000"/>
          <w:szCs w:val="24"/>
          <w:lang w:eastAsia="sv-SE"/>
        </w:rPr>
        <w:t>Administrativs samarbete i fråga om beskattning</w:t>
      </w:r>
    </w:p>
    <w:p w:rsidR="00296623" w:rsidRPr="008E573A" w:rsidRDefault="00296623" w:rsidP="0089124D">
      <w:pPr>
        <w:tabs>
          <w:tab w:val="left" w:pos="1701"/>
        </w:tabs>
        <w:overflowPunct/>
        <w:spacing w:line="240" w:lineRule="auto"/>
        <w:textAlignment w:val="auto"/>
        <w:rPr>
          <w:rFonts w:cs="OrigGarmnd BT"/>
          <w:i/>
          <w:color w:val="000000"/>
          <w:szCs w:val="24"/>
          <w:lang w:eastAsia="sv-SE"/>
        </w:rPr>
      </w:pPr>
      <w:r w:rsidRPr="008E573A">
        <w:rPr>
          <w:rFonts w:cs="OrigGarmnd BT"/>
          <w:b/>
          <w:color w:val="000000"/>
          <w:szCs w:val="24"/>
          <w:lang w:eastAsia="sv-SE"/>
        </w:rPr>
        <w:tab/>
      </w:r>
      <w:r w:rsidRPr="008E573A">
        <w:rPr>
          <w:rFonts w:cs="OrigGarmnd BT"/>
          <w:i/>
          <w:color w:val="000000"/>
          <w:szCs w:val="24"/>
          <w:lang w:eastAsia="sv-SE"/>
        </w:rPr>
        <w:t xml:space="preserve">- </w:t>
      </w:r>
      <w:r w:rsidR="002047D3" w:rsidRPr="008E573A">
        <w:rPr>
          <w:rFonts w:cs="OrigGarmnd BT"/>
          <w:i/>
          <w:color w:val="000000"/>
          <w:szCs w:val="24"/>
          <w:lang w:eastAsia="sv-SE"/>
        </w:rPr>
        <w:t>politisk överenskommelse</w:t>
      </w:r>
    </w:p>
    <w:p w:rsidR="0038571D" w:rsidRPr="008E573A" w:rsidRDefault="0038571D" w:rsidP="0038571D">
      <w:pPr>
        <w:pStyle w:val="RKnormal"/>
      </w:pPr>
    </w:p>
    <w:p w:rsidR="0038571D" w:rsidRPr="008E573A" w:rsidRDefault="0038571D" w:rsidP="0038571D">
      <w:pPr>
        <w:pStyle w:val="RKnormal"/>
      </w:pPr>
      <w:r w:rsidRPr="008E573A">
        <w:t>Rådet ska nå en politisk överenskommelse rörande ett förslag till nytt direktiv för administrativt samarbete i fråga om beskattning. Förslaget innehåller följande väsentliga skillnader jämfört med det nu gällande direktivet:</w:t>
      </w:r>
      <w:r w:rsidRPr="008E573A">
        <w:br/>
      </w:r>
    </w:p>
    <w:p w:rsidR="0038571D" w:rsidRPr="008E573A" w:rsidRDefault="0038571D" w:rsidP="0038571D">
      <w:pPr>
        <w:pStyle w:val="RKnormal"/>
        <w:numPr>
          <w:ilvl w:val="0"/>
          <w:numId w:val="9"/>
        </w:numPr>
      </w:pPr>
      <w:r w:rsidRPr="008E573A">
        <w:t xml:space="preserve">Utökat tillämpningsområde. </w:t>
      </w:r>
    </w:p>
    <w:p w:rsidR="0038571D" w:rsidRPr="008E573A" w:rsidRDefault="0038571D" w:rsidP="0038571D">
      <w:pPr>
        <w:pStyle w:val="RKnormal"/>
        <w:numPr>
          <w:ilvl w:val="0"/>
          <w:numId w:val="9"/>
        </w:numPr>
      </w:pPr>
      <w:r w:rsidRPr="008E573A">
        <w:t>OECD:s standard för informationsutbyte på begäran gäller.</w:t>
      </w:r>
    </w:p>
    <w:p w:rsidR="0038571D" w:rsidRPr="008E573A" w:rsidRDefault="0038571D" w:rsidP="0038571D">
      <w:pPr>
        <w:pStyle w:val="RKnormal"/>
        <w:numPr>
          <w:ilvl w:val="0"/>
          <w:numId w:val="9"/>
        </w:numPr>
      </w:pPr>
      <w:r w:rsidRPr="008E573A">
        <w:lastRenderedPageBreak/>
        <w:t>Automatiskt informationsutbyte rörande vissa inkomster.</w:t>
      </w:r>
    </w:p>
    <w:p w:rsidR="0038571D" w:rsidRPr="008E573A" w:rsidRDefault="0038571D" w:rsidP="0038571D">
      <w:pPr>
        <w:pStyle w:val="RKnormal"/>
        <w:numPr>
          <w:ilvl w:val="0"/>
          <w:numId w:val="9"/>
        </w:numPr>
      </w:pPr>
      <w:r w:rsidRPr="008E573A">
        <w:t>Ett mer effektivt informationsutbyte genom gemensamma tekniska format.</w:t>
      </w:r>
      <w:r w:rsidRPr="008E573A">
        <w:br/>
      </w:r>
    </w:p>
    <w:p w:rsidR="0038571D" w:rsidRPr="008E573A" w:rsidRDefault="0038571D" w:rsidP="0038571D">
      <w:pPr>
        <w:pStyle w:val="RKnormal"/>
      </w:pPr>
      <w:r w:rsidRPr="008E573A">
        <w:t xml:space="preserve">Kommissionen lämnade sitt ursprungliga förslag i februari 2009 och texten bearbetades i arbetsgrupp under det svenska ordförandeskapet. </w:t>
      </w:r>
      <w:r w:rsidRPr="008E573A">
        <w:rPr>
          <w:szCs w:val="19"/>
        </w:rPr>
        <w:t>Förslaget har vid fem tillfällen föredragits inför EU-nämnden, senast den 15 oktober i år. Någon överenskommelse om direktivet har dock inte gått att nå vid något av de påföljande Ekofinmötena.</w:t>
      </w:r>
    </w:p>
    <w:p w:rsidR="0038571D" w:rsidRPr="008E573A" w:rsidRDefault="0038571D" w:rsidP="0038571D">
      <w:pPr>
        <w:pStyle w:val="RKnormal"/>
      </w:pPr>
    </w:p>
    <w:p w:rsidR="0038571D" w:rsidRPr="008E573A" w:rsidRDefault="0038571D" w:rsidP="0038571D">
      <w:pPr>
        <w:pStyle w:val="RKnormal"/>
      </w:pPr>
      <w:r w:rsidRPr="008E573A">
        <w:t xml:space="preserve">Regeringen ser frågan om en utbyggnad och effektivisering av samarbetet på detta område som viktig och välkomnar förslaget till nytt direktiv. </w:t>
      </w:r>
    </w:p>
    <w:p w:rsidR="00851038" w:rsidRPr="008E573A" w:rsidRDefault="00851038" w:rsidP="00851038">
      <w:pPr>
        <w:pStyle w:val="RKnormal"/>
      </w:pPr>
    </w:p>
    <w:p w:rsidR="00851038" w:rsidRPr="008E573A" w:rsidRDefault="00851038" w:rsidP="00851038">
      <w:pPr>
        <w:pStyle w:val="RKnormal"/>
      </w:pPr>
    </w:p>
    <w:p w:rsidR="00F069DE" w:rsidRPr="008E573A" w:rsidRDefault="002047D3" w:rsidP="0089124D">
      <w:pPr>
        <w:tabs>
          <w:tab w:val="left" w:pos="1701"/>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7</w:t>
      </w:r>
      <w:r w:rsidR="00F069DE" w:rsidRPr="008E573A">
        <w:rPr>
          <w:rFonts w:cs="OrigGarmnd BT"/>
          <w:b/>
          <w:color w:val="000000"/>
          <w:szCs w:val="24"/>
          <w:lang w:eastAsia="sv-SE"/>
        </w:rPr>
        <w:t>.</w:t>
      </w:r>
      <w:r w:rsidR="00F069DE" w:rsidRPr="008E573A">
        <w:rPr>
          <w:rFonts w:cs="OrigGarmnd BT"/>
          <w:b/>
          <w:color w:val="000000"/>
          <w:szCs w:val="24"/>
          <w:lang w:eastAsia="sv-SE"/>
        </w:rPr>
        <w:tab/>
      </w:r>
      <w:r w:rsidR="0053588B" w:rsidRPr="008E573A">
        <w:rPr>
          <w:rFonts w:cs="OrigGarmnd BT"/>
          <w:b/>
          <w:color w:val="000000"/>
          <w:szCs w:val="24"/>
          <w:lang w:eastAsia="sv-SE"/>
        </w:rPr>
        <w:t xml:space="preserve">(ev.) </w:t>
      </w:r>
      <w:r w:rsidRPr="008E573A">
        <w:rPr>
          <w:rFonts w:cs="OrigGarmnd BT"/>
          <w:b/>
          <w:color w:val="000000"/>
          <w:szCs w:val="24"/>
          <w:lang w:eastAsia="sv-SE"/>
        </w:rPr>
        <w:t>Blankning och statskreditswappar</w:t>
      </w:r>
    </w:p>
    <w:p w:rsidR="00F069DE" w:rsidRPr="008E573A" w:rsidRDefault="00F069DE" w:rsidP="0089124D">
      <w:pPr>
        <w:tabs>
          <w:tab w:val="left" w:pos="1701"/>
        </w:tabs>
        <w:overflowPunct/>
        <w:spacing w:line="240" w:lineRule="auto"/>
        <w:textAlignment w:val="auto"/>
        <w:rPr>
          <w:rFonts w:cs="OrigGarmnd BT"/>
          <w:i/>
          <w:color w:val="000000"/>
          <w:szCs w:val="24"/>
          <w:lang w:eastAsia="sv-SE"/>
        </w:rPr>
      </w:pPr>
      <w:r w:rsidRPr="008E573A">
        <w:rPr>
          <w:rFonts w:cs="OrigGarmnd BT"/>
          <w:i/>
          <w:color w:val="000000"/>
          <w:szCs w:val="24"/>
          <w:lang w:eastAsia="sv-SE"/>
        </w:rPr>
        <w:tab/>
        <w:t>-</w:t>
      </w:r>
      <w:r w:rsidR="002047D3" w:rsidRPr="008E573A">
        <w:rPr>
          <w:rFonts w:cs="OrigGarmnd BT"/>
          <w:i/>
          <w:color w:val="000000"/>
          <w:szCs w:val="24"/>
          <w:lang w:eastAsia="sv-SE"/>
        </w:rPr>
        <w:t xml:space="preserve"> lägesrapport</w:t>
      </w:r>
    </w:p>
    <w:p w:rsidR="002047D3" w:rsidRPr="008E573A" w:rsidRDefault="002047D3" w:rsidP="0089124D">
      <w:pPr>
        <w:tabs>
          <w:tab w:val="left" w:pos="1701"/>
        </w:tabs>
        <w:overflowPunct/>
        <w:spacing w:line="240" w:lineRule="auto"/>
        <w:textAlignment w:val="auto"/>
        <w:rPr>
          <w:rFonts w:cs="OrigGarmnd BT"/>
          <w:color w:val="000000"/>
          <w:szCs w:val="24"/>
          <w:lang w:eastAsia="sv-SE"/>
        </w:rPr>
      </w:pPr>
    </w:p>
    <w:p w:rsidR="002047D3" w:rsidRPr="008E573A" w:rsidRDefault="00446811" w:rsidP="0089124D">
      <w:pPr>
        <w:tabs>
          <w:tab w:val="left" w:pos="1701"/>
        </w:tabs>
        <w:overflowPunct/>
        <w:spacing w:line="240" w:lineRule="auto"/>
        <w:textAlignment w:val="auto"/>
        <w:rPr>
          <w:rFonts w:cs="OrigGarmnd BT"/>
          <w:color w:val="000000"/>
          <w:szCs w:val="24"/>
          <w:lang w:eastAsia="sv-SE"/>
        </w:rPr>
      </w:pPr>
      <w:r w:rsidRPr="008E573A">
        <w:rPr>
          <w:rFonts w:cs="OrigGarmnd BT"/>
          <w:color w:val="000000"/>
          <w:szCs w:val="24"/>
          <w:lang w:eastAsia="sv-SE"/>
        </w:rPr>
        <w:t>Ärendet b</w:t>
      </w:r>
      <w:r w:rsidR="002047D3" w:rsidRPr="008E573A">
        <w:rPr>
          <w:rFonts w:cs="OrigGarmnd BT"/>
          <w:color w:val="000000"/>
          <w:szCs w:val="24"/>
          <w:lang w:eastAsia="sv-SE"/>
        </w:rPr>
        <w:t>lir A-punkt.</w:t>
      </w:r>
    </w:p>
    <w:p w:rsidR="002047D3" w:rsidRPr="008E573A" w:rsidRDefault="002047D3" w:rsidP="0089124D">
      <w:pPr>
        <w:tabs>
          <w:tab w:val="left" w:pos="1701"/>
        </w:tabs>
        <w:overflowPunct/>
        <w:spacing w:line="240" w:lineRule="auto"/>
        <w:textAlignment w:val="auto"/>
        <w:rPr>
          <w:rFonts w:cs="OrigGarmnd BT"/>
          <w:color w:val="000000"/>
          <w:szCs w:val="24"/>
          <w:lang w:eastAsia="sv-SE"/>
        </w:rPr>
      </w:pPr>
    </w:p>
    <w:p w:rsidR="002047D3" w:rsidRPr="008E573A" w:rsidRDefault="002047D3" w:rsidP="0089124D">
      <w:pPr>
        <w:tabs>
          <w:tab w:val="left" w:pos="1701"/>
        </w:tabs>
        <w:overflowPunct/>
        <w:spacing w:line="240" w:lineRule="auto"/>
        <w:textAlignment w:val="auto"/>
        <w:rPr>
          <w:rFonts w:cs="OrigGarmnd BT"/>
          <w:color w:val="000000"/>
          <w:szCs w:val="24"/>
          <w:lang w:eastAsia="sv-SE"/>
        </w:rPr>
      </w:pPr>
    </w:p>
    <w:p w:rsidR="00F069DE" w:rsidRPr="008E573A" w:rsidRDefault="00627D7C" w:rsidP="00446811">
      <w:pPr>
        <w:tabs>
          <w:tab w:val="left" w:pos="1701"/>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8</w:t>
      </w:r>
      <w:r w:rsidR="00F069DE" w:rsidRPr="008E573A">
        <w:rPr>
          <w:rFonts w:cs="OrigGarmnd BT"/>
          <w:b/>
          <w:color w:val="000000"/>
          <w:szCs w:val="24"/>
          <w:lang w:eastAsia="sv-SE"/>
        </w:rPr>
        <w:t xml:space="preserve">. </w:t>
      </w:r>
      <w:r w:rsidR="00F069DE" w:rsidRPr="008E573A">
        <w:rPr>
          <w:rFonts w:cs="OrigGarmnd BT"/>
          <w:b/>
          <w:color w:val="000000"/>
          <w:szCs w:val="24"/>
          <w:lang w:eastAsia="sv-SE"/>
        </w:rPr>
        <w:tab/>
      </w:r>
      <w:r w:rsidR="002047D3" w:rsidRPr="008E573A">
        <w:rPr>
          <w:rFonts w:cs="OrigGarmnd BT"/>
          <w:b/>
          <w:color w:val="000000"/>
          <w:szCs w:val="24"/>
          <w:lang w:eastAsia="sv-SE"/>
        </w:rPr>
        <w:t>Stärkt ekonomiskt samarbete</w:t>
      </w:r>
    </w:p>
    <w:p w:rsidR="00F069DE" w:rsidRPr="008E573A" w:rsidRDefault="00F069DE" w:rsidP="0089124D">
      <w:pPr>
        <w:tabs>
          <w:tab w:val="left" w:pos="1701"/>
        </w:tabs>
        <w:overflowPunct/>
        <w:spacing w:line="240" w:lineRule="auto"/>
        <w:textAlignment w:val="auto"/>
        <w:rPr>
          <w:rFonts w:cs="OrigGarmnd BT"/>
          <w:i/>
          <w:color w:val="000000"/>
          <w:szCs w:val="24"/>
          <w:lang w:eastAsia="sv-SE"/>
        </w:rPr>
      </w:pPr>
      <w:r w:rsidRPr="008E573A">
        <w:rPr>
          <w:rFonts w:cs="OrigGarmnd BT"/>
          <w:i/>
          <w:color w:val="000000"/>
          <w:szCs w:val="24"/>
          <w:lang w:eastAsia="sv-SE"/>
        </w:rPr>
        <w:tab/>
        <w:t xml:space="preserve">- </w:t>
      </w:r>
      <w:r w:rsidR="002047D3" w:rsidRPr="008E573A">
        <w:rPr>
          <w:rFonts w:cs="OrigGarmnd BT"/>
          <w:i/>
          <w:color w:val="000000"/>
          <w:szCs w:val="24"/>
          <w:lang w:eastAsia="sv-SE"/>
        </w:rPr>
        <w:t>rapport till rådet</w:t>
      </w:r>
    </w:p>
    <w:p w:rsidR="0071049E" w:rsidRPr="008E573A" w:rsidRDefault="0071049E" w:rsidP="0071049E">
      <w:pPr>
        <w:pStyle w:val="RKnormal"/>
      </w:pPr>
    </w:p>
    <w:p w:rsidR="0071049E" w:rsidRPr="008E573A" w:rsidRDefault="0071049E" w:rsidP="0071049E">
      <w:pPr>
        <w:pStyle w:val="RKnormal"/>
      </w:pPr>
      <w:r w:rsidRPr="008E573A">
        <w:t xml:space="preserve">Ekofinrådet </w:t>
      </w:r>
      <w:r w:rsidR="00FE627F" w:rsidRPr="008E573A">
        <w:t xml:space="preserve">väntas </w:t>
      </w:r>
      <w:r w:rsidRPr="008E573A">
        <w:t>ta ställning till en rapport om hur den ekonomiska styrningen i EU kan stärkas.</w:t>
      </w:r>
    </w:p>
    <w:p w:rsidR="0071049E" w:rsidRPr="008E573A" w:rsidRDefault="0071049E" w:rsidP="0071049E">
      <w:pPr>
        <w:pStyle w:val="RKnormal"/>
      </w:pPr>
    </w:p>
    <w:p w:rsidR="0071049E" w:rsidRPr="008E573A" w:rsidRDefault="0071049E" w:rsidP="0071049E">
      <w:pPr>
        <w:pStyle w:val="RKnormal"/>
      </w:pPr>
      <w:r w:rsidRPr="008E573A">
        <w:t>Inom EU pågår sedan våren 2010 ett arbete med att stärka EU:s ekonomiska styrning. En expertgrupp med finansministrar har, under ledning av Europeiska rådets ordförande Herman van Rompuy, arbetat med att se över hur budgetdisciplinen inom EU kan förbättras. Expertgruppens rapport antogs av Europeiska rådet den 28-29 oktober. Dessutom presenterade kommissionen sex rättsakter den 29 september med förslag på förstärkning av stabilitets- och tillväxtpakten, införande av minimikrav på nationella finanspolitiska ramverk samt införande av en ny process för att förebygga och korrigera makroekonomiska obalanser.</w:t>
      </w:r>
    </w:p>
    <w:p w:rsidR="0071049E" w:rsidRPr="008E573A" w:rsidRDefault="0071049E" w:rsidP="0071049E">
      <w:pPr>
        <w:pStyle w:val="RKnormal"/>
      </w:pPr>
    </w:p>
    <w:p w:rsidR="00B9196D" w:rsidRPr="008E573A" w:rsidRDefault="0071049E" w:rsidP="0071049E">
      <w:pPr>
        <w:pStyle w:val="RKnormal"/>
      </w:pPr>
      <w:r w:rsidRPr="008E573A">
        <w:t xml:space="preserve">Med utgångspunkt i kommissionens förslag och expertgruppens rapport </w:t>
      </w:r>
      <w:r w:rsidR="00B9196D" w:rsidRPr="008E573A">
        <w:t xml:space="preserve">(dessa har tidigare överlämnats till riksdagen, inklusive </w:t>
      </w:r>
      <w:r w:rsidR="005B4F85" w:rsidRPr="008E573A">
        <w:t>2010/11:FPM7</w:t>
      </w:r>
      <w:r w:rsidR="00B9196D" w:rsidRPr="008E573A">
        <w:t xml:space="preserve">) </w:t>
      </w:r>
      <w:r w:rsidRPr="008E573A">
        <w:t xml:space="preserve">väntas Ekofinrådet nu diskutera </w:t>
      </w:r>
      <w:r w:rsidR="00B9196D" w:rsidRPr="008E573A">
        <w:t xml:space="preserve">nedanstående fyra </w:t>
      </w:r>
      <w:r w:rsidRPr="008E573A">
        <w:t>utestående frågor</w:t>
      </w:r>
      <w:r w:rsidR="00B9196D" w:rsidRPr="008E573A">
        <w:t>:</w:t>
      </w:r>
    </w:p>
    <w:p w:rsidR="0071049E" w:rsidRPr="008E573A" w:rsidRDefault="00B9196D" w:rsidP="0071049E">
      <w:pPr>
        <w:pStyle w:val="RKnormal"/>
      </w:pPr>
      <w:r w:rsidRPr="008E573A">
        <w:t xml:space="preserve"> </w:t>
      </w:r>
    </w:p>
    <w:p w:rsidR="0071049E" w:rsidRPr="008E573A" w:rsidRDefault="0071049E" w:rsidP="0071049E">
      <w:pPr>
        <w:pStyle w:val="RKnormal"/>
        <w:numPr>
          <w:ilvl w:val="0"/>
          <w:numId w:val="20"/>
        </w:numPr>
      </w:pPr>
      <w:r w:rsidRPr="008E573A">
        <w:t>Förstärkning av den förebyggande delen i stabilitets- och tillväxtpakten;</w:t>
      </w:r>
    </w:p>
    <w:p w:rsidR="0071049E" w:rsidRPr="008E573A" w:rsidRDefault="0071049E" w:rsidP="0071049E">
      <w:pPr>
        <w:pStyle w:val="RKnormal"/>
        <w:numPr>
          <w:ilvl w:val="0"/>
          <w:numId w:val="20"/>
        </w:numPr>
      </w:pPr>
      <w:r w:rsidRPr="008E573A">
        <w:t xml:space="preserve">Hur man kan öka fokus </w:t>
      </w:r>
      <w:r w:rsidRPr="008E573A">
        <w:rPr>
          <w:szCs w:val="24"/>
        </w:rPr>
        <w:t>på den offentliga skulden i stabilitets- och tillväxtpakten</w:t>
      </w:r>
      <w:r w:rsidRPr="008E573A">
        <w:t>;</w:t>
      </w:r>
    </w:p>
    <w:p w:rsidR="0071049E" w:rsidRPr="008E573A" w:rsidRDefault="0071049E" w:rsidP="0071049E">
      <w:pPr>
        <w:pStyle w:val="RKnormal"/>
        <w:numPr>
          <w:ilvl w:val="0"/>
          <w:numId w:val="20"/>
        </w:numPr>
      </w:pPr>
      <w:r w:rsidRPr="008E573A">
        <w:t>Införande av bindande minimikrav för nationella finanspolitiska ramverk;</w:t>
      </w:r>
    </w:p>
    <w:p w:rsidR="0071049E" w:rsidRPr="008E573A" w:rsidRDefault="0071049E" w:rsidP="0071049E">
      <w:pPr>
        <w:pStyle w:val="RKnormal"/>
        <w:numPr>
          <w:ilvl w:val="0"/>
          <w:numId w:val="20"/>
        </w:numPr>
      </w:pPr>
      <w:r w:rsidRPr="008E573A">
        <w:t>Utformning av den nya processen för övervakning av makroekonomiska obalanser.</w:t>
      </w:r>
    </w:p>
    <w:p w:rsidR="0071049E" w:rsidRPr="008E573A" w:rsidRDefault="0071049E" w:rsidP="0071049E">
      <w:pPr>
        <w:pStyle w:val="RKnormal"/>
      </w:pPr>
    </w:p>
    <w:p w:rsidR="0071049E" w:rsidRPr="008E573A" w:rsidRDefault="0071049E" w:rsidP="0071049E">
      <w:pPr>
        <w:pStyle w:val="RKnormal"/>
      </w:pPr>
      <w:r w:rsidRPr="008E573A">
        <w:t xml:space="preserve">Regeringen välkomnar arbetet med att förstärka den ekonomiska styrningen i EU och anser att det är angeläget att arbetet går framåt. Regeringen stödjer i huvudsak kommissionens förslag och kommer att verka konstruktivt för att </w:t>
      </w:r>
      <w:r w:rsidRPr="008E573A">
        <w:rPr>
          <w:szCs w:val="24"/>
        </w:rPr>
        <w:t>få ett förbättrat regelverk på plats så fort som möjligt.</w:t>
      </w:r>
      <w:r w:rsidRPr="008E573A">
        <w:t xml:space="preserve"> Regeringen har särskilt drivit att skuldkriteriet inom pakten ska bli mer verkningsfullt samt att minimikrav för nationella finanspolitiska ramverk ska införas.</w:t>
      </w:r>
    </w:p>
    <w:p w:rsidR="00F069DE" w:rsidRPr="008E573A" w:rsidRDefault="00F069DE" w:rsidP="0089124D">
      <w:pPr>
        <w:tabs>
          <w:tab w:val="left" w:pos="1701"/>
        </w:tabs>
        <w:overflowPunct/>
        <w:spacing w:line="240" w:lineRule="auto"/>
        <w:textAlignment w:val="auto"/>
        <w:rPr>
          <w:rFonts w:cs="OrigGarmnd BT"/>
          <w:color w:val="000000"/>
          <w:szCs w:val="24"/>
          <w:lang w:eastAsia="sv-SE"/>
        </w:rPr>
      </w:pPr>
    </w:p>
    <w:p w:rsidR="00D71343" w:rsidRPr="008E573A" w:rsidRDefault="00D71343" w:rsidP="0089124D">
      <w:pPr>
        <w:tabs>
          <w:tab w:val="left" w:pos="1701"/>
        </w:tabs>
        <w:overflowPunct/>
        <w:spacing w:line="240" w:lineRule="auto"/>
        <w:textAlignment w:val="auto"/>
        <w:rPr>
          <w:rFonts w:cs="OrigGarmnd BT"/>
          <w:b/>
          <w:color w:val="000000"/>
          <w:szCs w:val="24"/>
          <w:lang w:eastAsia="sv-SE"/>
        </w:rPr>
      </w:pPr>
    </w:p>
    <w:p w:rsidR="00F069DE" w:rsidRPr="008E573A" w:rsidRDefault="00862A80" w:rsidP="003828A3">
      <w:pPr>
        <w:tabs>
          <w:tab w:val="left" w:pos="1701"/>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9</w:t>
      </w:r>
      <w:r w:rsidR="00F069DE" w:rsidRPr="008E573A">
        <w:rPr>
          <w:rFonts w:cs="OrigGarmnd BT"/>
          <w:b/>
          <w:color w:val="000000"/>
          <w:szCs w:val="24"/>
          <w:lang w:eastAsia="sv-SE"/>
        </w:rPr>
        <w:t>.</w:t>
      </w:r>
      <w:r w:rsidR="00F069DE" w:rsidRPr="008E573A">
        <w:rPr>
          <w:rFonts w:cs="OrigGarmnd BT"/>
          <w:b/>
          <w:color w:val="000000"/>
          <w:szCs w:val="24"/>
          <w:lang w:eastAsia="sv-SE"/>
        </w:rPr>
        <w:tab/>
      </w:r>
      <w:r w:rsidR="002047D3" w:rsidRPr="008E573A">
        <w:rPr>
          <w:rFonts w:cs="OrigGarmnd BT"/>
          <w:b/>
          <w:color w:val="000000"/>
          <w:szCs w:val="24"/>
          <w:lang w:eastAsia="sv-SE"/>
        </w:rPr>
        <w:t>Förberedelser inför Europeiska rådet</w:t>
      </w:r>
    </w:p>
    <w:p w:rsidR="00E72A4C" w:rsidRPr="008E573A" w:rsidRDefault="00E72A4C" w:rsidP="00712CBA">
      <w:pPr>
        <w:tabs>
          <w:tab w:val="left" w:pos="1134"/>
          <w:tab w:val="left" w:pos="2835"/>
        </w:tabs>
        <w:overflowPunct/>
        <w:spacing w:line="240" w:lineRule="auto"/>
        <w:textAlignment w:val="auto"/>
        <w:rPr>
          <w:rFonts w:cs="OrigGarmnd BT"/>
          <w:color w:val="000000"/>
          <w:szCs w:val="24"/>
          <w:lang w:eastAsia="sv-SE"/>
        </w:rPr>
      </w:pPr>
    </w:p>
    <w:p w:rsidR="00446811" w:rsidRPr="008E573A" w:rsidRDefault="00446811" w:rsidP="00712CBA">
      <w:pPr>
        <w:tabs>
          <w:tab w:val="left" w:pos="1134"/>
          <w:tab w:val="left" w:pos="2835"/>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9.1   Pensionsreformers effekter för stabilitetspakten</w:t>
      </w:r>
    </w:p>
    <w:p w:rsidR="00446811" w:rsidRPr="008E573A" w:rsidRDefault="00446811" w:rsidP="00712CBA">
      <w:pPr>
        <w:tabs>
          <w:tab w:val="left" w:pos="1134"/>
          <w:tab w:val="left" w:pos="2835"/>
        </w:tabs>
        <w:overflowPunct/>
        <w:spacing w:line="240" w:lineRule="auto"/>
        <w:textAlignment w:val="auto"/>
        <w:rPr>
          <w:rFonts w:cs="OrigGarmnd BT"/>
          <w:i/>
          <w:color w:val="000000"/>
          <w:szCs w:val="24"/>
          <w:lang w:eastAsia="sv-SE"/>
        </w:rPr>
      </w:pPr>
      <w:r w:rsidRPr="008E573A">
        <w:rPr>
          <w:rFonts w:cs="OrigGarmnd BT"/>
          <w:i/>
          <w:color w:val="000000"/>
          <w:szCs w:val="24"/>
          <w:lang w:eastAsia="sv-SE"/>
        </w:rPr>
        <w:t xml:space="preserve">        - rådets rapport </w:t>
      </w:r>
    </w:p>
    <w:p w:rsidR="008F0880" w:rsidRPr="008E573A" w:rsidRDefault="008F0880" w:rsidP="008F0880">
      <w:pPr>
        <w:pStyle w:val="RKnormal"/>
      </w:pPr>
    </w:p>
    <w:p w:rsidR="008F0880" w:rsidRPr="008E573A" w:rsidRDefault="008F0880" w:rsidP="008F0880">
      <w:pPr>
        <w:pStyle w:val="RKnormal"/>
      </w:pPr>
      <w:r w:rsidRPr="008E573A">
        <w:t xml:space="preserve">Ekofinrådet väntas ställa sig bakom en rapport till Europeiska rådet beträffande hanteringen av pensionsreformer inom stabilitets- och tillväxtpakten. Europeiska rådet uppmanade vid sitt möte den 28-29 oktober Ekofinrådet att påskynda arbetet med hur konsekvenser av pensionsreformer ska beaktas vid genomförandet av stabilitets- och tillväxtpakten. Vidare underströk stats- och regeringscheferna vikten av att likvärdiga förutsättningar kan garanteras. </w:t>
      </w:r>
    </w:p>
    <w:p w:rsidR="008F0880" w:rsidRPr="008E573A" w:rsidRDefault="008F0880" w:rsidP="008F0880">
      <w:pPr>
        <w:pStyle w:val="RKnormal"/>
      </w:pPr>
    </w:p>
    <w:p w:rsidR="008F0880" w:rsidRPr="008E573A" w:rsidRDefault="008F0880" w:rsidP="008F0880">
      <w:pPr>
        <w:pStyle w:val="RKnormal"/>
      </w:pPr>
      <w:r w:rsidRPr="008E573A">
        <w:t>Flera länder som infört ett obligatoriskt fonderat pensionssystem liknande det svenska PPM-systemet upplever att de missgynnas i genomförandet av stabilitets- och tillväxtpakten. Införandet av ett sådan reform innebär ökad långsiktig hållbarhet för de offentliga finanserna. Som det mäts i nationalräkenskaperna räknas dock detta sparande som privat och får således inte tillgodoräknas i samband med stabilitets- och tillväxtpakten.</w:t>
      </w:r>
    </w:p>
    <w:p w:rsidR="008F0880" w:rsidRPr="008E573A" w:rsidRDefault="008F0880" w:rsidP="008F0880">
      <w:pPr>
        <w:pStyle w:val="RKnormal"/>
        <w:rPr>
          <w:color w:val="0000FF"/>
        </w:rPr>
      </w:pPr>
    </w:p>
    <w:p w:rsidR="008F0880" w:rsidRPr="008E573A" w:rsidRDefault="008F0880" w:rsidP="008F0880">
      <w:pPr>
        <w:pStyle w:val="RKnormal"/>
        <w:rPr>
          <w:rFonts w:ascii="Times-Roman" w:hAnsi="Times-Roman" w:cs="Times-Roman"/>
        </w:rPr>
      </w:pPr>
      <w:r w:rsidRPr="008E573A">
        <w:t>Regeringen anser att det är viktigt att skapa drivkrafter för EU:s medlemsstater att genomföra reformer av pensionssystemet som syftar till ökad hållbarhet i de offentliga finanserna. Det är viktigt att redan genomförda reformer inte avvecklas på grund av kortsiktiga hänsyn eller för att få en mer förmånlig behandling i stabilitets- och tillväxtpakten. Det är således välkommet att se över hur effekter av strukturellt riktiga reformer på ett ändamålsenligt sätt ska beaktas inom ramen för stabilitets- och tillväxtpakten.</w:t>
      </w:r>
    </w:p>
    <w:p w:rsidR="008F0880" w:rsidRPr="008E573A" w:rsidRDefault="008F0880" w:rsidP="008F0880">
      <w:pPr>
        <w:pStyle w:val="RKnormal"/>
      </w:pPr>
    </w:p>
    <w:p w:rsidR="008F0880" w:rsidRPr="008E573A" w:rsidRDefault="008F0880" w:rsidP="008F0880">
      <w:pPr>
        <w:pStyle w:val="RKnormal"/>
      </w:pPr>
      <w:r w:rsidRPr="008E573A">
        <w:t xml:space="preserve">Rapportutkastet </w:t>
      </w:r>
      <w:r w:rsidR="006D54B0" w:rsidRPr="008E573A">
        <w:t xml:space="preserve">har i skrivande stund inte presenterats. </w:t>
      </w:r>
      <w:r w:rsidRPr="008E573A">
        <w:t xml:space="preserve"> </w:t>
      </w:r>
    </w:p>
    <w:p w:rsidR="00446811" w:rsidRPr="008E573A" w:rsidRDefault="00446811" w:rsidP="008F0880">
      <w:pPr>
        <w:pStyle w:val="RKnormal"/>
        <w:rPr>
          <w:rFonts w:cs="OrigGarmnd BT"/>
          <w:color w:val="000000"/>
          <w:szCs w:val="24"/>
          <w:lang w:eastAsia="sv-SE"/>
        </w:rPr>
      </w:pPr>
    </w:p>
    <w:p w:rsidR="006D54B0" w:rsidRPr="008E573A" w:rsidRDefault="006D54B0" w:rsidP="008F0880">
      <w:pPr>
        <w:pStyle w:val="RKnormal"/>
        <w:rPr>
          <w:rFonts w:cs="OrigGarmnd BT"/>
          <w:color w:val="000000"/>
          <w:szCs w:val="24"/>
          <w:lang w:eastAsia="sv-SE"/>
        </w:rPr>
      </w:pPr>
    </w:p>
    <w:p w:rsidR="006D54B0" w:rsidRPr="008E573A" w:rsidRDefault="006D54B0" w:rsidP="008F0880">
      <w:pPr>
        <w:pStyle w:val="RKnormal"/>
        <w:rPr>
          <w:rFonts w:cs="OrigGarmnd BT"/>
          <w:color w:val="000000"/>
          <w:szCs w:val="24"/>
          <w:lang w:eastAsia="sv-SE"/>
        </w:rPr>
      </w:pPr>
    </w:p>
    <w:p w:rsidR="006D54B0" w:rsidRPr="008E573A" w:rsidRDefault="006D54B0" w:rsidP="008F0880">
      <w:pPr>
        <w:pStyle w:val="RKnormal"/>
        <w:rPr>
          <w:rFonts w:cs="OrigGarmnd BT"/>
          <w:color w:val="000000"/>
          <w:szCs w:val="24"/>
          <w:lang w:eastAsia="sv-SE"/>
        </w:rPr>
      </w:pPr>
    </w:p>
    <w:p w:rsidR="00446811" w:rsidRPr="008E573A" w:rsidRDefault="00446811" w:rsidP="00712CBA">
      <w:pPr>
        <w:tabs>
          <w:tab w:val="left" w:pos="1134"/>
          <w:tab w:val="left" w:pos="2835"/>
        </w:tabs>
        <w:overflowPunct/>
        <w:spacing w:line="240" w:lineRule="auto"/>
        <w:textAlignment w:val="auto"/>
        <w:rPr>
          <w:rFonts w:cs="OrigGarmnd BT"/>
          <w:color w:val="000000"/>
          <w:szCs w:val="24"/>
          <w:lang w:eastAsia="sv-SE"/>
        </w:rPr>
      </w:pPr>
    </w:p>
    <w:p w:rsidR="00712CBA" w:rsidRPr="008E573A" w:rsidRDefault="00446811" w:rsidP="00712CBA">
      <w:pPr>
        <w:tabs>
          <w:tab w:val="left" w:pos="2835"/>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9.2   Bankavgifter</w:t>
      </w:r>
    </w:p>
    <w:p w:rsidR="00446811" w:rsidRPr="008E573A" w:rsidRDefault="00446811" w:rsidP="00712CBA">
      <w:pPr>
        <w:tabs>
          <w:tab w:val="left" w:pos="2835"/>
        </w:tabs>
        <w:overflowPunct/>
        <w:spacing w:line="240" w:lineRule="auto"/>
        <w:textAlignment w:val="auto"/>
        <w:rPr>
          <w:rFonts w:cs="OrigGarmnd BT"/>
          <w:i/>
          <w:color w:val="000000"/>
          <w:szCs w:val="24"/>
          <w:lang w:eastAsia="sv-SE"/>
        </w:rPr>
      </w:pPr>
      <w:r w:rsidRPr="008E573A">
        <w:rPr>
          <w:rFonts w:cs="OrigGarmnd BT"/>
          <w:i/>
          <w:color w:val="000000"/>
          <w:szCs w:val="24"/>
          <w:lang w:eastAsia="sv-SE"/>
        </w:rPr>
        <w:t xml:space="preserve">        - rådets rapport</w:t>
      </w:r>
    </w:p>
    <w:p w:rsidR="00E72A4C" w:rsidRPr="008E573A" w:rsidRDefault="00E72A4C" w:rsidP="00712CBA">
      <w:pPr>
        <w:tabs>
          <w:tab w:val="left" w:pos="2835"/>
        </w:tabs>
        <w:overflowPunct/>
        <w:spacing w:line="240" w:lineRule="auto"/>
        <w:textAlignment w:val="auto"/>
        <w:rPr>
          <w:rFonts w:cs="OrigGarmnd BT"/>
          <w:color w:val="000000"/>
          <w:szCs w:val="24"/>
          <w:lang w:eastAsia="sv-SE"/>
        </w:rPr>
      </w:pPr>
    </w:p>
    <w:p w:rsidR="001B5279" w:rsidRPr="008E573A" w:rsidRDefault="001B5279" w:rsidP="001B5279">
      <w:pPr>
        <w:pStyle w:val="RKnormal"/>
      </w:pPr>
      <w:r w:rsidRPr="008E573A">
        <w:t xml:space="preserve">Ekofin ska behandla en rapport till Europeiska Rådet gällande stabilitetsavgifter och skatter inom banksektorn. </w:t>
      </w:r>
    </w:p>
    <w:p w:rsidR="001B5279" w:rsidRPr="008E573A" w:rsidRDefault="001B5279" w:rsidP="001B5279">
      <w:pPr>
        <w:pStyle w:val="RKnormal"/>
      </w:pPr>
    </w:p>
    <w:p w:rsidR="001B5279" w:rsidRPr="008E573A" w:rsidRDefault="001B5279" w:rsidP="001B5279">
      <w:pPr>
        <w:pStyle w:val="RKnormal"/>
      </w:pPr>
      <w:r w:rsidRPr="008E573A">
        <w:t xml:space="preserve">Europeiska rådet är överens om att medlemsstaterna bör införa stabilitetsavgifter för banker, dels för att säkerställa en rättvis fördelning av kostnaderna för att hantera finanskriser, dels för att minska systemrisker. Flera medlemsstater har redan tagit initiativ till att införa nationella stabilitetsavgifter, dvs. en avgift som baseras på kreditinstitutens balansräkningar. Det finns dock skillnader mellan medlemsstaterna i hur avgiften har utformats. Ett problem med detta är att dubbelbeskattning kan uppkomma för gränsöverskridande kreditinstitut. </w:t>
      </w:r>
    </w:p>
    <w:p w:rsidR="001B5279" w:rsidRPr="008E573A" w:rsidRDefault="001B5279" w:rsidP="001B5279">
      <w:pPr>
        <w:pStyle w:val="RKnormal"/>
      </w:pPr>
    </w:p>
    <w:p w:rsidR="001B5279" w:rsidRPr="008E573A" w:rsidRDefault="001B5279" w:rsidP="001B5279">
      <w:pPr>
        <w:pStyle w:val="RKnormal"/>
      </w:pPr>
      <w:r w:rsidRPr="008E573A">
        <w:t xml:space="preserve">Ett flexibelt införande av stabilitetsavgifter förespråkas för att sedan på sikt möjliggöra en harmonisering av avgifterna. Kommissionenhar tillsammans med en expertgrupp tagit fram vägledande principer för de medlemsstater som har infört eller planerar att införa stabilitetsavgifter. </w:t>
      </w:r>
    </w:p>
    <w:p w:rsidR="001B5279" w:rsidRPr="008E573A" w:rsidRDefault="001B5279" w:rsidP="001B5279">
      <w:pPr>
        <w:pStyle w:val="RKnormal"/>
      </w:pPr>
    </w:p>
    <w:p w:rsidR="001B5279" w:rsidRPr="008E573A" w:rsidRDefault="001B5279" w:rsidP="001B5279">
      <w:pPr>
        <w:pStyle w:val="RKnormal"/>
      </w:pPr>
      <w:r w:rsidRPr="008E573A">
        <w:t>Det är, enligt regeringens uppfattning, viktigt att EU uppnår ett minimum av koordinering gällande stabilitetsavgifterna, i synnerhet för att undvika dubbelbeskattning.</w:t>
      </w:r>
    </w:p>
    <w:p w:rsidR="001B5279" w:rsidRPr="008E573A" w:rsidRDefault="001B5279" w:rsidP="00712CBA">
      <w:pPr>
        <w:tabs>
          <w:tab w:val="left" w:pos="2835"/>
        </w:tabs>
        <w:overflowPunct/>
        <w:spacing w:line="240" w:lineRule="auto"/>
        <w:textAlignment w:val="auto"/>
        <w:rPr>
          <w:rFonts w:cs="OrigGarmnd BT"/>
          <w:color w:val="000000"/>
          <w:szCs w:val="24"/>
          <w:lang w:eastAsia="sv-SE"/>
        </w:rPr>
      </w:pPr>
    </w:p>
    <w:p w:rsidR="00446811" w:rsidRPr="008E573A" w:rsidRDefault="00446811" w:rsidP="0089124D">
      <w:pPr>
        <w:tabs>
          <w:tab w:val="left" w:pos="1701"/>
        </w:tabs>
        <w:overflowPunct/>
        <w:spacing w:line="240" w:lineRule="auto"/>
        <w:textAlignment w:val="auto"/>
        <w:rPr>
          <w:rFonts w:cs="OrigGarmnd BT"/>
          <w:b/>
          <w:color w:val="000000"/>
          <w:szCs w:val="24"/>
          <w:lang w:eastAsia="sv-SE"/>
        </w:rPr>
      </w:pPr>
    </w:p>
    <w:p w:rsidR="00067C36" w:rsidRPr="008E573A" w:rsidRDefault="00F069DE" w:rsidP="0089124D">
      <w:pPr>
        <w:tabs>
          <w:tab w:val="left" w:pos="1701"/>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1</w:t>
      </w:r>
      <w:r w:rsidR="00862A80" w:rsidRPr="008E573A">
        <w:rPr>
          <w:rFonts w:cs="OrigGarmnd BT"/>
          <w:b/>
          <w:color w:val="000000"/>
          <w:szCs w:val="24"/>
          <w:lang w:eastAsia="sv-SE"/>
        </w:rPr>
        <w:t>0</w:t>
      </w:r>
      <w:r w:rsidRPr="008E573A">
        <w:rPr>
          <w:rFonts w:cs="OrigGarmnd BT"/>
          <w:b/>
          <w:color w:val="000000"/>
          <w:szCs w:val="24"/>
          <w:lang w:eastAsia="sv-SE"/>
        </w:rPr>
        <w:t>.</w:t>
      </w:r>
      <w:r w:rsidRPr="008E573A">
        <w:rPr>
          <w:rFonts w:cs="OrigGarmnd BT"/>
          <w:b/>
          <w:color w:val="000000"/>
          <w:szCs w:val="24"/>
          <w:lang w:eastAsia="sv-SE"/>
        </w:rPr>
        <w:tab/>
      </w:r>
      <w:r w:rsidR="00446811" w:rsidRPr="008E573A">
        <w:rPr>
          <w:rFonts w:cs="OrigGarmnd BT"/>
          <w:b/>
          <w:color w:val="000000"/>
          <w:szCs w:val="24"/>
          <w:lang w:eastAsia="sv-SE"/>
        </w:rPr>
        <w:t>Allmännyttiga tjänster hälso- och sjukvårdsområdet</w:t>
      </w:r>
    </w:p>
    <w:p w:rsidR="00F069DE" w:rsidRPr="008E573A" w:rsidRDefault="00067C36" w:rsidP="0089124D">
      <w:pPr>
        <w:tabs>
          <w:tab w:val="left" w:pos="1701"/>
        </w:tabs>
        <w:overflowPunct/>
        <w:spacing w:line="240" w:lineRule="auto"/>
        <w:textAlignment w:val="auto"/>
        <w:rPr>
          <w:rFonts w:cs="OrigGarmnd BT"/>
          <w:b/>
          <w:color w:val="000000"/>
          <w:szCs w:val="24"/>
          <w:lang w:eastAsia="sv-SE"/>
        </w:rPr>
      </w:pPr>
      <w:r w:rsidRPr="008E573A">
        <w:rPr>
          <w:rFonts w:cs="OrigGarmnd BT"/>
          <w:b/>
          <w:color w:val="000000"/>
          <w:szCs w:val="24"/>
          <w:lang w:eastAsia="sv-SE"/>
        </w:rPr>
        <w:tab/>
      </w:r>
      <w:r w:rsidRPr="008E573A">
        <w:rPr>
          <w:rFonts w:cs="OrigGarmnd BT"/>
          <w:i/>
          <w:color w:val="000000"/>
          <w:szCs w:val="24"/>
          <w:lang w:eastAsia="sv-SE"/>
        </w:rPr>
        <w:t>- rådets slutsatser</w:t>
      </w:r>
      <w:r w:rsidR="00F069DE" w:rsidRPr="008E573A">
        <w:rPr>
          <w:rFonts w:cs="OrigGarmnd BT"/>
          <w:b/>
          <w:color w:val="000000"/>
          <w:szCs w:val="24"/>
          <w:lang w:eastAsia="sv-SE"/>
        </w:rPr>
        <w:t xml:space="preserve"> </w:t>
      </w:r>
    </w:p>
    <w:p w:rsidR="00F069DE" w:rsidRPr="008E573A" w:rsidRDefault="00F069DE" w:rsidP="0089124D">
      <w:pPr>
        <w:tabs>
          <w:tab w:val="left" w:pos="1701"/>
        </w:tabs>
        <w:overflowPunct/>
        <w:spacing w:line="240" w:lineRule="auto"/>
        <w:textAlignment w:val="auto"/>
        <w:rPr>
          <w:rFonts w:cs="OrigGarmnd BT"/>
          <w:b/>
          <w:bCs/>
          <w:color w:val="000000"/>
          <w:szCs w:val="24"/>
          <w:lang w:eastAsia="sv-SE"/>
        </w:rPr>
      </w:pPr>
    </w:p>
    <w:p w:rsidR="00524AA0" w:rsidRPr="008E573A" w:rsidRDefault="00446811" w:rsidP="0089124D">
      <w:pPr>
        <w:tabs>
          <w:tab w:val="left" w:pos="1701"/>
        </w:tabs>
        <w:overflowPunct/>
        <w:spacing w:line="240" w:lineRule="auto"/>
        <w:textAlignment w:val="auto"/>
        <w:rPr>
          <w:rFonts w:cs="OrigGarmnd BT"/>
          <w:bCs/>
          <w:color w:val="000000"/>
          <w:szCs w:val="24"/>
          <w:lang w:eastAsia="sv-SE"/>
        </w:rPr>
      </w:pPr>
      <w:r w:rsidRPr="008E573A">
        <w:rPr>
          <w:rFonts w:cs="OrigGarmnd BT"/>
          <w:bCs/>
          <w:color w:val="000000"/>
          <w:szCs w:val="24"/>
          <w:lang w:eastAsia="sv-SE"/>
        </w:rPr>
        <w:t>Ärendet blir A-punkt</w:t>
      </w:r>
    </w:p>
    <w:p w:rsidR="00456C61" w:rsidRPr="008E573A" w:rsidRDefault="00456C61" w:rsidP="00456C61">
      <w:pPr>
        <w:pStyle w:val="RKnormal"/>
      </w:pPr>
    </w:p>
    <w:p w:rsidR="00446811" w:rsidRPr="008E573A" w:rsidRDefault="00446811" w:rsidP="0089124D">
      <w:pPr>
        <w:tabs>
          <w:tab w:val="left" w:pos="1701"/>
        </w:tabs>
        <w:overflowPunct/>
        <w:spacing w:line="240" w:lineRule="auto"/>
        <w:textAlignment w:val="auto"/>
        <w:rPr>
          <w:rFonts w:cs="OrigGarmnd BT"/>
          <w:b/>
          <w:bCs/>
          <w:color w:val="000000"/>
          <w:szCs w:val="24"/>
          <w:lang w:eastAsia="sv-SE"/>
        </w:rPr>
      </w:pPr>
    </w:p>
    <w:p w:rsidR="00F069DE" w:rsidRPr="008E573A" w:rsidRDefault="00F069DE" w:rsidP="0089124D">
      <w:pPr>
        <w:tabs>
          <w:tab w:val="left" w:pos="1701"/>
        </w:tabs>
        <w:overflowPunct/>
        <w:spacing w:line="240" w:lineRule="auto"/>
        <w:textAlignment w:val="auto"/>
        <w:rPr>
          <w:rFonts w:cs="OrigGarmnd BT"/>
          <w:b/>
          <w:bCs/>
          <w:color w:val="000000"/>
          <w:szCs w:val="24"/>
          <w:lang w:eastAsia="sv-SE"/>
        </w:rPr>
      </w:pPr>
      <w:r w:rsidRPr="008E573A">
        <w:rPr>
          <w:rFonts w:cs="OrigGarmnd BT"/>
          <w:b/>
          <w:bCs/>
          <w:color w:val="000000"/>
          <w:szCs w:val="24"/>
          <w:lang w:eastAsia="sv-SE"/>
        </w:rPr>
        <w:t>1</w:t>
      </w:r>
      <w:r w:rsidR="00862A80" w:rsidRPr="008E573A">
        <w:rPr>
          <w:rFonts w:cs="OrigGarmnd BT"/>
          <w:b/>
          <w:bCs/>
          <w:color w:val="000000"/>
          <w:szCs w:val="24"/>
          <w:lang w:eastAsia="sv-SE"/>
        </w:rPr>
        <w:t>1</w:t>
      </w:r>
      <w:r w:rsidRPr="008E573A">
        <w:rPr>
          <w:rFonts w:cs="OrigGarmnd BT"/>
          <w:b/>
          <w:bCs/>
          <w:color w:val="000000"/>
          <w:szCs w:val="24"/>
          <w:lang w:eastAsia="sv-SE"/>
        </w:rPr>
        <w:t>.</w:t>
      </w:r>
      <w:r w:rsidR="00067C36" w:rsidRPr="008E573A">
        <w:rPr>
          <w:rFonts w:cs="OrigGarmnd BT"/>
          <w:b/>
          <w:bCs/>
          <w:color w:val="000000"/>
          <w:szCs w:val="24"/>
          <w:lang w:eastAsia="sv-SE"/>
        </w:rPr>
        <w:tab/>
      </w:r>
      <w:r w:rsidR="0053588B" w:rsidRPr="008E573A">
        <w:rPr>
          <w:rFonts w:cs="OrigGarmnd BT"/>
          <w:b/>
          <w:bCs/>
          <w:color w:val="000000"/>
          <w:szCs w:val="24"/>
          <w:lang w:eastAsia="sv-SE"/>
        </w:rPr>
        <w:t xml:space="preserve">(ev.) </w:t>
      </w:r>
      <w:r w:rsidR="00446811" w:rsidRPr="008E573A">
        <w:rPr>
          <w:rFonts w:cs="OrigGarmnd BT"/>
          <w:b/>
          <w:bCs/>
          <w:color w:val="000000"/>
          <w:szCs w:val="24"/>
          <w:lang w:eastAsia="sv-SE"/>
        </w:rPr>
        <w:t>Smart budgetkonsolidering</w:t>
      </w:r>
    </w:p>
    <w:p w:rsidR="00F069DE" w:rsidRPr="008E573A" w:rsidRDefault="00F069DE" w:rsidP="0089124D">
      <w:pPr>
        <w:tabs>
          <w:tab w:val="left" w:pos="1701"/>
        </w:tabs>
        <w:overflowPunct/>
        <w:spacing w:line="240" w:lineRule="auto"/>
        <w:textAlignment w:val="auto"/>
        <w:rPr>
          <w:rFonts w:cs="OrigGarmnd BT"/>
          <w:bCs/>
          <w:i/>
          <w:color w:val="000000"/>
          <w:szCs w:val="24"/>
          <w:lang w:eastAsia="sv-SE"/>
        </w:rPr>
      </w:pPr>
      <w:r w:rsidRPr="008E573A">
        <w:rPr>
          <w:rFonts w:cs="OrigGarmnd BT"/>
          <w:bCs/>
          <w:i/>
          <w:color w:val="000000"/>
          <w:szCs w:val="24"/>
          <w:lang w:eastAsia="sv-SE"/>
        </w:rPr>
        <w:t xml:space="preserve">    </w:t>
      </w:r>
      <w:r w:rsidR="00067C36" w:rsidRPr="008E573A">
        <w:rPr>
          <w:rFonts w:cs="OrigGarmnd BT"/>
          <w:bCs/>
          <w:i/>
          <w:color w:val="000000"/>
          <w:szCs w:val="24"/>
          <w:lang w:eastAsia="sv-SE"/>
        </w:rPr>
        <w:tab/>
      </w:r>
      <w:r w:rsidRPr="008E573A">
        <w:rPr>
          <w:rFonts w:cs="OrigGarmnd BT"/>
          <w:bCs/>
          <w:i/>
          <w:color w:val="000000"/>
          <w:szCs w:val="24"/>
          <w:lang w:eastAsia="sv-SE"/>
        </w:rPr>
        <w:t>- rådets slutsatser</w:t>
      </w:r>
    </w:p>
    <w:p w:rsidR="004E0C5C" w:rsidRPr="008E573A" w:rsidRDefault="004E0C5C" w:rsidP="004E0C5C">
      <w:pPr>
        <w:pStyle w:val="RKnormal"/>
      </w:pPr>
    </w:p>
    <w:p w:rsidR="00446811" w:rsidRPr="008E573A" w:rsidRDefault="00446811" w:rsidP="004E0C5C">
      <w:pPr>
        <w:pStyle w:val="RKnormal"/>
      </w:pPr>
      <w:r w:rsidRPr="008E573A">
        <w:t>Ärendet utgår från dagordningen.</w:t>
      </w:r>
    </w:p>
    <w:p w:rsidR="00446811" w:rsidRPr="008E573A" w:rsidRDefault="00446811" w:rsidP="004E0C5C">
      <w:pPr>
        <w:pStyle w:val="RKnormal"/>
      </w:pPr>
    </w:p>
    <w:p w:rsidR="00446811" w:rsidRPr="008E573A" w:rsidRDefault="00446811" w:rsidP="004E0C5C">
      <w:pPr>
        <w:pStyle w:val="RKnormal"/>
      </w:pPr>
    </w:p>
    <w:p w:rsidR="004E0C5C" w:rsidRPr="008E573A" w:rsidRDefault="00446811" w:rsidP="004E0C5C">
      <w:pPr>
        <w:pStyle w:val="RKnormal"/>
        <w:rPr>
          <w:b/>
        </w:rPr>
      </w:pPr>
      <w:r w:rsidRPr="008E573A">
        <w:rPr>
          <w:b/>
        </w:rPr>
        <w:t xml:space="preserve">12.                        </w:t>
      </w:r>
      <w:r w:rsidR="0053588B" w:rsidRPr="008E573A">
        <w:rPr>
          <w:b/>
        </w:rPr>
        <w:t xml:space="preserve">(ev.) </w:t>
      </w:r>
      <w:r w:rsidRPr="008E573A">
        <w:rPr>
          <w:b/>
        </w:rPr>
        <w:t>Den inre markanden</w:t>
      </w:r>
    </w:p>
    <w:p w:rsidR="00446811" w:rsidRPr="008E573A" w:rsidRDefault="00446811" w:rsidP="004E0C5C">
      <w:pPr>
        <w:pStyle w:val="RKnormal"/>
      </w:pPr>
    </w:p>
    <w:p w:rsidR="00446811" w:rsidRPr="008E573A" w:rsidRDefault="00446811" w:rsidP="004E0C5C">
      <w:pPr>
        <w:pStyle w:val="RKnormal"/>
      </w:pPr>
      <w:r w:rsidRPr="008E573A">
        <w:t>Ärendet utgår från dagordningen.</w:t>
      </w:r>
    </w:p>
    <w:p w:rsidR="00446811" w:rsidRPr="008E573A" w:rsidRDefault="00446811" w:rsidP="004E0C5C">
      <w:pPr>
        <w:pStyle w:val="RKnormal"/>
      </w:pPr>
    </w:p>
    <w:p w:rsidR="002E02C5" w:rsidRPr="008E573A" w:rsidRDefault="002E02C5" w:rsidP="004E0C5C">
      <w:pPr>
        <w:pStyle w:val="RKnormal"/>
      </w:pPr>
    </w:p>
    <w:p w:rsidR="004E0C5C" w:rsidRPr="008E573A" w:rsidRDefault="002E02C5" w:rsidP="004E0C5C">
      <w:pPr>
        <w:pStyle w:val="RKnormal"/>
        <w:rPr>
          <w:b/>
        </w:rPr>
      </w:pPr>
      <w:r w:rsidRPr="008E573A">
        <w:rPr>
          <w:b/>
        </w:rPr>
        <w:t>13.                        Krishantering</w:t>
      </w:r>
    </w:p>
    <w:p w:rsidR="002E02C5" w:rsidRPr="008E573A" w:rsidRDefault="002E02C5" w:rsidP="004E0C5C">
      <w:pPr>
        <w:pStyle w:val="RKnormal"/>
        <w:rPr>
          <w:i/>
        </w:rPr>
      </w:pPr>
      <w:r w:rsidRPr="008E573A">
        <w:rPr>
          <w:i/>
        </w:rPr>
        <w:t xml:space="preserve">                             - rådets slutsatser</w:t>
      </w:r>
    </w:p>
    <w:p w:rsidR="002E02C5" w:rsidRPr="008E573A" w:rsidRDefault="002E02C5" w:rsidP="004E0C5C">
      <w:pPr>
        <w:pStyle w:val="RKnormal"/>
      </w:pPr>
    </w:p>
    <w:p w:rsidR="007149EA" w:rsidRPr="008E573A" w:rsidRDefault="007149EA" w:rsidP="007149EA">
      <w:pPr>
        <w:pStyle w:val="RKnormal"/>
        <w:rPr>
          <w:lang w:eastAsia="sv-SE"/>
        </w:rPr>
      </w:pPr>
      <w:r w:rsidRPr="008E573A">
        <w:rPr>
          <w:lang w:eastAsia="sv-SE"/>
        </w:rPr>
        <w:t>Ekofin</w:t>
      </w:r>
      <w:r w:rsidR="00D079D2" w:rsidRPr="008E573A">
        <w:rPr>
          <w:lang w:eastAsia="sv-SE"/>
        </w:rPr>
        <w:t>rådet</w:t>
      </w:r>
      <w:r w:rsidRPr="008E573A">
        <w:rPr>
          <w:lang w:eastAsia="sv-SE"/>
        </w:rPr>
        <w:t xml:space="preserve"> ska anta ett utkast till slutsatser avseende bankkrishantering för senare behandling av Europeiska Rådets möte i december. </w:t>
      </w:r>
    </w:p>
    <w:p w:rsidR="007149EA" w:rsidRPr="008E573A" w:rsidRDefault="007149EA" w:rsidP="007149EA">
      <w:pPr>
        <w:pStyle w:val="RKnormal"/>
        <w:rPr>
          <w:lang w:eastAsia="sv-SE"/>
        </w:rPr>
      </w:pPr>
    </w:p>
    <w:p w:rsidR="007149EA" w:rsidRPr="008E573A" w:rsidRDefault="007149EA" w:rsidP="007149EA">
      <w:pPr>
        <w:pStyle w:val="RKnormal"/>
        <w:rPr>
          <w:lang w:eastAsia="sv-SE"/>
        </w:rPr>
      </w:pPr>
      <w:r w:rsidRPr="008E573A">
        <w:rPr>
          <w:lang w:eastAsia="sv-SE"/>
        </w:rPr>
        <w:t xml:space="preserve">Kommissionen har i ett meddelande av den 20 oktober 2010 presenterat förslag för ett omfattande framtida EU-ramverk för hanteringen av banker och vissa investeringsbolag i kris. Huvuddragen i förslaget innebär bl.a. åtgärder för att förbättra och förstärka tillsynsmyndigheternas befogenheter att med olika verktyg tidigt ingripa mot institut som har finansiella problem, samt skapa ett trovärdigt regelverk för att rekonstruera och avveckla systemviktiga institut. </w:t>
      </w:r>
    </w:p>
    <w:p w:rsidR="007149EA" w:rsidRPr="008E573A" w:rsidRDefault="007149EA" w:rsidP="007149EA">
      <w:pPr>
        <w:pStyle w:val="RKnormal"/>
        <w:rPr>
          <w:lang w:eastAsia="sv-SE"/>
        </w:rPr>
      </w:pPr>
      <w:r w:rsidRPr="008E573A">
        <w:rPr>
          <w:lang w:eastAsia="sv-SE"/>
        </w:rPr>
        <w:t>Regelverket syftar till att säkerställa ett sunt beteende på den finansiella marknaden och på så sätt minska sannolikheten för att det uppstår finansiella kriser. Avsikten är vidare att därigenom minska risken för att skattebetalarna får bära de kostnader, t.ex. för ett statligt garantiprogram, som normalt uppstår i en finansiell kris. Kommissionen avser att följa upp meddelandet med ett lagstiftningsförslag, som förväntas presenteras under våren 2011.</w:t>
      </w:r>
    </w:p>
    <w:p w:rsidR="002E02C5" w:rsidRPr="008E573A" w:rsidRDefault="002E02C5" w:rsidP="004E0C5C">
      <w:pPr>
        <w:pStyle w:val="RKnormal"/>
      </w:pPr>
    </w:p>
    <w:p w:rsidR="007149EA" w:rsidRPr="008E573A" w:rsidRDefault="007149EA" w:rsidP="004E0C5C">
      <w:pPr>
        <w:pStyle w:val="RKnormal"/>
      </w:pPr>
      <w:r w:rsidRPr="008E573A">
        <w:t>Regeringen ställer sig bakom utkastet till slutsatser</w:t>
      </w:r>
    </w:p>
    <w:p w:rsidR="007149EA" w:rsidRPr="008E573A" w:rsidRDefault="007149EA" w:rsidP="004E0C5C">
      <w:pPr>
        <w:pStyle w:val="RKnormal"/>
      </w:pPr>
    </w:p>
    <w:p w:rsidR="00E7520F" w:rsidRPr="008E573A" w:rsidRDefault="00E7520F" w:rsidP="004E0C5C">
      <w:pPr>
        <w:pStyle w:val="RKnormal"/>
      </w:pPr>
    </w:p>
    <w:p w:rsidR="00E7520F" w:rsidRPr="008E573A" w:rsidRDefault="00E7520F" w:rsidP="004E0C5C">
      <w:pPr>
        <w:pStyle w:val="RKnormal"/>
        <w:rPr>
          <w:b/>
        </w:rPr>
      </w:pPr>
      <w:r w:rsidRPr="008E573A">
        <w:rPr>
          <w:b/>
        </w:rPr>
        <w:t>14.                        Uppförandekod för  företagsbeskattning</w:t>
      </w:r>
    </w:p>
    <w:p w:rsidR="00E7520F" w:rsidRPr="008E573A" w:rsidRDefault="00E7520F" w:rsidP="004E0C5C">
      <w:pPr>
        <w:pStyle w:val="RKnormal"/>
        <w:rPr>
          <w:i/>
        </w:rPr>
      </w:pPr>
      <w:r w:rsidRPr="008E573A">
        <w:rPr>
          <w:i/>
        </w:rPr>
        <w:t xml:space="preserve">                             - rapport till rådet/</w:t>
      </w:r>
      <w:r w:rsidR="00634197" w:rsidRPr="008E573A">
        <w:rPr>
          <w:i/>
        </w:rPr>
        <w:t>r</w:t>
      </w:r>
      <w:r w:rsidRPr="008E573A">
        <w:rPr>
          <w:i/>
        </w:rPr>
        <w:t>ådets slutsatser</w:t>
      </w:r>
    </w:p>
    <w:p w:rsidR="00E7520F" w:rsidRPr="008E573A" w:rsidRDefault="00E7520F" w:rsidP="004E0C5C">
      <w:pPr>
        <w:pStyle w:val="RKnormal"/>
      </w:pPr>
    </w:p>
    <w:p w:rsidR="00E7520F" w:rsidRPr="008E573A" w:rsidRDefault="00E7520F" w:rsidP="004E0C5C">
      <w:pPr>
        <w:pStyle w:val="RKnormal"/>
      </w:pPr>
      <w:r w:rsidRPr="008E573A">
        <w:t>Ärendet utgår från dagordningen.</w:t>
      </w:r>
    </w:p>
    <w:p w:rsidR="00E7520F" w:rsidRPr="008E573A" w:rsidRDefault="00E7520F" w:rsidP="004E0C5C">
      <w:pPr>
        <w:pStyle w:val="RKnormal"/>
      </w:pPr>
    </w:p>
    <w:p w:rsidR="007149EA" w:rsidRPr="008E573A" w:rsidRDefault="007149EA" w:rsidP="004E0C5C">
      <w:pPr>
        <w:pStyle w:val="RKnormal"/>
      </w:pPr>
    </w:p>
    <w:p w:rsidR="0089124D" w:rsidRPr="008E573A" w:rsidRDefault="00F069DE" w:rsidP="0089124D">
      <w:pPr>
        <w:tabs>
          <w:tab w:val="left" w:pos="1701"/>
        </w:tabs>
        <w:overflowPunct/>
        <w:spacing w:line="240" w:lineRule="auto"/>
        <w:textAlignment w:val="auto"/>
        <w:rPr>
          <w:rFonts w:cs="OrigGarmnd BT"/>
          <w:b/>
          <w:bCs/>
          <w:color w:val="000000"/>
          <w:szCs w:val="24"/>
          <w:lang w:eastAsia="sv-SE"/>
        </w:rPr>
      </w:pPr>
      <w:r w:rsidRPr="008E573A">
        <w:rPr>
          <w:rFonts w:cs="OrigGarmnd BT"/>
          <w:b/>
          <w:bCs/>
          <w:color w:val="000000"/>
          <w:szCs w:val="24"/>
          <w:lang w:eastAsia="sv-SE"/>
        </w:rPr>
        <w:t>1</w:t>
      </w:r>
      <w:r w:rsidR="00E7520F" w:rsidRPr="008E573A">
        <w:rPr>
          <w:rFonts w:cs="OrigGarmnd BT"/>
          <w:b/>
          <w:bCs/>
          <w:color w:val="000000"/>
          <w:szCs w:val="24"/>
          <w:lang w:eastAsia="sv-SE"/>
        </w:rPr>
        <w:t>5</w:t>
      </w:r>
      <w:r w:rsidR="0089124D" w:rsidRPr="008E573A">
        <w:rPr>
          <w:rFonts w:cs="OrigGarmnd BT"/>
          <w:b/>
          <w:bCs/>
          <w:color w:val="000000"/>
          <w:szCs w:val="24"/>
          <w:lang w:eastAsia="sv-SE"/>
        </w:rPr>
        <w:t>.</w:t>
      </w:r>
      <w:r w:rsidR="0089124D" w:rsidRPr="008E573A">
        <w:rPr>
          <w:rFonts w:cs="OrigGarmnd BT"/>
          <w:b/>
          <w:bCs/>
          <w:color w:val="000000"/>
          <w:szCs w:val="24"/>
          <w:lang w:eastAsia="sv-SE"/>
        </w:rPr>
        <w:tab/>
      </w:r>
      <w:r w:rsidR="001F529D" w:rsidRPr="008E573A">
        <w:rPr>
          <w:rFonts w:cs="OrigGarmnd BT"/>
          <w:b/>
          <w:bCs/>
          <w:color w:val="000000"/>
          <w:szCs w:val="24"/>
          <w:lang w:eastAsia="sv-SE"/>
        </w:rPr>
        <w:t>Ö</w:t>
      </w:r>
      <w:r w:rsidR="0089124D" w:rsidRPr="008E573A">
        <w:rPr>
          <w:rFonts w:cs="OrigGarmnd BT"/>
          <w:b/>
          <w:bCs/>
          <w:color w:val="000000"/>
          <w:szCs w:val="24"/>
          <w:lang w:eastAsia="sv-SE"/>
        </w:rPr>
        <w:t>vriga ärenden</w:t>
      </w:r>
    </w:p>
    <w:p w:rsidR="0089124D" w:rsidRPr="008E573A" w:rsidRDefault="0089124D" w:rsidP="0089124D">
      <w:pPr>
        <w:tabs>
          <w:tab w:val="left" w:pos="567"/>
          <w:tab w:val="left" w:pos="1701"/>
        </w:tabs>
        <w:overflowPunct/>
        <w:spacing w:line="240" w:lineRule="auto"/>
        <w:textAlignment w:val="auto"/>
        <w:rPr>
          <w:rFonts w:cs="OrigGarmnd BT"/>
          <w:b/>
          <w:bCs/>
          <w:color w:val="000000"/>
          <w:szCs w:val="24"/>
          <w:lang w:eastAsia="sv-SE"/>
        </w:rPr>
      </w:pPr>
    </w:p>
    <w:p w:rsidR="0089124D" w:rsidRPr="008E573A" w:rsidRDefault="002E02C5" w:rsidP="0089124D">
      <w:pPr>
        <w:tabs>
          <w:tab w:val="left" w:pos="1701"/>
        </w:tabs>
        <w:overflowPunct/>
        <w:spacing w:line="240" w:lineRule="auto"/>
        <w:textAlignment w:val="auto"/>
        <w:rPr>
          <w:rFonts w:cs="OrigGarmnd BT"/>
          <w:color w:val="000000"/>
          <w:szCs w:val="24"/>
          <w:lang w:eastAsia="sv-SE"/>
        </w:rPr>
      </w:pPr>
      <w:r w:rsidRPr="008E573A">
        <w:rPr>
          <w:rFonts w:cs="OrigGarmnd BT"/>
          <w:color w:val="000000"/>
          <w:szCs w:val="24"/>
          <w:lang w:eastAsia="sv-SE"/>
        </w:rPr>
        <w:t>Inga övriga ärenden har i skrivande stund presenterats.</w:t>
      </w:r>
    </w:p>
    <w:p w:rsidR="002E02C5" w:rsidRPr="008E573A" w:rsidRDefault="002E02C5" w:rsidP="0089124D">
      <w:pPr>
        <w:tabs>
          <w:tab w:val="left" w:pos="1701"/>
        </w:tabs>
        <w:overflowPunct/>
        <w:spacing w:line="240" w:lineRule="auto"/>
        <w:textAlignment w:val="auto"/>
        <w:rPr>
          <w:rFonts w:cs="OrigGarmnd BT"/>
          <w:color w:val="000000"/>
          <w:szCs w:val="24"/>
          <w:lang w:eastAsia="sv-SE"/>
        </w:rPr>
      </w:pPr>
    </w:p>
    <w:p w:rsidR="002E02C5" w:rsidRPr="008E573A" w:rsidRDefault="002E02C5" w:rsidP="0089124D">
      <w:pPr>
        <w:tabs>
          <w:tab w:val="left" w:pos="1701"/>
        </w:tabs>
        <w:overflowPunct/>
        <w:spacing w:line="240" w:lineRule="auto"/>
        <w:textAlignment w:val="auto"/>
        <w:rPr>
          <w:rFonts w:cs="OrigGarmnd BT"/>
          <w:color w:val="000000"/>
          <w:szCs w:val="24"/>
          <w:lang w:eastAsia="sv-SE"/>
        </w:rPr>
      </w:pPr>
    </w:p>
    <w:p w:rsidR="0089124D" w:rsidRPr="008E573A" w:rsidRDefault="0089124D" w:rsidP="0089124D">
      <w:pPr>
        <w:tabs>
          <w:tab w:val="left" w:pos="1701"/>
        </w:tabs>
        <w:overflowPunct/>
        <w:spacing w:line="240" w:lineRule="auto"/>
        <w:jc w:val="center"/>
        <w:textAlignment w:val="auto"/>
        <w:rPr>
          <w:rFonts w:cs="OrigGarmnd BT"/>
          <w:color w:val="000000"/>
          <w:szCs w:val="24"/>
          <w:lang w:eastAsia="sv-SE"/>
        </w:rPr>
      </w:pPr>
      <w:r w:rsidRPr="008E573A">
        <w:rPr>
          <w:rFonts w:cs="OrigGarmnd BT"/>
          <w:color w:val="000000"/>
          <w:szCs w:val="24"/>
          <w:lang w:eastAsia="sv-SE"/>
        </w:rPr>
        <w:t>_______________________</w:t>
      </w:r>
    </w:p>
    <w:p w:rsidR="0089124D" w:rsidRPr="008E573A" w:rsidRDefault="0089124D" w:rsidP="00856A3C">
      <w:pPr>
        <w:pStyle w:val="RKnormal"/>
        <w:tabs>
          <w:tab w:val="clear" w:pos="2835"/>
          <w:tab w:val="left" w:pos="1701"/>
        </w:tabs>
        <w:rPr>
          <w:b/>
        </w:rPr>
      </w:pPr>
    </w:p>
    <w:sectPr w:rsidR="0089124D" w:rsidRPr="008E573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A6F" w:rsidRPr="008E573A" w:rsidRDefault="00B43A6F">
      <w:r w:rsidRPr="008E573A">
        <w:separator/>
      </w:r>
    </w:p>
  </w:endnote>
  <w:endnote w:type="continuationSeparator" w:id="0">
    <w:p w:rsidR="00B43A6F" w:rsidRPr="008E573A" w:rsidRDefault="00B43A6F">
      <w:r w:rsidRPr="008E57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A6F" w:rsidRPr="008E573A" w:rsidRDefault="00B43A6F">
      <w:r w:rsidRPr="008E573A">
        <w:separator/>
      </w:r>
    </w:p>
  </w:footnote>
  <w:footnote w:type="continuationSeparator" w:id="0">
    <w:p w:rsidR="00B43A6F" w:rsidRPr="008E573A" w:rsidRDefault="00B43A6F">
      <w:r w:rsidRPr="008E57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8B" w:rsidRPr="008E573A" w:rsidRDefault="0053588B">
    <w:pPr>
      <w:pStyle w:val="Sidhuvud"/>
      <w:framePr w:wrap="around" w:vAnchor="text" w:hAnchor="margin" w:xAlign="right" w:y="1"/>
      <w:rPr>
        <w:rStyle w:val="Sidnummer"/>
      </w:rPr>
    </w:pPr>
    <w:r w:rsidRPr="008E573A">
      <w:rPr>
        <w:rStyle w:val="Sidnummer"/>
      </w:rPr>
      <w:fldChar w:fldCharType="begin" w:fldLock="1"/>
    </w:r>
    <w:r w:rsidRPr="008E573A">
      <w:rPr>
        <w:rStyle w:val="Sidnummer"/>
      </w:rPr>
      <w:instrText xml:space="preserve">PAGE  </w:instrText>
    </w:r>
    <w:r w:rsidRPr="008E573A">
      <w:rPr>
        <w:rStyle w:val="Sidnummer"/>
      </w:rPr>
      <w:fldChar w:fldCharType="separate"/>
    </w:r>
    <w:r w:rsidR="00CE0420" w:rsidRPr="008E573A">
      <w:rPr>
        <w:rStyle w:val="Sidnummer"/>
      </w:rPr>
      <w:t>2</w:t>
    </w:r>
    <w:r w:rsidRPr="008E57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3588B" w:rsidRPr="008E573A">
      <w:tblPrEx>
        <w:tblCellMar>
          <w:top w:w="0" w:type="dxa"/>
          <w:bottom w:w="0" w:type="dxa"/>
        </w:tblCellMar>
      </w:tblPrEx>
      <w:trPr>
        <w:cantSplit/>
      </w:trPr>
      <w:tc>
        <w:tcPr>
          <w:tcW w:w="3119" w:type="dxa"/>
        </w:tcPr>
        <w:p w:rsidR="0053588B" w:rsidRPr="008E573A" w:rsidRDefault="0053588B">
          <w:pPr>
            <w:pStyle w:val="Sidhuvud"/>
            <w:spacing w:line="200" w:lineRule="atLeast"/>
            <w:ind w:right="357"/>
            <w:rPr>
              <w:rFonts w:ascii="TradeGothic" w:hAnsi="TradeGothic"/>
              <w:b/>
              <w:bCs/>
              <w:sz w:val="16"/>
            </w:rPr>
          </w:pPr>
        </w:p>
      </w:tc>
      <w:tc>
        <w:tcPr>
          <w:tcW w:w="4111" w:type="dxa"/>
          <w:tcMar>
            <w:left w:w="567" w:type="dxa"/>
          </w:tcMar>
        </w:tcPr>
        <w:p w:rsidR="0053588B" w:rsidRPr="008E573A" w:rsidRDefault="0053588B">
          <w:pPr>
            <w:pStyle w:val="Sidhuvud"/>
            <w:ind w:right="360"/>
          </w:pPr>
        </w:p>
      </w:tc>
      <w:tc>
        <w:tcPr>
          <w:tcW w:w="1525" w:type="dxa"/>
        </w:tcPr>
        <w:p w:rsidR="0053588B" w:rsidRPr="008E573A" w:rsidRDefault="0053588B">
          <w:pPr>
            <w:pStyle w:val="Sidhuvud"/>
            <w:ind w:right="360"/>
          </w:pPr>
        </w:p>
      </w:tc>
    </w:tr>
  </w:tbl>
  <w:p w:rsidR="0053588B" w:rsidRPr="008E573A" w:rsidRDefault="0053588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8B" w:rsidRPr="008E573A" w:rsidRDefault="0053588B">
    <w:pPr>
      <w:pStyle w:val="Sidhuvud"/>
      <w:framePr w:wrap="around" w:vAnchor="text" w:hAnchor="margin" w:xAlign="right" w:y="1"/>
      <w:rPr>
        <w:rStyle w:val="Sidnummer"/>
      </w:rPr>
    </w:pPr>
    <w:r w:rsidRPr="008E573A">
      <w:rPr>
        <w:rStyle w:val="Sidnummer"/>
      </w:rPr>
      <w:fldChar w:fldCharType="begin" w:fldLock="1"/>
    </w:r>
    <w:r w:rsidRPr="008E573A">
      <w:rPr>
        <w:rStyle w:val="Sidnummer"/>
      </w:rPr>
      <w:instrText xml:space="preserve">PAGE  </w:instrText>
    </w:r>
    <w:r w:rsidRPr="008E573A">
      <w:rPr>
        <w:rStyle w:val="Sidnummer"/>
      </w:rPr>
      <w:fldChar w:fldCharType="separate"/>
    </w:r>
    <w:r w:rsidR="00CE0420" w:rsidRPr="008E573A">
      <w:rPr>
        <w:rStyle w:val="Sidnummer"/>
      </w:rPr>
      <w:t>3</w:t>
    </w:r>
    <w:r w:rsidRPr="008E57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3588B" w:rsidRPr="008E573A">
      <w:tblPrEx>
        <w:tblCellMar>
          <w:top w:w="0" w:type="dxa"/>
          <w:bottom w:w="0" w:type="dxa"/>
        </w:tblCellMar>
      </w:tblPrEx>
      <w:trPr>
        <w:cantSplit/>
      </w:trPr>
      <w:tc>
        <w:tcPr>
          <w:tcW w:w="3119" w:type="dxa"/>
        </w:tcPr>
        <w:p w:rsidR="0053588B" w:rsidRPr="008E573A" w:rsidRDefault="0053588B">
          <w:pPr>
            <w:pStyle w:val="Sidhuvud"/>
            <w:spacing w:line="200" w:lineRule="atLeast"/>
            <w:ind w:right="357"/>
            <w:rPr>
              <w:rFonts w:ascii="TradeGothic" w:hAnsi="TradeGothic"/>
              <w:b/>
              <w:bCs/>
              <w:sz w:val="16"/>
            </w:rPr>
          </w:pPr>
        </w:p>
      </w:tc>
      <w:tc>
        <w:tcPr>
          <w:tcW w:w="4111" w:type="dxa"/>
          <w:tcMar>
            <w:left w:w="567" w:type="dxa"/>
          </w:tcMar>
        </w:tcPr>
        <w:p w:rsidR="0053588B" w:rsidRPr="008E573A" w:rsidRDefault="0053588B">
          <w:pPr>
            <w:pStyle w:val="Sidhuvud"/>
            <w:ind w:right="360"/>
          </w:pPr>
        </w:p>
      </w:tc>
      <w:tc>
        <w:tcPr>
          <w:tcW w:w="1525" w:type="dxa"/>
        </w:tcPr>
        <w:p w:rsidR="0053588B" w:rsidRPr="008E573A" w:rsidRDefault="0053588B">
          <w:pPr>
            <w:pStyle w:val="Sidhuvud"/>
            <w:ind w:right="360"/>
          </w:pPr>
        </w:p>
      </w:tc>
    </w:tr>
  </w:tbl>
  <w:p w:rsidR="0053588B" w:rsidRPr="008E573A" w:rsidRDefault="0053588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88B" w:rsidRPr="008E573A" w:rsidRDefault="008E573A">
    <w:pPr>
      <w:framePr w:w="2948" w:h="1321" w:hRule="exact" w:wrap="notBeside" w:vAnchor="page" w:hAnchor="page" w:x="1362" w:y="653"/>
    </w:pPr>
    <w:r w:rsidRPr="008E57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3588B" w:rsidRPr="008E573A" w:rsidRDefault="0053588B">
    <w:pPr>
      <w:pStyle w:val="RKrubrik"/>
      <w:keepNext w:val="0"/>
      <w:tabs>
        <w:tab w:val="clear" w:pos="1134"/>
        <w:tab w:val="clear" w:pos="2835"/>
      </w:tabs>
      <w:spacing w:before="0" w:after="0" w:line="320" w:lineRule="atLeast"/>
      <w:rPr>
        <w:bCs/>
      </w:rPr>
    </w:pPr>
  </w:p>
  <w:p w:rsidR="0053588B" w:rsidRPr="008E573A" w:rsidRDefault="0053588B">
    <w:pPr>
      <w:rPr>
        <w:rFonts w:ascii="TradeGothic" w:hAnsi="TradeGothic"/>
        <w:b/>
        <w:bCs/>
        <w:spacing w:val="12"/>
        <w:sz w:val="22"/>
      </w:rPr>
    </w:pPr>
  </w:p>
  <w:p w:rsidR="0053588B" w:rsidRPr="008E573A" w:rsidRDefault="0053588B">
    <w:pPr>
      <w:pStyle w:val="RKrubrik"/>
      <w:keepNext w:val="0"/>
      <w:tabs>
        <w:tab w:val="clear" w:pos="1134"/>
        <w:tab w:val="clear" w:pos="2835"/>
      </w:tabs>
      <w:spacing w:before="0" w:after="0" w:line="320" w:lineRule="atLeast"/>
      <w:rPr>
        <w:bCs/>
      </w:rPr>
    </w:pPr>
  </w:p>
  <w:p w:rsidR="0053588B" w:rsidRPr="008E573A" w:rsidRDefault="0053588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607A8"/>
    <w:multiLevelType w:val="hybridMultilevel"/>
    <w:tmpl w:val="BB0092FC"/>
    <w:lvl w:ilvl="0" w:tplc="508C8864">
      <w:start w:val="1"/>
      <w:numFmt w:val="lowerRoman"/>
      <w:lvlText w:val="(%1)"/>
      <w:lvlJc w:val="left"/>
      <w:pPr>
        <w:tabs>
          <w:tab w:val="num" w:pos="1440"/>
        </w:tabs>
        <w:ind w:left="1440" w:hanging="108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6F45E0"/>
    <w:multiLevelType w:val="hybridMultilevel"/>
    <w:tmpl w:val="B530A2EA"/>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8"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7258037">
    <w:abstractNumId w:val="0"/>
    <w:lvlOverride w:ilvl="0">
      <w:lvl w:ilvl="0">
        <w:numFmt w:val="bullet"/>
        <w:lvlText w:val="•"/>
        <w:legacy w:legacy="1" w:legacySpace="0" w:legacyIndent="0"/>
        <w:lvlJc w:val="left"/>
        <w:rPr>
          <w:rFonts w:ascii="Helv" w:hAnsi="Helv" w:hint="default"/>
        </w:rPr>
      </w:lvl>
    </w:lvlOverride>
  </w:num>
  <w:num w:numId="2" w16cid:durableId="1573732074">
    <w:abstractNumId w:val="10"/>
  </w:num>
  <w:num w:numId="3" w16cid:durableId="1205483119">
    <w:abstractNumId w:val="18"/>
  </w:num>
  <w:num w:numId="4" w16cid:durableId="181480412">
    <w:abstractNumId w:val="12"/>
  </w:num>
  <w:num w:numId="5" w16cid:durableId="1144202446">
    <w:abstractNumId w:val="3"/>
  </w:num>
  <w:num w:numId="6" w16cid:durableId="895091384">
    <w:abstractNumId w:val="16"/>
  </w:num>
  <w:num w:numId="7" w16cid:durableId="154685354">
    <w:abstractNumId w:val="7"/>
  </w:num>
  <w:num w:numId="8" w16cid:durableId="2018581123">
    <w:abstractNumId w:val="4"/>
  </w:num>
  <w:num w:numId="9" w16cid:durableId="1286111228">
    <w:abstractNumId w:val="19"/>
  </w:num>
  <w:num w:numId="10" w16cid:durableId="1191188761">
    <w:abstractNumId w:val="11"/>
  </w:num>
  <w:num w:numId="11" w16cid:durableId="2062509361">
    <w:abstractNumId w:val="13"/>
  </w:num>
  <w:num w:numId="12" w16cid:durableId="1558467725">
    <w:abstractNumId w:val="6"/>
  </w:num>
  <w:num w:numId="13" w16cid:durableId="2088183371">
    <w:abstractNumId w:val="17"/>
  </w:num>
  <w:num w:numId="14" w16cid:durableId="1357316652">
    <w:abstractNumId w:val="9"/>
  </w:num>
  <w:num w:numId="15" w16cid:durableId="73285769">
    <w:abstractNumId w:val="5"/>
  </w:num>
  <w:num w:numId="16" w16cid:durableId="1470583">
    <w:abstractNumId w:val="15"/>
  </w:num>
  <w:num w:numId="17" w16cid:durableId="1698310559">
    <w:abstractNumId w:val="1"/>
  </w:num>
  <w:num w:numId="18" w16cid:durableId="45224844">
    <w:abstractNumId w:val="14"/>
  </w:num>
  <w:num w:numId="19" w16cid:durableId="295529559">
    <w:abstractNumId w:val="8"/>
  </w:num>
  <w:num w:numId="20" w16cid:durableId="430664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05681"/>
    <w:rsid w:val="0002076E"/>
    <w:rsid w:val="00020F98"/>
    <w:rsid w:val="000368BF"/>
    <w:rsid w:val="00036AA2"/>
    <w:rsid w:val="00036D03"/>
    <w:rsid w:val="00041195"/>
    <w:rsid w:val="00045C74"/>
    <w:rsid w:val="00050A61"/>
    <w:rsid w:val="0005228A"/>
    <w:rsid w:val="00054A4F"/>
    <w:rsid w:val="00055412"/>
    <w:rsid w:val="00060B79"/>
    <w:rsid w:val="00062474"/>
    <w:rsid w:val="00065C80"/>
    <w:rsid w:val="00067C36"/>
    <w:rsid w:val="0007009C"/>
    <w:rsid w:val="00074982"/>
    <w:rsid w:val="00074DAA"/>
    <w:rsid w:val="00085088"/>
    <w:rsid w:val="00093337"/>
    <w:rsid w:val="00094F71"/>
    <w:rsid w:val="00096298"/>
    <w:rsid w:val="000B3D09"/>
    <w:rsid w:val="000C058A"/>
    <w:rsid w:val="000C4031"/>
    <w:rsid w:val="000D0E2B"/>
    <w:rsid w:val="000D1F4D"/>
    <w:rsid w:val="000E52B4"/>
    <w:rsid w:val="000E5DF7"/>
    <w:rsid w:val="000F368A"/>
    <w:rsid w:val="000F7186"/>
    <w:rsid w:val="000F7A65"/>
    <w:rsid w:val="00104C19"/>
    <w:rsid w:val="00113C40"/>
    <w:rsid w:val="001140C4"/>
    <w:rsid w:val="00116B16"/>
    <w:rsid w:val="0012341E"/>
    <w:rsid w:val="00124CA8"/>
    <w:rsid w:val="0013161E"/>
    <w:rsid w:val="00132043"/>
    <w:rsid w:val="001365AC"/>
    <w:rsid w:val="00143DBC"/>
    <w:rsid w:val="00144666"/>
    <w:rsid w:val="00145CC4"/>
    <w:rsid w:val="0014651B"/>
    <w:rsid w:val="00150384"/>
    <w:rsid w:val="00162E27"/>
    <w:rsid w:val="00165A4C"/>
    <w:rsid w:val="00167FD2"/>
    <w:rsid w:val="00180316"/>
    <w:rsid w:val="001805B7"/>
    <w:rsid w:val="0019602C"/>
    <w:rsid w:val="001A22CE"/>
    <w:rsid w:val="001A3B22"/>
    <w:rsid w:val="001A5D7A"/>
    <w:rsid w:val="001A7CFF"/>
    <w:rsid w:val="001B0435"/>
    <w:rsid w:val="001B250C"/>
    <w:rsid w:val="001B5279"/>
    <w:rsid w:val="001C5B7F"/>
    <w:rsid w:val="001D758A"/>
    <w:rsid w:val="001E2280"/>
    <w:rsid w:val="001F2632"/>
    <w:rsid w:val="001F3AC2"/>
    <w:rsid w:val="001F529D"/>
    <w:rsid w:val="001F5B4C"/>
    <w:rsid w:val="002009D8"/>
    <w:rsid w:val="0020207D"/>
    <w:rsid w:val="00202F66"/>
    <w:rsid w:val="002040D3"/>
    <w:rsid w:val="002047D3"/>
    <w:rsid w:val="0020623A"/>
    <w:rsid w:val="0021408F"/>
    <w:rsid w:val="00214E8E"/>
    <w:rsid w:val="00214FB6"/>
    <w:rsid w:val="0021594A"/>
    <w:rsid w:val="0022015D"/>
    <w:rsid w:val="00224C84"/>
    <w:rsid w:val="002323A0"/>
    <w:rsid w:val="00240588"/>
    <w:rsid w:val="002416E9"/>
    <w:rsid w:val="00245E32"/>
    <w:rsid w:val="002603B7"/>
    <w:rsid w:val="00284009"/>
    <w:rsid w:val="00296623"/>
    <w:rsid w:val="002971F6"/>
    <w:rsid w:val="002A6866"/>
    <w:rsid w:val="002C15DA"/>
    <w:rsid w:val="002C54FD"/>
    <w:rsid w:val="002C7698"/>
    <w:rsid w:val="002C7789"/>
    <w:rsid w:val="002C7DF9"/>
    <w:rsid w:val="002D197A"/>
    <w:rsid w:val="002D3C3D"/>
    <w:rsid w:val="002E02C5"/>
    <w:rsid w:val="002E36DF"/>
    <w:rsid w:val="002E75F5"/>
    <w:rsid w:val="002F1B8E"/>
    <w:rsid w:val="002F2F1E"/>
    <w:rsid w:val="002F31A6"/>
    <w:rsid w:val="00300B28"/>
    <w:rsid w:val="00302F5E"/>
    <w:rsid w:val="003034ED"/>
    <w:rsid w:val="00304E4E"/>
    <w:rsid w:val="00310545"/>
    <w:rsid w:val="00316176"/>
    <w:rsid w:val="00324996"/>
    <w:rsid w:val="00324E60"/>
    <w:rsid w:val="00325090"/>
    <w:rsid w:val="00330369"/>
    <w:rsid w:val="00331F88"/>
    <w:rsid w:val="003435A6"/>
    <w:rsid w:val="00350C4C"/>
    <w:rsid w:val="003511A7"/>
    <w:rsid w:val="0035222F"/>
    <w:rsid w:val="003615CB"/>
    <w:rsid w:val="003629A1"/>
    <w:rsid w:val="00363447"/>
    <w:rsid w:val="00373107"/>
    <w:rsid w:val="00373DD3"/>
    <w:rsid w:val="00376CDE"/>
    <w:rsid w:val="003828A3"/>
    <w:rsid w:val="003829B2"/>
    <w:rsid w:val="00383302"/>
    <w:rsid w:val="0038357A"/>
    <w:rsid w:val="00383698"/>
    <w:rsid w:val="0038571D"/>
    <w:rsid w:val="003877DD"/>
    <w:rsid w:val="00387CF7"/>
    <w:rsid w:val="0039524B"/>
    <w:rsid w:val="003A3FEA"/>
    <w:rsid w:val="003B0F21"/>
    <w:rsid w:val="003B7A24"/>
    <w:rsid w:val="003C1AB1"/>
    <w:rsid w:val="003C554B"/>
    <w:rsid w:val="003C645A"/>
    <w:rsid w:val="003C6D18"/>
    <w:rsid w:val="003D45A4"/>
    <w:rsid w:val="003D5761"/>
    <w:rsid w:val="003E5ABF"/>
    <w:rsid w:val="003E5F20"/>
    <w:rsid w:val="003F16DF"/>
    <w:rsid w:val="003F436C"/>
    <w:rsid w:val="003F4F70"/>
    <w:rsid w:val="003F591A"/>
    <w:rsid w:val="003F7E7E"/>
    <w:rsid w:val="004032DB"/>
    <w:rsid w:val="00403A3B"/>
    <w:rsid w:val="00421EC8"/>
    <w:rsid w:val="00422531"/>
    <w:rsid w:val="00426F66"/>
    <w:rsid w:val="0043370C"/>
    <w:rsid w:val="00435A03"/>
    <w:rsid w:val="0043636F"/>
    <w:rsid w:val="004364BF"/>
    <w:rsid w:val="00445181"/>
    <w:rsid w:val="00446811"/>
    <w:rsid w:val="0044703C"/>
    <w:rsid w:val="00454514"/>
    <w:rsid w:val="00455913"/>
    <w:rsid w:val="00456C61"/>
    <w:rsid w:val="004624B4"/>
    <w:rsid w:val="004629C8"/>
    <w:rsid w:val="004671DF"/>
    <w:rsid w:val="004706A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E0C5C"/>
    <w:rsid w:val="004F1409"/>
    <w:rsid w:val="004F252D"/>
    <w:rsid w:val="00501200"/>
    <w:rsid w:val="00510FAE"/>
    <w:rsid w:val="00515451"/>
    <w:rsid w:val="00521DC8"/>
    <w:rsid w:val="00524AA0"/>
    <w:rsid w:val="0053588B"/>
    <w:rsid w:val="00540DCA"/>
    <w:rsid w:val="00541DC5"/>
    <w:rsid w:val="00553B42"/>
    <w:rsid w:val="00557C90"/>
    <w:rsid w:val="00562C31"/>
    <w:rsid w:val="005659EB"/>
    <w:rsid w:val="005748CD"/>
    <w:rsid w:val="00575BFA"/>
    <w:rsid w:val="00575D45"/>
    <w:rsid w:val="00580564"/>
    <w:rsid w:val="00593C8B"/>
    <w:rsid w:val="005A1884"/>
    <w:rsid w:val="005A52F6"/>
    <w:rsid w:val="005B4F85"/>
    <w:rsid w:val="005B54C3"/>
    <w:rsid w:val="005B6658"/>
    <w:rsid w:val="005C18BC"/>
    <w:rsid w:val="005C2526"/>
    <w:rsid w:val="005C2DB7"/>
    <w:rsid w:val="005D0E37"/>
    <w:rsid w:val="005D5138"/>
    <w:rsid w:val="005F3AA0"/>
    <w:rsid w:val="005F4359"/>
    <w:rsid w:val="005F45C8"/>
    <w:rsid w:val="00605AF6"/>
    <w:rsid w:val="0061465F"/>
    <w:rsid w:val="00616E9E"/>
    <w:rsid w:val="00620957"/>
    <w:rsid w:val="00627D7C"/>
    <w:rsid w:val="00634197"/>
    <w:rsid w:val="0063673F"/>
    <w:rsid w:val="00636D5D"/>
    <w:rsid w:val="00640655"/>
    <w:rsid w:val="006631F5"/>
    <w:rsid w:val="00665DA3"/>
    <w:rsid w:val="006660D3"/>
    <w:rsid w:val="00666535"/>
    <w:rsid w:val="00681715"/>
    <w:rsid w:val="006838E2"/>
    <w:rsid w:val="006855DF"/>
    <w:rsid w:val="0069477C"/>
    <w:rsid w:val="00695636"/>
    <w:rsid w:val="00697A9D"/>
    <w:rsid w:val="006A2AD9"/>
    <w:rsid w:val="006A4D13"/>
    <w:rsid w:val="006B1FDE"/>
    <w:rsid w:val="006B7351"/>
    <w:rsid w:val="006D4CF5"/>
    <w:rsid w:val="006D54AE"/>
    <w:rsid w:val="006D54B0"/>
    <w:rsid w:val="006D6450"/>
    <w:rsid w:val="006E4E11"/>
    <w:rsid w:val="006E6F31"/>
    <w:rsid w:val="006F1434"/>
    <w:rsid w:val="006F3CAD"/>
    <w:rsid w:val="006F7D42"/>
    <w:rsid w:val="00704BD1"/>
    <w:rsid w:val="007063F7"/>
    <w:rsid w:val="00706535"/>
    <w:rsid w:val="00707192"/>
    <w:rsid w:val="007074EC"/>
    <w:rsid w:val="00707A0C"/>
    <w:rsid w:val="0071049E"/>
    <w:rsid w:val="007129BC"/>
    <w:rsid w:val="00712CBA"/>
    <w:rsid w:val="007149EA"/>
    <w:rsid w:val="00723A76"/>
    <w:rsid w:val="007242A3"/>
    <w:rsid w:val="0072718D"/>
    <w:rsid w:val="00731F81"/>
    <w:rsid w:val="007359F0"/>
    <w:rsid w:val="00741E59"/>
    <w:rsid w:val="007511FC"/>
    <w:rsid w:val="007537B9"/>
    <w:rsid w:val="00757066"/>
    <w:rsid w:val="00773948"/>
    <w:rsid w:val="00775043"/>
    <w:rsid w:val="00782417"/>
    <w:rsid w:val="00787EE4"/>
    <w:rsid w:val="007A14CD"/>
    <w:rsid w:val="007A75C4"/>
    <w:rsid w:val="007B2AB5"/>
    <w:rsid w:val="007B41AD"/>
    <w:rsid w:val="007B7A0A"/>
    <w:rsid w:val="007C1C59"/>
    <w:rsid w:val="007D37CD"/>
    <w:rsid w:val="007E18BA"/>
    <w:rsid w:val="007E6DC8"/>
    <w:rsid w:val="007F24A4"/>
    <w:rsid w:val="007F35AD"/>
    <w:rsid w:val="007F533C"/>
    <w:rsid w:val="007F588C"/>
    <w:rsid w:val="007F62C7"/>
    <w:rsid w:val="00822FCB"/>
    <w:rsid w:val="00830ABD"/>
    <w:rsid w:val="00840933"/>
    <w:rsid w:val="00841F11"/>
    <w:rsid w:val="00842C3B"/>
    <w:rsid w:val="0084685C"/>
    <w:rsid w:val="00851038"/>
    <w:rsid w:val="008518E9"/>
    <w:rsid w:val="00851B1D"/>
    <w:rsid w:val="00856A3C"/>
    <w:rsid w:val="00862A80"/>
    <w:rsid w:val="00867A83"/>
    <w:rsid w:val="00870802"/>
    <w:rsid w:val="00870F5E"/>
    <w:rsid w:val="00872208"/>
    <w:rsid w:val="00880876"/>
    <w:rsid w:val="0088275D"/>
    <w:rsid w:val="008846F7"/>
    <w:rsid w:val="00890102"/>
    <w:rsid w:val="0089124D"/>
    <w:rsid w:val="00896BEE"/>
    <w:rsid w:val="008B4D72"/>
    <w:rsid w:val="008C0F8F"/>
    <w:rsid w:val="008C1948"/>
    <w:rsid w:val="008D0588"/>
    <w:rsid w:val="008D1B0F"/>
    <w:rsid w:val="008D1E59"/>
    <w:rsid w:val="008D3A58"/>
    <w:rsid w:val="008D46F1"/>
    <w:rsid w:val="008D7DD9"/>
    <w:rsid w:val="008E573A"/>
    <w:rsid w:val="008E66E7"/>
    <w:rsid w:val="008E6978"/>
    <w:rsid w:val="008F0880"/>
    <w:rsid w:val="00900B62"/>
    <w:rsid w:val="009035A6"/>
    <w:rsid w:val="009044A2"/>
    <w:rsid w:val="00904506"/>
    <w:rsid w:val="009120F4"/>
    <w:rsid w:val="0091620F"/>
    <w:rsid w:val="00920BAB"/>
    <w:rsid w:val="00921BD8"/>
    <w:rsid w:val="009263F7"/>
    <w:rsid w:val="00933DB8"/>
    <w:rsid w:val="00940C34"/>
    <w:rsid w:val="00943062"/>
    <w:rsid w:val="00944507"/>
    <w:rsid w:val="00950AC3"/>
    <w:rsid w:val="00951256"/>
    <w:rsid w:val="00954476"/>
    <w:rsid w:val="0096240C"/>
    <w:rsid w:val="00963470"/>
    <w:rsid w:val="00964FF1"/>
    <w:rsid w:val="009678A7"/>
    <w:rsid w:val="00973291"/>
    <w:rsid w:val="009741D0"/>
    <w:rsid w:val="00974A08"/>
    <w:rsid w:val="00977A42"/>
    <w:rsid w:val="00984A71"/>
    <w:rsid w:val="009878DB"/>
    <w:rsid w:val="009906C2"/>
    <w:rsid w:val="0099107E"/>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A0403E"/>
    <w:rsid w:val="00A047D1"/>
    <w:rsid w:val="00A20AD3"/>
    <w:rsid w:val="00A3439C"/>
    <w:rsid w:val="00A343DC"/>
    <w:rsid w:val="00A36370"/>
    <w:rsid w:val="00A37176"/>
    <w:rsid w:val="00A40794"/>
    <w:rsid w:val="00A41507"/>
    <w:rsid w:val="00A42E05"/>
    <w:rsid w:val="00A433C5"/>
    <w:rsid w:val="00A463C6"/>
    <w:rsid w:val="00A531A0"/>
    <w:rsid w:val="00A63496"/>
    <w:rsid w:val="00A657A4"/>
    <w:rsid w:val="00A678B6"/>
    <w:rsid w:val="00A734F5"/>
    <w:rsid w:val="00A824FF"/>
    <w:rsid w:val="00A826AE"/>
    <w:rsid w:val="00A87990"/>
    <w:rsid w:val="00A94474"/>
    <w:rsid w:val="00AA1023"/>
    <w:rsid w:val="00AA7510"/>
    <w:rsid w:val="00AB0E4D"/>
    <w:rsid w:val="00AB4C5C"/>
    <w:rsid w:val="00AD33C9"/>
    <w:rsid w:val="00AD74B0"/>
    <w:rsid w:val="00AE1EBF"/>
    <w:rsid w:val="00AE4C1F"/>
    <w:rsid w:val="00AE4D24"/>
    <w:rsid w:val="00AE5C5B"/>
    <w:rsid w:val="00AE72A9"/>
    <w:rsid w:val="00AF0121"/>
    <w:rsid w:val="00AF246C"/>
    <w:rsid w:val="00AF44D2"/>
    <w:rsid w:val="00B03237"/>
    <w:rsid w:val="00B0529B"/>
    <w:rsid w:val="00B21CD8"/>
    <w:rsid w:val="00B258CB"/>
    <w:rsid w:val="00B26E85"/>
    <w:rsid w:val="00B27B95"/>
    <w:rsid w:val="00B4134A"/>
    <w:rsid w:val="00B417A1"/>
    <w:rsid w:val="00B43A6F"/>
    <w:rsid w:val="00B53E1E"/>
    <w:rsid w:val="00B61ABA"/>
    <w:rsid w:val="00B64E35"/>
    <w:rsid w:val="00B727B6"/>
    <w:rsid w:val="00B73B8D"/>
    <w:rsid w:val="00B74E95"/>
    <w:rsid w:val="00B7548A"/>
    <w:rsid w:val="00B762A9"/>
    <w:rsid w:val="00B85018"/>
    <w:rsid w:val="00B9196D"/>
    <w:rsid w:val="00B96438"/>
    <w:rsid w:val="00B96883"/>
    <w:rsid w:val="00BA6A04"/>
    <w:rsid w:val="00BB42C2"/>
    <w:rsid w:val="00BB59D9"/>
    <w:rsid w:val="00BB74A0"/>
    <w:rsid w:val="00BC7088"/>
    <w:rsid w:val="00BC762F"/>
    <w:rsid w:val="00BD360A"/>
    <w:rsid w:val="00BD41D1"/>
    <w:rsid w:val="00BD60FB"/>
    <w:rsid w:val="00BD65B2"/>
    <w:rsid w:val="00BE2767"/>
    <w:rsid w:val="00BF5B65"/>
    <w:rsid w:val="00C0353B"/>
    <w:rsid w:val="00C116E5"/>
    <w:rsid w:val="00C1295E"/>
    <w:rsid w:val="00C27F25"/>
    <w:rsid w:val="00C413B4"/>
    <w:rsid w:val="00C4582E"/>
    <w:rsid w:val="00C50910"/>
    <w:rsid w:val="00C5306B"/>
    <w:rsid w:val="00C61004"/>
    <w:rsid w:val="00C62916"/>
    <w:rsid w:val="00C80B9B"/>
    <w:rsid w:val="00C83BB6"/>
    <w:rsid w:val="00C8443D"/>
    <w:rsid w:val="00C86D99"/>
    <w:rsid w:val="00C929A9"/>
    <w:rsid w:val="00C941D0"/>
    <w:rsid w:val="00C97274"/>
    <w:rsid w:val="00CA390F"/>
    <w:rsid w:val="00CA4AAC"/>
    <w:rsid w:val="00CA742F"/>
    <w:rsid w:val="00CA7DD6"/>
    <w:rsid w:val="00CB00E0"/>
    <w:rsid w:val="00CB1951"/>
    <w:rsid w:val="00CB5195"/>
    <w:rsid w:val="00CB5547"/>
    <w:rsid w:val="00CC162D"/>
    <w:rsid w:val="00CC7BF4"/>
    <w:rsid w:val="00CD1318"/>
    <w:rsid w:val="00CD5048"/>
    <w:rsid w:val="00CD648B"/>
    <w:rsid w:val="00CE0420"/>
    <w:rsid w:val="00CE175F"/>
    <w:rsid w:val="00CE2CE9"/>
    <w:rsid w:val="00CE6F12"/>
    <w:rsid w:val="00D033B9"/>
    <w:rsid w:val="00D07381"/>
    <w:rsid w:val="00D079D2"/>
    <w:rsid w:val="00D07E25"/>
    <w:rsid w:val="00D11123"/>
    <w:rsid w:val="00D13AF7"/>
    <w:rsid w:val="00D2603D"/>
    <w:rsid w:val="00D27F9E"/>
    <w:rsid w:val="00D35DFC"/>
    <w:rsid w:val="00D4327E"/>
    <w:rsid w:val="00D56B66"/>
    <w:rsid w:val="00D70A0D"/>
    <w:rsid w:val="00D71343"/>
    <w:rsid w:val="00D955C5"/>
    <w:rsid w:val="00DA190E"/>
    <w:rsid w:val="00DA46F4"/>
    <w:rsid w:val="00DA5FE2"/>
    <w:rsid w:val="00DA6C7B"/>
    <w:rsid w:val="00DA7890"/>
    <w:rsid w:val="00DA7924"/>
    <w:rsid w:val="00DB62DB"/>
    <w:rsid w:val="00DC402F"/>
    <w:rsid w:val="00DC542E"/>
    <w:rsid w:val="00DD54E2"/>
    <w:rsid w:val="00DD5DD1"/>
    <w:rsid w:val="00DD627F"/>
    <w:rsid w:val="00DE2B0B"/>
    <w:rsid w:val="00DE7E71"/>
    <w:rsid w:val="00DF01CD"/>
    <w:rsid w:val="00DF3567"/>
    <w:rsid w:val="00DF3661"/>
    <w:rsid w:val="00DF5492"/>
    <w:rsid w:val="00DF60C3"/>
    <w:rsid w:val="00E00022"/>
    <w:rsid w:val="00E02C39"/>
    <w:rsid w:val="00E07CA7"/>
    <w:rsid w:val="00E13F80"/>
    <w:rsid w:val="00E23326"/>
    <w:rsid w:val="00E233FE"/>
    <w:rsid w:val="00E24AEE"/>
    <w:rsid w:val="00E266EC"/>
    <w:rsid w:val="00E31111"/>
    <w:rsid w:val="00E356AC"/>
    <w:rsid w:val="00E4367F"/>
    <w:rsid w:val="00E46B06"/>
    <w:rsid w:val="00E47F96"/>
    <w:rsid w:val="00E52F06"/>
    <w:rsid w:val="00E55DD6"/>
    <w:rsid w:val="00E72A4C"/>
    <w:rsid w:val="00E7520F"/>
    <w:rsid w:val="00E84EA1"/>
    <w:rsid w:val="00E910EB"/>
    <w:rsid w:val="00E9129D"/>
    <w:rsid w:val="00E92CF1"/>
    <w:rsid w:val="00E94C55"/>
    <w:rsid w:val="00E96F06"/>
    <w:rsid w:val="00E97091"/>
    <w:rsid w:val="00EA102C"/>
    <w:rsid w:val="00EB1CA4"/>
    <w:rsid w:val="00EC25F9"/>
    <w:rsid w:val="00EC450A"/>
    <w:rsid w:val="00EC5436"/>
    <w:rsid w:val="00EC63C2"/>
    <w:rsid w:val="00EC7E75"/>
    <w:rsid w:val="00ED1D9A"/>
    <w:rsid w:val="00ED607F"/>
    <w:rsid w:val="00EE056F"/>
    <w:rsid w:val="00EE66A7"/>
    <w:rsid w:val="00EF1EDB"/>
    <w:rsid w:val="00EF22BF"/>
    <w:rsid w:val="00EF5C7B"/>
    <w:rsid w:val="00F000BA"/>
    <w:rsid w:val="00F01816"/>
    <w:rsid w:val="00F01D48"/>
    <w:rsid w:val="00F069DE"/>
    <w:rsid w:val="00F06FBD"/>
    <w:rsid w:val="00F13702"/>
    <w:rsid w:val="00F15D39"/>
    <w:rsid w:val="00F20C14"/>
    <w:rsid w:val="00F20F99"/>
    <w:rsid w:val="00F25F5E"/>
    <w:rsid w:val="00F347E8"/>
    <w:rsid w:val="00F50631"/>
    <w:rsid w:val="00F557B9"/>
    <w:rsid w:val="00F561CA"/>
    <w:rsid w:val="00F66430"/>
    <w:rsid w:val="00F719C9"/>
    <w:rsid w:val="00F72B38"/>
    <w:rsid w:val="00F74333"/>
    <w:rsid w:val="00F75534"/>
    <w:rsid w:val="00F756EC"/>
    <w:rsid w:val="00F76216"/>
    <w:rsid w:val="00F7753D"/>
    <w:rsid w:val="00F80738"/>
    <w:rsid w:val="00F955A1"/>
    <w:rsid w:val="00FA18F6"/>
    <w:rsid w:val="00FA76FB"/>
    <w:rsid w:val="00FB0CB3"/>
    <w:rsid w:val="00FB0DAB"/>
    <w:rsid w:val="00FB6A1C"/>
    <w:rsid w:val="00FB6B28"/>
    <w:rsid w:val="00FD0013"/>
    <w:rsid w:val="00FE5203"/>
    <w:rsid w:val="00FE627F"/>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F737E0E-BAC9-417E-9485-A91CA67A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 w:type="paragraph" w:customStyle="1" w:styleId="Brdtext1">
    <w:name w:val="Brödtext1"/>
    <w:basedOn w:val="Normal"/>
    <w:rsid w:val="0044518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6974</Characters>
  <Application>Microsoft Office Word</Application>
  <DocSecurity>4</DocSecurity>
  <Lines>249</Lines>
  <Paragraphs>85</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2010-11-29T10:39:00Z</cp:lastPrinted>
  <dcterms:created xsi:type="dcterms:W3CDTF">2025-12-18T03:52:00Z</dcterms:created>
  <dcterms:modified xsi:type="dcterms:W3CDTF">2025-12-18T03:52:00Z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