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B89" w:rsidRPr="00857B89" w:rsidRDefault="00857B89">
      <w:pPr>
        <w:pStyle w:val="Frslagsrubrik"/>
      </w:pPr>
      <w:r w:rsidRPr="00857B89">
        <w:t>Förslag till riksdagsbeslut</w:t>
      </w:r>
    </w:p>
    <w:p w:rsidR="00857B89" w:rsidRPr="00857B89" w:rsidRDefault="00857B89">
      <w:pPr>
        <w:pStyle w:val="Hemstlatt"/>
      </w:pPr>
      <w:r w:rsidRPr="00857B89">
        <w:t xml:space="preserve">Riksdagen tillkännager för regeringen som sin mening vad som anförs i motionen om mobbning som egen brottsrubricering. </w:t>
      </w:r>
    </w:p>
    <w:p w:rsidR="00857B89" w:rsidRPr="00857B89" w:rsidRDefault="00857B89">
      <w:pPr>
        <w:pStyle w:val="Rubrik1"/>
      </w:pPr>
      <w:r w:rsidRPr="00857B89">
        <w:t>Motivering</w:t>
      </w:r>
    </w:p>
    <w:p w:rsidR="00857B89" w:rsidRPr="00857B89" w:rsidRDefault="00857B89">
      <w:r w:rsidRPr="00857B89">
        <w:t>Trygghet är en förutsättning för lärande. Alla elever behöver lugn och ro, men det är särskilt viktigt för de elever som har en stökig tillvaro utanför skolan och behöver skolan allra mest.</w:t>
      </w:r>
    </w:p>
    <w:p w:rsidR="00857B89" w:rsidRPr="00857B89" w:rsidRDefault="00857B89">
      <w:pPr>
        <w:pStyle w:val="Normaltindrag"/>
      </w:pPr>
      <w:r w:rsidRPr="00857B89">
        <w:t>Allt för många elever väljer idag bort skolan och det är tyvärr mer regel än undantag att det är den som blir mobbad, och inte den som mobbar, som först väljer att byta skola eller till och med flytta till en annan kommun. 30 000 elever utsätts för mobbning varje år. Det är ett bevis på att många skolor inte klarar av att motverka mobbningen. Detta är inte något som samhället ska acceptera.</w:t>
      </w:r>
    </w:p>
    <w:p w:rsidR="00857B89" w:rsidRPr="00857B89" w:rsidRDefault="00857B89">
      <w:pPr>
        <w:pStyle w:val="Normaltindrag"/>
      </w:pPr>
      <w:r w:rsidRPr="00857B89">
        <w:t>Alliansregeringen har tagit flera initiativ för att förbättra studieron. Lärarna har fått ökade befogenheter. Om en skola får information om att en elev känt sig kränkt måste skolan göra en utredning och vidta åtgärder. Om så inte sker kan skolan bli skadeståndsskyldig. Det är också numera tillåtet att, som sista åtgärd, flytta en mobbare. Allt detta är mycket bra, men kanske krävs det ytterligare åtgärder.</w:t>
      </w:r>
    </w:p>
    <w:p w:rsidR="00857B89" w:rsidRPr="00857B89" w:rsidRDefault="00857B89">
      <w:pPr>
        <w:pStyle w:val="Normaltindrag"/>
      </w:pPr>
      <w:r w:rsidRPr="00857B89">
        <w:t>Ordet mobbning används ibland som en förmildrande omständighet. Men det som sker i mobbningssituationer skulle i andra delar av samhället ofta vara straffbara handlingar. För att förtydliga att mobbning är en allvarlig kränkning av offrets värdighet borde lagen ändras så att mobbning i sig blir en egen brottsrubrik. En motsvarighet finns i den särskilda lagbestämmelsen om kvinnofrid, som slår fast att flera brott bör bedömas som en helhet om de har utgjort led i en upprepad kränkning. En skolfridslag, elle</w:t>
      </w:r>
      <w:r w:rsidRPr="00857B89">
        <w:t>r annan lagstif</w:t>
      </w:r>
      <w:r w:rsidRPr="00857B89">
        <w:t>t</w:t>
      </w:r>
      <w:r w:rsidRPr="00857B89">
        <w:t xml:space="preserve">ning, bör därför betrakta mobbning som brott och det ska vara straffbart. </w:t>
      </w:r>
      <w:r w:rsidRPr="00857B89">
        <w:lastRenderedPageBreak/>
        <w:t>Gäller det ungdomar ska det finnas särskilda disciplinåtgärder som kan sättas in utöver dagens regelverk.</w:t>
      </w:r>
    </w:p>
    <w:p w:rsidR="00857B89" w:rsidRPr="00857B89" w:rsidRDefault="00857B89">
      <w:pPr>
        <w:pStyle w:val="Normaltindrag"/>
      </w:pPr>
      <w:r w:rsidRPr="00857B89">
        <w:t>Det bör därtill också förtydligas vilket ansvar de vuxna har i skolan. En rektor eller lärare ska inte kunna skylla på att man inte kände till mobbningen eller att man inte har instrument att agera om situationen kräver det. Person</w:t>
      </w:r>
      <w:r w:rsidRPr="00857B89">
        <w:t>a</w:t>
      </w:r>
      <w:r w:rsidRPr="00857B89">
        <w:t>len bör vara skyldig att anmäla misstankar om mobbning till rektorn och fö</w:t>
      </w:r>
      <w:r w:rsidRPr="00857B89">
        <w:t>r</w:t>
      </w:r>
      <w:r w:rsidRPr="00857B89">
        <w:t>äldrarna. Om en skola ändock underlåter att agera bör detta vara straffbart för skolan och ytterst skolans ledning.</w:t>
      </w:r>
    </w:p>
    <w:p w:rsidR="00857B89" w:rsidRPr="00857B89" w:rsidRDefault="00857B89">
      <w:pPr>
        <w:pStyle w:val="Normaltindrag"/>
        <w:rPr>
          <w:color w:val="000000"/>
          <w:szCs w:val="24"/>
        </w:rPr>
      </w:pPr>
      <w:r w:rsidRPr="00857B89">
        <w:t>Samhället har ett stort ansvar att förebygga mobbning och kränkande b</w:t>
      </w:r>
      <w:r w:rsidRPr="00857B89">
        <w:t>e</w:t>
      </w:r>
      <w:r w:rsidRPr="00857B89">
        <w:t>handling i stort, men ännu viktigare är det att slå fast att det ska råda nolltol</w:t>
      </w:r>
      <w:r w:rsidRPr="00857B89">
        <w:t>e</w:t>
      </w:r>
      <w:r w:rsidRPr="00857B89">
        <w:t xml:space="preserve">rans mot mobbning i skolan. För att fullt ut komma till rätta med problemet bör det därför tillsättas en utredning som dels utreder om mobbning kan bli straffbart, dels utreder hur skollag och annan lagstiftning kan skärpas där vuxna i skolan (personal, lärare och ytterst rektorer) avhåller sig från att ta sitt ansvar att agera när mobbning upptäcks. </w:t>
      </w:r>
      <w:r w:rsidRPr="00857B89">
        <w:rPr>
          <w:color w:val="000000"/>
          <w:szCs w:val="24"/>
        </w:rPr>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7B89">
        <w:trPr>
          <w:cantSplit/>
        </w:trPr>
        <w:tc>
          <w:tcPr>
            <w:tcW w:w="3046" w:type="dxa"/>
          </w:tcPr>
          <w:p w:rsidR="00857B89" w:rsidRPr="00857B89" w:rsidRDefault="00857B89">
            <w:pPr>
              <w:pStyle w:val="UnderskriftDatum"/>
              <w:spacing w:before="240"/>
            </w:pPr>
            <w:r w:rsidRPr="00857B89">
              <w:t>Stockholm den 15 oktober 2010</w:t>
            </w:r>
          </w:p>
        </w:tc>
        <w:tc>
          <w:tcPr>
            <w:tcW w:w="3047" w:type="dxa"/>
          </w:tcPr>
          <w:p w:rsidR="00857B89" w:rsidRPr="00857B89" w:rsidRDefault="00857B89">
            <w:pPr>
              <w:pStyle w:val="Underskrifter"/>
              <w:spacing w:before="240"/>
            </w:pPr>
          </w:p>
        </w:tc>
      </w:tr>
      <w:tr w:rsidR="00000000" w:rsidRPr="00857B89">
        <w:trPr>
          <w:cantSplit/>
        </w:trPr>
        <w:tc>
          <w:tcPr>
            <w:tcW w:w="3046" w:type="dxa"/>
          </w:tcPr>
          <w:p w:rsidR="00857B89" w:rsidRPr="00857B89" w:rsidRDefault="00857B89">
            <w:pPr>
              <w:pStyle w:val="Underskrifter"/>
            </w:pPr>
            <w:r w:rsidRPr="00857B89">
              <w:t>Roger Haddad (FP)</w:t>
            </w:r>
          </w:p>
        </w:tc>
        <w:tc>
          <w:tcPr>
            <w:tcW w:w="3046" w:type="dxa"/>
          </w:tcPr>
          <w:p w:rsidR="00857B89" w:rsidRPr="00857B89" w:rsidRDefault="00857B89">
            <w:pPr>
              <w:pStyle w:val="Underskrifter"/>
            </w:pPr>
          </w:p>
        </w:tc>
      </w:tr>
    </w:tbl>
    <w:p w:rsidR="00857B89" w:rsidRPr="00857B89" w:rsidRDefault="00857B89">
      <w:pPr>
        <w:pStyle w:val="Normaltindrag"/>
      </w:pPr>
    </w:p>
    <w:sectPr w:rsidR="00000000" w:rsidRPr="00857B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B89" w:rsidRPr="00857B89" w:rsidRDefault="00857B89">
      <w:r w:rsidRPr="00857B89">
        <w:separator/>
      </w:r>
    </w:p>
  </w:endnote>
  <w:endnote w:type="continuationSeparator" w:id="0">
    <w:p w:rsidR="00857B89" w:rsidRPr="00857B89" w:rsidRDefault="00857B89">
      <w:r w:rsidRPr="00857B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B89" w:rsidRPr="00857B89" w:rsidRDefault="00857B89">
    <w:pPr>
      <w:pStyle w:val="Sidfot"/>
    </w:pPr>
    <w:r w:rsidRPr="00857B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09192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B89" w:rsidRDefault="00857B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7B89" w:rsidRDefault="00857B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B89" w:rsidRPr="00857B89" w:rsidRDefault="00857B89">
    <w:pPr>
      <w:pStyle w:val="Sidfot"/>
    </w:pPr>
    <w:r w:rsidRPr="00857B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658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B89" w:rsidRDefault="00857B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7B89" w:rsidRDefault="00857B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B89" w:rsidRPr="00857B89" w:rsidRDefault="00857B89">
    <w:pPr>
      <w:pStyle w:val="Sidfot"/>
    </w:pPr>
    <w:r w:rsidRPr="00857B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309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B89" w:rsidRDefault="00857B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7B89" w:rsidRDefault="00857B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B89" w:rsidRPr="00857B89" w:rsidRDefault="00857B89">
      <w:r w:rsidRPr="00857B89">
        <w:separator/>
      </w:r>
    </w:p>
  </w:footnote>
  <w:footnote w:type="continuationSeparator" w:id="0">
    <w:p w:rsidR="00857B89" w:rsidRPr="00857B89" w:rsidRDefault="00857B89">
      <w:r w:rsidRPr="00857B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B89" w:rsidRPr="00857B89" w:rsidRDefault="00857B89">
    <w:pPr>
      <w:pStyle w:val="Sidhuvud"/>
    </w:pPr>
    <w:r w:rsidRPr="00857B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37633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B89" w:rsidRDefault="00857B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7B89" w:rsidRDefault="00857B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B89" w:rsidRPr="00857B89" w:rsidRDefault="00857B89">
    <w:pPr>
      <w:pStyle w:val="Sidhuvud"/>
    </w:pPr>
    <w:r w:rsidRPr="00857B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7552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B89" w:rsidRDefault="00857B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7B89" w:rsidRDefault="00857B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B89" w:rsidRPr="00857B89" w:rsidRDefault="00857B89">
    <w:pPr>
      <w:pStyle w:val="FSHNormal"/>
      <w:tabs>
        <w:tab w:val="right" w:pos="5840"/>
      </w:tabs>
    </w:pPr>
    <w:r w:rsidRPr="00857B89">
      <w:br/>
    </w:r>
    <w:r w:rsidRPr="00857B89">
      <w:fldChar w:fldCharType="begin" w:fldLock="1"/>
    </w:r>
    <w:r w:rsidRPr="00857B89">
      <w:instrText xml:space="preserve"> DOCPROPERTY</w:instrText>
    </w:r>
    <w:r w:rsidRPr="00857B89">
      <w:rPr>
        <w:sz w:val="18"/>
      </w:rPr>
      <w:instrText xml:space="preserve"> "YearUser" *\charformat </w:instrText>
    </w:r>
    <w:r w:rsidRPr="00857B89">
      <w:fldChar w:fldCharType="separate"/>
    </w:r>
    <w:r w:rsidRPr="00857B89">
      <w:t>2010/11</w:t>
    </w:r>
    <w:r w:rsidRPr="00857B89">
      <w:fldChar w:fldCharType="end"/>
    </w:r>
    <w:r w:rsidRPr="00857B89">
      <w:t xml:space="preserve"> </w:t>
    </w:r>
    <w:r w:rsidRPr="00857B89">
      <w:tab/>
      <w:t xml:space="preserve">mnr: </w:t>
    </w:r>
    <w:r w:rsidRPr="00857B89">
      <w:fldChar w:fldCharType="begin" w:fldLock="1"/>
    </w:r>
    <w:r w:rsidRPr="00857B89">
      <w:instrText xml:space="preserve"> DOCPROPERTY</w:instrText>
    </w:r>
    <w:r w:rsidRPr="00857B89">
      <w:rPr>
        <w:sz w:val="18"/>
      </w:rPr>
      <w:instrText xml:space="preserve"> "Motionsnummer" *\charformat </w:instrText>
    </w:r>
    <w:r w:rsidRPr="00857B89">
      <w:fldChar w:fldCharType="separate"/>
    </w:r>
    <w:r w:rsidRPr="00857B89">
      <w:t>Ju232</w:t>
    </w:r>
    <w:r w:rsidRPr="00857B89">
      <w:fldChar w:fldCharType="end"/>
    </w:r>
    <w:r w:rsidRPr="00857B89">
      <w:br/>
    </w:r>
    <w:r w:rsidRPr="00857B89">
      <w:fldChar w:fldCharType="begin" w:fldLock="1"/>
    </w:r>
    <w:r w:rsidRPr="00857B89">
      <w:instrText xml:space="preserve"> DOCPROPERTY</w:instrText>
    </w:r>
    <w:r w:rsidRPr="00857B89">
      <w:rPr>
        <w:sz w:val="18"/>
      </w:rPr>
      <w:instrText xml:space="preserve"> "Samling" *\charformat </w:instrText>
    </w:r>
    <w:r w:rsidRPr="00857B89">
      <w:fldChar w:fldCharType="end"/>
    </w:r>
    <w:r w:rsidRPr="00857B89">
      <w:tab/>
      <w:t xml:space="preserve">pnr: </w:t>
    </w:r>
    <w:r w:rsidRPr="00857B89">
      <w:fldChar w:fldCharType="begin" w:fldLock="1"/>
    </w:r>
    <w:r w:rsidRPr="00857B89">
      <w:instrText xml:space="preserve"> DOCPROPERTY</w:instrText>
    </w:r>
    <w:r w:rsidRPr="00857B89">
      <w:rPr>
        <w:sz w:val="18"/>
      </w:rPr>
      <w:instrText xml:space="preserve"> "Partinummer" *\charformat </w:instrText>
    </w:r>
    <w:r w:rsidRPr="00857B89">
      <w:fldChar w:fldCharType="separate"/>
    </w:r>
    <w:r w:rsidRPr="00857B89">
      <w:t>FP1049</w:t>
    </w:r>
    <w:r w:rsidRPr="00857B89">
      <w:fldChar w:fldCharType="end"/>
    </w:r>
  </w:p>
  <w:p w:rsidR="00857B89" w:rsidRPr="00857B89" w:rsidRDefault="00857B89">
    <w:pPr>
      <w:pStyle w:val="FSHRub1"/>
    </w:pPr>
    <w:r w:rsidRPr="00857B89">
      <w:t>Motion till riksdagen</w:t>
    </w:r>
    <w:r w:rsidRPr="00857B89">
      <w:br/>
    </w:r>
    <w:r w:rsidRPr="00857B89">
      <w:fldChar w:fldCharType="begin" w:fldLock="1"/>
    </w:r>
    <w:r w:rsidRPr="00857B89">
      <w:instrText xml:space="preserve"> DOCPROPERTY "YearUser" *\charformat </w:instrText>
    </w:r>
    <w:r w:rsidRPr="00857B89">
      <w:fldChar w:fldCharType="separate"/>
    </w:r>
    <w:r w:rsidRPr="00857B89">
      <w:t>2010/11</w:t>
    </w:r>
    <w:r w:rsidRPr="00857B89">
      <w:fldChar w:fldCharType="end"/>
    </w:r>
    <w:r w:rsidRPr="00857B89">
      <w:t>:</w:t>
    </w:r>
    <w:r w:rsidRPr="00857B89">
      <w:fldChar w:fldCharType="begin" w:fldLock="1"/>
    </w:r>
    <w:r w:rsidRPr="00857B89">
      <w:instrText xml:space="preserve"> DOCPROPERTY "Motionsnummer" *\charformat </w:instrText>
    </w:r>
    <w:r w:rsidRPr="00857B89">
      <w:fldChar w:fldCharType="separate"/>
    </w:r>
    <w:r w:rsidRPr="00857B89">
      <w:t>Ju232</w:t>
    </w:r>
    <w:r w:rsidRPr="00857B89">
      <w:fldChar w:fldCharType="end"/>
    </w:r>
  </w:p>
  <w:p w:rsidR="00857B89" w:rsidRPr="00857B89" w:rsidRDefault="00857B89">
    <w:pPr>
      <w:pStyle w:val="FSHNormalS5"/>
    </w:pPr>
    <w:r w:rsidRPr="00857B89">
      <w:fldChar w:fldCharType="begin" w:fldLock="1"/>
    </w:r>
    <w:r w:rsidRPr="00857B89">
      <w:instrText xml:space="preserve"> DOCPROPERTY "MotionarText" *\charformat </w:instrText>
    </w:r>
    <w:r w:rsidRPr="00857B89">
      <w:fldChar w:fldCharType="separate"/>
    </w:r>
    <w:r w:rsidRPr="00857B89">
      <w:t>av Roger Haddad (FP)</w:t>
    </w:r>
    <w:r w:rsidRPr="00857B89">
      <w:fldChar w:fldCharType="end"/>
    </w:r>
    <w:r w:rsidRPr="00857B89">
      <w:br/>
    </w:r>
    <w:r w:rsidRPr="00857B89">
      <w:fldChar w:fldCharType="begin" w:fldLock="1"/>
    </w:r>
    <w:r w:rsidRPr="00857B89">
      <w:instrText xml:space="preserve"> DOCPROPERTY "SvarFrasKort" *\charformat </w:instrText>
    </w:r>
    <w:r w:rsidRPr="00857B89">
      <w:fldChar w:fldCharType="end"/>
    </w:r>
  </w:p>
  <w:p w:rsidR="00857B89" w:rsidRPr="00857B89" w:rsidRDefault="00857B89">
    <w:pPr>
      <w:pStyle w:val="FSHTitel"/>
    </w:pPr>
    <w:r w:rsidRPr="00857B89">
      <w:fldChar w:fldCharType="begin" w:fldLock="1"/>
    </w:r>
    <w:r w:rsidRPr="00857B89">
      <w:instrText xml:space="preserve"> DOCPROPERTY</w:instrText>
    </w:r>
    <w:r w:rsidRPr="00857B89">
      <w:rPr>
        <w:sz w:val="18"/>
      </w:rPr>
      <w:instrText xml:space="preserve"> "RubrikSvar" *\charformat </w:instrText>
    </w:r>
    <w:r w:rsidRPr="00857B89">
      <w:fldChar w:fldCharType="separate"/>
    </w:r>
    <w:r w:rsidRPr="00857B89">
      <w:t>Mobbning som brottsrubricering</w:t>
    </w:r>
    <w:r w:rsidRPr="00857B89">
      <w:fldChar w:fldCharType="end"/>
    </w:r>
  </w:p>
  <w:p w:rsidR="00857B89" w:rsidRPr="00857B89" w:rsidRDefault="00857B89">
    <w:pPr>
      <w:pStyle w:val="Normal00"/>
    </w:pPr>
  </w:p>
  <w:p w:rsidR="00857B89" w:rsidRPr="00857B89" w:rsidRDefault="00857B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7236324">
    <w:abstractNumId w:val="3"/>
  </w:num>
  <w:num w:numId="2" w16cid:durableId="1613170561">
    <w:abstractNumId w:val="2"/>
  </w:num>
  <w:num w:numId="3" w16cid:durableId="2112966112">
    <w:abstractNumId w:val="1"/>
  </w:num>
  <w:num w:numId="4" w16cid:durableId="1415931376">
    <w:abstractNumId w:val="0"/>
  </w:num>
  <w:num w:numId="5" w16cid:durableId="20979122">
    <w:abstractNumId w:val="7"/>
  </w:num>
  <w:num w:numId="6" w16cid:durableId="1701324160">
    <w:abstractNumId w:val="6"/>
  </w:num>
  <w:num w:numId="7" w16cid:durableId="1314481118">
    <w:abstractNumId w:val="5"/>
  </w:num>
  <w:num w:numId="8" w16cid:durableId="2009283499">
    <w:abstractNumId w:val="4"/>
  </w:num>
  <w:num w:numId="9" w16cid:durableId="1607730237">
    <w:abstractNumId w:val="8"/>
  </w:num>
  <w:num w:numId="10" w16cid:durableId="922688610">
    <w:abstractNumId w:val="9"/>
  </w:num>
  <w:num w:numId="11" w16cid:durableId="559094425">
    <w:abstractNumId w:val="10"/>
  </w:num>
  <w:num w:numId="12" w16cid:durableId="400567362">
    <w:abstractNumId w:val="13"/>
  </w:num>
  <w:num w:numId="13" w16cid:durableId="337998357">
    <w:abstractNumId w:val="15"/>
  </w:num>
  <w:num w:numId="14" w16cid:durableId="1598562871">
    <w:abstractNumId w:val="16"/>
  </w:num>
  <w:num w:numId="15" w16cid:durableId="1339037650">
    <w:abstractNumId w:val="11"/>
  </w:num>
  <w:num w:numId="16" w16cid:durableId="2009016316">
    <w:abstractNumId w:val="18"/>
  </w:num>
  <w:num w:numId="17" w16cid:durableId="815486904">
    <w:abstractNumId w:val="17"/>
  </w:num>
  <w:num w:numId="18" w16cid:durableId="39214517">
    <w:abstractNumId w:val="14"/>
  </w:num>
  <w:num w:numId="19" w16cid:durableId="976639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A41AD28C-4D37-4481-8567-40FEC77E561D}"/>
  </w:docVars>
  <w:rsids>
    <w:rsidRoot w:val="00DB6EAC"/>
    <w:rsid w:val="00857B89"/>
    <w:rsid w:val="00DB6E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C5D391F-E200-43B7-82E8-11C6E700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2421</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fp1049</vt:lpstr>
    </vt:vector>
  </TitlesOfParts>
  <Company>Riksdagen</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fp1049</dc:title>
  <dc:subject>fp1049</dc:subject>
  <dc:creator>Riksdagen</dc:creator>
  <cp:keywords>Riksdagen</cp:keywords>
  <dc:description>Versal/gemen i partibeteckning. Gemen i tryck för 0910, versal för 1011 och nyare</dc:description>
  <cp:lastModifiedBy>Lars Brink</cp:lastModifiedBy>
  <cp:revision>2</cp:revision>
  <cp:lastPrinted>2010-12-18T07:26:00Z</cp:lastPrinted>
  <dcterms:created xsi:type="dcterms:W3CDTF">2025-12-18T00:49:00Z</dcterms:created>
  <dcterms:modified xsi:type="dcterms:W3CDTF">2025-12-18T00:49:00Z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Mobbning som brottsrubricering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Mobbning som brottsrubricering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david.lindberg@riksdagen.se</vt:lpwstr>
  </property>
  <property fmtid="{D5CDD505-2E9C-101B-9397-08002B2CF9AE}" pid="45" name="ReservUID">
    <vt:lpwstr>dd0104aa</vt:lpwstr>
  </property>
  <property fmtid="{D5CDD505-2E9C-101B-9397-08002B2CF9AE}" pid="46" name="MotionID">
    <vt:lpwstr>20102011000001020112000010490069</vt:lpwstr>
  </property>
  <property fmtid="{D5CDD505-2E9C-101B-9397-08002B2CF9AE}" pid="47" name="datum">
    <vt:lpwstr>101015</vt:lpwstr>
  </property>
  <property fmtid="{D5CDD505-2E9C-101B-9397-08002B2CF9AE}" pid="48" name="avsändar-e-post">
    <vt:lpwstr>david.lindberg@riksdagen.se</vt:lpwstr>
  </property>
  <property fmtid="{D5CDD505-2E9C-101B-9397-08002B2CF9AE}" pid="49" name="id">
    <vt:lpwstr>20102011000001020112000010490069</vt:lpwstr>
  </property>
  <property fmtid="{D5CDD505-2E9C-101B-9397-08002B2CF9AE}" pid="50" name="nummer">
    <vt:lpwstr>232</vt:lpwstr>
  </property>
  <property fmtid="{D5CDD505-2E9C-101B-9397-08002B2CF9AE}" pid="51" name="utskottsbeteckning">
    <vt:lpwstr>Ju</vt:lpwstr>
  </property>
  <property fmtid="{D5CDD505-2E9C-101B-9397-08002B2CF9AE}" pid="52" name="GlobalUID">
    <vt:lpwstr>{CBB69982-9220-484E-8A5A-B335157D8CF2}</vt:lpwstr>
  </property>
  <property fmtid="{D5CDD505-2E9C-101B-9397-08002B2CF9AE}" pid="53" name="Överföringar">
    <vt:i4>0</vt:i4>
  </property>
  <property fmtid="{D5CDD505-2E9C-101B-9397-08002B2CF9AE}" pid="54" name="Checksum">
    <vt:lpwstr>*0009813857757*</vt:lpwstr>
  </property>
  <property fmtid="{D5CDD505-2E9C-101B-9397-08002B2CF9AE}" pid="55" name="skuggnummer">
    <vt:lpwstr>601</vt:lpwstr>
  </property>
  <property fmtid="{D5CDD505-2E9C-101B-9397-08002B2CF9AE}" pid="56" name="urixVersion">
    <vt:lpwstr>4.3.2.0</vt:lpwstr>
  </property>
  <property fmtid="{D5CDD505-2E9C-101B-9397-08002B2CF9AE}" pid="57" name="urixOrigin">
    <vt:lpwstr>101218 08:26:17.066</vt:lpwstr>
  </property>
  <property fmtid="{D5CDD505-2E9C-101B-9397-08002B2CF9AE}" pid="58" name="urixGuid">
    <vt:lpwstr>{0B753915-5AEA-4E60-825D-741D50B4827E}</vt:lpwstr>
  </property>
</Properties>
</file>