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FC8" w:rsidRPr="0075579F" w:rsidRDefault="000F4FC8" w:rsidP="00AA752D">
      <w:pPr>
        <w:pStyle w:val="1NNote"/>
        <w:outlineLvl w:val="0"/>
        <w:rPr>
          <w:lang w:val="sv-SE"/>
        </w:rPr>
      </w:pPr>
      <w:r w:rsidRPr="0075579F">
        <w:rPr>
          <w:lang w:val="sv-SE"/>
        </w:rPr>
        <w:t>IP/0</w:t>
      </w:r>
      <w:r w:rsidR="00A24DB1" w:rsidRPr="0075579F">
        <w:rPr>
          <w:lang w:val="sv-SE"/>
        </w:rPr>
        <w:t>7</w:t>
      </w:r>
      <w:r w:rsidRPr="0075579F">
        <w:rPr>
          <w:lang w:val="sv-SE"/>
        </w:rPr>
        <w:t>/</w:t>
      </w:r>
      <w:r w:rsidR="00FA1DA1" w:rsidRPr="0075579F">
        <w:rPr>
          <w:lang w:val="sv-SE"/>
        </w:rPr>
        <w:t>717</w:t>
      </w:r>
    </w:p>
    <w:p w:rsidR="000F4FC8" w:rsidRPr="0075579F" w:rsidRDefault="000F4FC8" w:rsidP="00AA752D">
      <w:pPr>
        <w:pStyle w:val="2Date"/>
        <w:outlineLvl w:val="0"/>
        <w:rPr>
          <w:lang w:val="sv-SE"/>
        </w:rPr>
      </w:pPr>
      <w:smartTag w:uri="urn:schemas-microsoft-com:office:smarttags" w:element="place">
        <w:smartTag w:uri="urn:schemas-microsoft-com:office:smarttags" w:element="City">
          <w:r w:rsidRPr="0075579F">
            <w:rPr>
              <w:lang w:val="sv-SE"/>
            </w:rPr>
            <w:t>Brussels</w:t>
          </w:r>
        </w:smartTag>
      </w:smartTag>
      <w:r w:rsidRPr="0075579F">
        <w:rPr>
          <w:lang w:val="sv-SE"/>
        </w:rPr>
        <w:t xml:space="preserve">, </w:t>
      </w:r>
      <w:r w:rsidR="00A24DB1" w:rsidRPr="0075579F">
        <w:rPr>
          <w:lang w:val="sv-SE"/>
        </w:rPr>
        <w:t>30</w:t>
      </w:r>
      <w:r w:rsidRPr="0075579F">
        <w:rPr>
          <w:lang w:val="sv-SE"/>
        </w:rPr>
        <w:t xml:space="preserve"> </w:t>
      </w:r>
      <w:r w:rsidR="00A24DB1" w:rsidRPr="0075579F">
        <w:rPr>
          <w:lang w:val="sv-SE"/>
        </w:rPr>
        <w:t>Ma</w:t>
      </w:r>
      <w:r w:rsidRPr="0075579F">
        <w:rPr>
          <w:lang w:val="sv-SE"/>
        </w:rPr>
        <w:t>y 200</w:t>
      </w:r>
      <w:r w:rsidR="00A24DB1" w:rsidRPr="0075579F">
        <w:rPr>
          <w:lang w:val="sv-SE"/>
        </w:rPr>
        <w:t>7</w:t>
      </w:r>
    </w:p>
    <w:p w:rsidR="000F4FC8" w:rsidRPr="0075579F" w:rsidRDefault="000F4FC8" w:rsidP="00BF5114">
      <w:pPr>
        <w:pStyle w:val="3Titre"/>
      </w:pPr>
      <w:r w:rsidRPr="0075579F">
        <w:t>Commission</w:t>
      </w:r>
      <w:r w:rsidR="00303D83" w:rsidRPr="0075579F">
        <w:t xml:space="preserve"> recommends to the Council to find that the </w:t>
      </w:r>
      <w:smartTag w:uri="urn:schemas-microsoft-com:office:smarttags" w:element="place">
        <w:smartTag w:uri="urn:schemas-microsoft-com:office:smarttags" w:element="PlaceName">
          <w:r w:rsidR="00303D83" w:rsidRPr="0075579F">
            <w:t>Czech</w:t>
          </w:r>
        </w:smartTag>
        <w:r w:rsidR="00303D83" w:rsidRPr="0075579F">
          <w:t xml:space="preserve"> </w:t>
        </w:r>
        <w:smartTag w:uri="urn:schemas-microsoft-com:office:smarttags" w:element="PlaceType">
          <w:r w:rsidR="00303D83" w:rsidRPr="0075579F">
            <w:t>Republic</w:t>
          </w:r>
        </w:smartTag>
      </w:smartTag>
      <w:r w:rsidR="00303D83" w:rsidRPr="0075579F">
        <w:t xml:space="preserve"> has taken inadequate action to control its public deficit</w:t>
      </w:r>
      <w:r w:rsidRPr="0075579F">
        <w:t xml:space="preserve"> </w:t>
      </w:r>
    </w:p>
    <w:p w:rsidR="000640A1" w:rsidRPr="0075579F" w:rsidRDefault="001D237F" w:rsidP="00BF5114">
      <w:pPr>
        <w:pStyle w:val="4Chapeau"/>
        <w:rPr>
          <w:lang w:val="sv-SE"/>
        </w:rPr>
      </w:pPr>
      <w:r w:rsidRPr="0075579F">
        <w:rPr>
          <w:lang w:val="sv-SE"/>
        </w:rPr>
        <w:t xml:space="preserve">Having </w:t>
      </w:r>
      <w:r w:rsidR="00B11F19" w:rsidRPr="0075579F">
        <w:rPr>
          <w:lang w:val="sv-SE"/>
        </w:rPr>
        <w:t>examined the convergence programme of the Czech Republic</w:t>
      </w:r>
      <w:r w:rsidRPr="0075579F">
        <w:rPr>
          <w:lang w:val="sv-SE"/>
        </w:rPr>
        <w:t xml:space="preserve">, the Commission today </w:t>
      </w:r>
      <w:r w:rsidR="00303D83" w:rsidRPr="0075579F">
        <w:rPr>
          <w:lang w:val="sv-SE"/>
        </w:rPr>
        <w:t xml:space="preserve">recommends to the Council to </w:t>
      </w:r>
      <w:r w:rsidRPr="0075579F">
        <w:rPr>
          <w:lang w:val="sv-SE"/>
        </w:rPr>
        <w:t xml:space="preserve">conclude that the </w:t>
      </w:r>
      <w:r w:rsidR="00B11F19" w:rsidRPr="0075579F">
        <w:rPr>
          <w:lang w:val="sv-SE"/>
        </w:rPr>
        <w:t xml:space="preserve">country </w:t>
      </w:r>
      <w:r w:rsidR="00303D83" w:rsidRPr="0075579F">
        <w:rPr>
          <w:lang w:val="sv-SE"/>
        </w:rPr>
        <w:t xml:space="preserve">has taken inadequate action to control its public finances and is, therefore, </w:t>
      </w:r>
      <w:r w:rsidR="00B11F19" w:rsidRPr="0075579F">
        <w:rPr>
          <w:lang w:val="sv-SE"/>
        </w:rPr>
        <w:t xml:space="preserve"> not on track to correct its excessive deficit by 2008</w:t>
      </w:r>
      <w:r w:rsidR="00C7705E" w:rsidRPr="0075579F">
        <w:rPr>
          <w:lang w:val="sv-SE"/>
        </w:rPr>
        <w:t xml:space="preserve">, </w:t>
      </w:r>
      <w:r w:rsidRPr="0075579F">
        <w:rPr>
          <w:lang w:val="sv-SE"/>
        </w:rPr>
        <w:t>as was agreed with the</w:t>
      </w:r>
      <w:r w:rsidR="00C7705E" w:rsidRPr="0075579F">
        <w:rPr>
          <w:lang w:val="sv-SE"/>
        </w:rPr>
        <w:t xml:space="preserve"> Council</w:t>
      </w:r>
      <w:r w:rsidRPr="0075579F">
        <w:rPr>
          <w:lang w:val="sv-SE"/>
        </w:rPr>
        <w:t xml:space="preserve"> in 2004</w:t>
      </w:r>
      <w:r w:rsidR="00B11F19" w:rsidRPr="0075579F">
        <w:rPr>
          <w:lang w:val="sv-SE"/>
        </w:rPr>
        <w:t xml:space="preserve">. </w:t>
      </w:r>
      <w:r w:rsidR="00D63CED" w:rsidRPr="0075579F">
        <w:rPr>
          <w:lang w:val="sv-SE"/>
        </w:rPr>
        <w:t>Th</w:t>
      </w:r>
      <w:r w:rsidR="00303D83" w:rsidRPr="0075579F">
        <w:rPr>
          <w:lang w:val="sv-SE"/>
        </w:rPr>
        <w:t>is</w:t>
      </w:r>
      <w:r w:rsidR="00D63CED" w:rsidRPr="0075579F">
        <w:rPr>
          <w:lang w:val="sv-SE"/>
        </w:rPr>
        <w:t xml:space="preserve"> </w:t>
      </w:r>
      <w:r w:rsidR="000640A1" w:rsidRPr="0075579F">
        <w:rPr>
          <w:lang w:val="sv-SE"/>
        </w:rPr>
        <w:t xml:space="preserve">recommendation, </w:t>
      </w:r>
      <w:r w:rsidR="00B11F19" w:rsidRPr="0075579F">
        <w:rPr>
          <w:lang w:val="sv-SE"/>
        </w:rPr>
        <w:t>issued</w:t>
      </w:r>
      <w:r w:rsidR="000640A1" w:rsidRPr="0075579F">
        <w:rPr>
          <w:lang w:val="sv-SE"/>
        </w:rPr>
        <w:t xml:space="preserve"> under Article 104.</w:t>
      </w:r>
      <w:r w:rsidR="00562D00" w:rsidRPr="0075579F">
        <w:rPr>
          <w:lang w:val="sv-SE"/>
        </w:rPr>
        <w:t xml:space="preserve">8 </w:t>
      </w:r>
      <w:r w:rsidR="000640A1" w:rsidRPr="0075579F">
        <w:rPr>
          <w:lang w:val="sv-SE"/>
        </w:rPr>
        <w:t xml:space="preserve">of the </w:t>
      </w:r>
      <w:r w:rsidR="009D167B" w:rsidRPr="0075579F">
        <w:rPr>
          <w:lang w:val="sv-SE"/>
        </w:rPr>
        <w:t xml:space="preserve">EC </w:t>
      </w:r>
      <w:r w:rsidR="000640A1" w:rsidRPr="0075579F">
        <w:rPr>
          <w:lang w:val="sv-SE"/>
        </w:rPr>
        <w:t xml:space="preserve">Treaty, </w:t>
      </w:r>
      <w:r w:rsidR="00F43B0D" w:rsidRPr="0075579F">
        <w:rPr>
          <w:lang w:val="sv-SE"/>
        </w:rPr>
        <w:t>is</w:t>
      </w:r>
      <w:r w:rsidR="00E95F81" w:rsidRPr="0075579F">
        <w:rPr>
          <w:lang w:val="sv-SE"/>
        </w:rPr>
        <w:t xml:space="preserve"> expected to be adopted by the Council on 10 July together with an opinion on the </w:t>
      </w:r>
      <w:smartTag w:uri="urn:schemas-microsoft-com:office:smarttags" w:element="place">
        <w:smartTag w:uri="urn:schemas-microsoft-com:office:smarttags" w:element="PlaceName">
          <w:r w:rsidR="00E95F81" w:rsidRPr="0075579F">
            <w:rPr>
              <w:lang w:val="sv-SE"/>
            </w:rPr>
            <w:t>Czech</w:t>
          </w:r>
        </w:smartTag>
        <w:r w:rsidR="00E95F81" w:rsidRPr="0075579F">
          <w:rPr>
            <w:lang w:val="sv-SE"/>
          </w:rPr>
          <w:t xml:space="preserve"> </w:t>
        </w:r>
        <w:smartTag w:uri="urn:schemas-microsoft-com:office:smarttags" w:element="PlaceType">
          <w:r w:rsidR="00E95F81" w:rsidRPr="0075579F">
            <w:rPr>
              <w:lang w:val="sv-SE"/>
            </w:rPr>
            <w:t>Republic</w:t>
          </w:r>
        </w:smartTag>
      </w:smartTag>
      <w:r w:rsidR="00E95F81" w:rsidRPr="0075579F">
        <w:rPr>
          <w:lang w:val="sv-SE"/>
        </w:rPr>
        <w:t>'s</w:t>
      </w:r>
      <w:r w:rsidR="000640A1" w:rsidRPr="0075579F">
        <w:rPr>
          <w:lang w:val="sv-SE"/>
        </w:rPr>
        <w:t xml:space="preserve"> </w:t>
      </w:r>
      <w:r w:rsidR="00FE5A62" w:rsidRPr="0075579F">
        <w:rPr>
          <w:lang w:val="sv-SE"/>
        </w:rPr>
        <w:t xml:space="preserve">updated </w:t>
      </w:r>
      <w:r w:rsidR="000640A1" w:rsidRPr="0075579F">
        <w:rPr>
          <w:lang w:val="sv-SE"/>
        </w:rPr>
        <w:t>convergence programme.</w:t>
      </w:r>
    </w:p>
    <w:p w:rsidR="000F4FC8" w:rsidRPr="0075579F" w:rsidRDefault="00353CF7" w:rsidP="000F4FC8">
      <w:pPr>
        <w:pStyle w:val="5Normal"/>
        <w:spacing w:before="120"/>
        <w:rPr>
          <w:i/>
          <w:lang w:val="sv-SE"/>
        </w:rPr>
      </w:pPr>
      <w:r w:rsidRPr="0075579F">
        <w:rPr>
          <w:i/>
          <w:lang w:val="sv-SE"/>
        </w:rPr>
        <w:t>"</w:t>
      </w:r>
      <w:r w:rsidR="00B91944" w:rsidRPr="0075579F">
        <w:rPr>
          <w:i/>
          <w:lang w:val="sv-SE"/>
        </w:rPr>
        <w:t>T</w:t>
      </w:r>
      <w:r w:rsidR="002004B6" w:rsidRPr="0075579F">
        <w:rPr>
          <w:i/>
          <w:lang w:val="sv-SE"/>
        </w:rPr>
        <w:t xml:space="preserve">he updated convergence programme of the </w:t>
      </w:r>
      <w:smartTag w:uri="urn:schemas-microsoft-com:office:smarttags" w:element="place">
        <w:smartTag w:uri="urn:schemas-microsoft-com:office:smarttags" w:element="country-region">
          <w:r w:rsidR="002004B6" w:rsidRPr="0075579F">
            <w:rPr>
              <w:i/>
              <w:lang w:val="sv-SE"/>
            </w:rPr>
            <w:t>Czech Republic</w:t>
          </w:r>
        </w:smartTag>
      </w:smartTag>
      <w:r w:rsidR="002004B6" w:rsidRPr="0075579F">
        <w:rPr>
          <w:i/>
          <w:lang w:val="sv-SE"/>
        </w:rPr>
        <w:t xml:space="preserve"> postpones the planned correction of the excessive deficit </w:t>
      </w:r>
      <w:r w:rsidR="001D237F" w:rsidRPr="0075579F">
        <w:rPr>
          <w:i/>
          <w:lang w:val="sv-SE"/>
        </w:rPr>
        <w:t xml:space="preserve">despite the fact that in 2006 the deficit was already below 3% and despite </w:t>
      </w:r>
      <w:r w:rsidR="009F6B1B" w:rsidRPr="0075579F">
        <w:rPr>
          <w:i/>
          <w:lang w:val="sv-SE"/>
        </w:rPr>
        <w:t>stronger</w:t>
      </w:r>
      <w:r w:rsidR="001D237F" w:rsidRPr="0075579F">
        <w:rPr>
          <w:i/>
          <w:lang w:val="sv-SE"/>
        </w:rPr>
        <w:t xml:space="preserve"> economic growth tha</w:t>
      </w:r>
      <w:r w:rsidR="009F6B1B" w:rsidRPr="0075579F">
        <w:rPr>
          <w:i/>
          <w:lang w:val="sv-SE"/>
        </w:rPr>
        <w:t>n previously expected</w:t>
      </w:r>
      <w:r w:rsidR="001D237F" w:rsidRPr="0075579F">
        <w:rPr>
          <w:i/>
          <w:lang w:val="sv-SE"/>
        </w:rPr>
        <w:t xml:space="preserve">. </w:t>
      </w:r>
      <w:r w:rsidR="00B91944" w:rsidRPr="0075579F">
        <w:rPr>
          <w:i/>
          <w:lang w:val="sv-SE"/>
        </w:rPr>
        <w:t>Whereas there is a need to react, t</w:t>
      </w:r>
      <w:r w:rsidR="002004B6" w:rsidRPr="0075579F">
        <w:rPr>
          <w:i/>
          <w:lang w:val="sv-SE"/>
        </w:rPr>
        <w:t>he 2007 budget includes substantial increases in expenditure</w:t>
      </w:r>
      <w:r w:rsidR="00B91944" w:rsidRPr="0075579F">
        <w:rPr>
          <w:i/>
          <w:lang w:val="sv-SE"/>
        </w:rPr>
        <w:t>.  I hope this will be corrected as soon as possible as there is still an opportunity to do so.</w:t>
      </w:r>
      <w:r w:rsidR="000F4FC8" w:rsidRPr="0075579F">
        <w:rPr>
          <w:i/>
          <w:lang w:val="sv-SE"/>
        </w:rPr>
        <w:t xml:space="preserve">” </w:t>
      </w:r>
      <w:r w:rsidR="0093183E" w:rsidRPr="0075579F">
        <w:rPr>
          <w:lang w:val="sv-SE"/>
        </w:rPr>
        <w:t xml:space="preserve">said </w:t>
      </w:r>
      <w:r w:rsidR="00801862" w:rsidRPr="0075579F">
        <w:rPr>
          <w:lang w:val="sv-SE"/>
        </w:rPr>
        <w:t>Joaquín Almunia, European Commissioner for Economic and Monetary Affairs</w:t>
      </w:r>
      <w:r w:rsidR="0093183E" w:rsidRPr="0075579F">
        <w:rPr>
          <w:lang w:val="sv-SE"/>
        </w:rPr>
        <w:t xml:space="preserve">. </w:t>
      </w:r>
    </w:p>
    <w:p w:rsidR="00CC2FC5" w:rsidRPr="0075579F" w:rsidRDefault="000F4FC8" w:rsidP="00CC2FC5">
      <w:pPr>
        <w:pStyle w:val="5Normal"/>
        <w:tabs>
          <w:tab w:val="clear" w:pos="284"/>
        </w:tabs>
        <w:rPr>
          <w:lang w:val="sv-SE"/>
        </w:rPr>
      </w:pPr>
      <w:r w:rsidRPr="0075579F">
        <w:rPr>
          <w:lang w:val="sv-SE"/>
        </w:rPr>
        <w:t xml:space="preserve">The Commission </w:t>
      </w:r>
      <w:r w:rsidR="00801862" w:rsidRPr="0075579F">
        <w:rPr>
          <w:lang w:val="sv-SE"/>
        </w:rPr>
        <w:t xml:space="preserve">today </w:t>
      </w:r>
      <w:r w:rsidRPr="0075579F">
        <w:rPr>
          <w:lang w:val="sv-SE"/>
        </w:rPr>
        <w:t xml:space="preserve">recommended to the </w:t>
      </w:r>
      <w:r w:rsidR="001D237F" w:rsidRPr="0075579F">
        <w:rPr>
          <w:lang w:val="sv-SE"/>
        </w:rPr>
        <w:t xml:space="preserve">Ecofin </w:t>
      </w:r>
      <w:r w:rsidRPr="0075579F">
        <w:rPr>
          <w:lang w:val="sv-SE"/>
        </w:rPr>
        <w:t xml:space="preserve">Council to </w:t>
      </w:r>
      <w:r w:rsidR="001D237F" w:rsidRPr="0075579F">
        <w:rPr>
          <w:lang w:val="sv-SE"/>
        </w:rPr>
        <w:t xml:space="preserve">conclude, </w:t>
      </w:r>
      <w:r w:rsidR="00E95F81" w:rsidRPr="0075579F">
        <w:rPr>
          <w:lang w:val="sv-SE"/>
        </w:rPr>
        <w:t xml:space="preserve">based on Article 104(8) </w:t>
      </w:r>
      <w:r w:rsidR="001D237F" w:rsidRPr="0075579F">
        <w:rPr>
          <w:lang w:val="sv-SE"/>
        </w:rPr>
        <w:t xml:space="preserve">of the EU Treaty, </w:t>
      </w:r>
      <w:r w:rsidR="00E95F81" w:rsidRPr="0075579F">
        <w:rPr>
          <w:lang w:val="sv-SE"/>
        </w:rPr>
        <w:t xml:space="preserve">that the action taken by the </w:t>
      </w:r>
      <w:smartTag w:uri="urn:schemas-microsoft-com:office:smarttags" w:element="country-region">
        <w:smartTag w:uri="urn:schemas-microsoft-com:office:smarttags" w:element="place">
          <w:r w:rsidR="00E95F81" w:rsidRPr="0075579F">
            <w:rPr>
              <w:lang w:val="sv-SE"/>
            </w:rPr>
            <w:t>Czech Republic</w:t>
          </w:r>
        </w:smartTag>
      </w:smartTag>
      <w:r w:rsidR="00E95F81" w:rsidRPr="0075579F">
        <w:rPr>
          <w:lang w:val="sv-SE"/>
        </w:rPr>
        <w:t xml:space="preserve"> in response to the Council recommendation of 5 July 2004 is proving inadequate to correct the excessive deficit by 2008. </w:t>
      </w:r>
    </w:p>
    <w:p w:rsidR="00026199" w:rsidRPr="0075579F" w:rsidRDefault="00026199" w:rsidP="00026199">
      <w:pPr>
        <w:pStyle w:val="5Normal"/>
        <w:tabs>
          <w:tab w:val="clear" w:pos="284"/>
        </w:tabs>
        <w:rPr>
          <w:lang w:val="sv-SE"/>
        </w:rPr>
      </w:pPr>
      <w:r w:rsidRPr="0075579F">
        <w:rPr>
          <w:lang w:val="sv-SE"/>
        </w:rPr>
        <w:t xml:space="preserve">The Council is expected to adopt </w:t>
      </w:r>
      <w:r w:rsidR="001A2099" w:rsidRPr="0075579F">
        <w:rPr>
          <w:lang w:val="sv-SE"/>
        </w:rPr>
        <w:t>the</w:t>
      </w:r>
      <w:r w:rsidRPr="0075579F">
        <w:rPr>
          <w:lang w:val="sv-SE"/>
        </w:rPr>
        <w:t xml:space="preserve"> </w:t>
      </w:r>
      <w:r w:rsidR="00C7705E" w:rsidRPr="0075579F">
        <w:rPr>
          <w:lang w:val="sv-SE"/>
        </w:rPr>
        <w:t xml:space="preserve">decision </w:t>
      </w:r>
      <w:r w:rsidRPr="0075579F">
        <w:rPr>
          <w:lang w:val="sv-SE"/>
        </w:rPr>
        <w:t xml:space="preserve">on </w:t>
      </w:r>
      <w:r w:rsidR="00EF200D" w:rsidRPr="0075579F">
        <w:rPr>
          <w:lang w:val="sv-SE"/>
        </w:rPr>
        <w:t>10 July.</w:t>
      </w:r>
    </w:p>
    <w:p w:rsidR="001D237F" w:rsidRPr="0075579F" w:rsidRDefault="0099367F" w:rsidP="00BF5114">
      <w:pPr>
        <w:pStyle w:val="5Normal"/>
        <w:rPr>
          <w:lang w:val="sv-SE"/>
        </w:rPr>
      </w:pPr>
      <w:r w:rsidRPr="0075579F">
        <w:rPr>
          <w:lang w:val="sv-SE"/>
        </w:rPr>
        <w:t>Following the constitution of its new government in January 2007, the</w:t>
      </w:r>
      <w:r w:rsidR="00A24DB1" w:rsidRPr="0075579F">
        <w:rPr>
          <w:lang w:val="sv-SE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A24DB1" w:rsidRPr="0075579F">
            <w:rPr>
              <w:lang w:val="sv-SE"/>
            </w:rPr>
            <w:t>Czech</w:t>
          </w:r>
        </w:smartTag>
        <w:r w:rsidR="00A24DB1" w:rsidRPr="0075579F">
          <w:rPr>
            <w:lang w:val="sv-SE"/>
          </w:rPr>
          <w:t xml:space="preserve"> </w:t>
        </w:r>
        <w:smartTag w:uri="urn:schemas-microsoft-com:office:smarttags" w:element="PlaceType">
          <w:r w:rsidR="00A24DB1" w:rsidRPr="0075579F">
            <w:rPr>
              <w:lang w:val="sv-SE"/>
            </w:rPr>
            <w:t>Republic</w:t>
          </w:r>
        </w:smartTag>
      </w:smartTag>
      <w:r w:rsidR="00A24DB1" w:rsidRPr="0075579F">
        <w:rPr>
          <w:lang w:val="sv-SE"/>
        </w:rPr>
        <w:t xml:space="preserve"> submitted a new update of its convergence programme on 15 March 2007, covering the period 2006-2009. Based on growth assumptions</w:t>
      </w:r>
      <w:r w:rsidR="001D237F" w:rsidRPr="0075579F">
        <w:rPr>
          <w:lang w:val="sv-SE"/>
        </w:rPr>
        <w:t xml:space="preserve"> that appear plausible</w:t>
      </w:r>
      <w:r w:rsidR="00A24DB1" w:rsidRPr="0075579F">
        <w:rPr>
          <w:lang w:val="sv-SE"/>
        </w:rPr>
        <w:t>, the programme aims at reducing the general</w:t>
      </w:r>
      <w:r w:rsidR="00E11814" w:rsidRPr="0075579F">
        <w:rPr>
          <w:lang w:val="sv-SE"/>
        </w:rPr>
        <w:t xml:space="preserve"> </w:t>
      </w:r>
      <w:r w:rsidR="00C7705E" w:rsidRPr="0075579F">
        <w:rPr>
          <w:lang w:val="sv-SE"/>
        </w:rPr>
        <w:t xml:space="preserve">government </w:t>
      </w:r>
      <w:r w:rsidR="00E11814" w:rsidRPr="0075579F">
        <w:rPr>
          <w:lang w:val="sv-SE"/>
        </w:rPr>
        <w:t xml:space="preserve">deficit to 3.2% of GDP by 2009, </w:t>
      </w:r>
      <w:r w:rsidR="00A24DB1" w:rsidRPr="0075579F">
        <w:rPr>
          <w:lang w:val="sv-SE"/>
        </w:rPr>
        <w:t xml:space="preserve">thus not correcting the excessive deficit within the programme period. Compared with the previous programme, </w:t>
      </w:r>
      <w:r w:rsidR="00404245" w:rsidRPr="0075579F">
        <w:rPr>
          <w:lang w:val="sv-SE"/>
        </w:rPr>
        <w:t>this would</w:t>
      </w:r>
      <w:r w:rsidR="00A24DB1" w:rsidRPr="0075579F">
        <w:rPr>
          <w:lang w:val="sv-SE"/>
        </w:rPr>
        <w:t xml:space="preserve"> postpone the planned correction by </w:t>
      </w:r>
      <w:r w:rsidR="009F6B1B" w:rsidRPr="0075579F">
        <w:rPr>
          <w:lang w:val="sv-SE"/>
        </w:rPr>
        <w:t xml:space="preserve">two </w:t>
      </w:r>
      <w:r w:rsidR="00A24DB1" w:rsidRPr="0075579F">
        <w:rPr>
          <w:lang w:val="sv-SE"/>
        </w:rPr>
        <w:t>year</w:t>
      </w:r>
      <w:r w:rsidR="00DB08FD" w:rsidRPr="0075579F">
        <w:rPr>
          <w:lang w:val="sv-SE"/>
        </w:rPr>
        <w:t>s</w:t>
      </w:r>
      <w:r w:rsidR="00A24DB1" w:rsidRPr="0075579F">
        <w:rPr>
          <w:lang w:val="sv-SE"/>
        </w:rPr>
        <w:t xml:space="preserve"> </w:t>
      </w:r>
      <w:r w:rsidR="001D237F" w:rsidRPr="0075579F">
        <w:rPr>
          <w:lang w:val="sv-SE"/>
        </w:rPr>
        <w:t xml:space="preserve">despite </w:t>
      </w:r>
      <w:r w:rsidR="00A24DB1" w:rsidRPr="0075579F">
        <w:rPr>
          <w:lang w:val="sv-SE"/>
        </w:rPr>
        <w:t xml:space="preserve">a more favourable macroeconomic scenario. </w:t>
      </w:r>
      <w:r w:rsidR="0092213E" w:rsidRPr="0075579F">
        <w:rPr>
          <w:lang w:val="sv-SE"/>
        </w:rPr>
        <w:t xml:space="preserve">The programme presents an alternative </w:t>
      </w:r>
      <w:r w:rsidR="00DB08FD" w:rsidRPr="0075579F">
        <w:rPr>
          <w:lang w:val="sv-SE"/>
        </w:rPr>
        <w:t xml:space="preserve">scenario </w:t>
      </w:r>
      <w:r w:rsidR="0092213E" w:rsidRPr="0075579F">
        <w:rPr>
          <w:lang w:val="sv-SE"/>
        </w:rPr>
        <w:t>considered by the government</w:t>
      </w:r>
      <w:r w:rsidR="00DB08FD" w:rsidRPr="0075579F">
        <w:rPr>
          <w:lang w:val="sv-SE"/>
        </w:rPr>
        <w:t xml:space="preserve"> with </w:t>
      </w:r>
      <w:r w:rsidR="0092213E" w:rsidRPr="0075579F">
        <w:rPr>
          <w:lang w:val="sv-SE"/>
        </w:rPr>
        <w:t xml:space="preserve">lower deficit targets of 3.2% of GDP in 2008 and 2.8% of GDP in 2009. </w:t>
      </w:r>
      <w:r w:rsidR="001D237F" w:rsidRPr="0075579F">
        <w:rPr>
          <w:lang w:val="sv-SE"/>
        </w:rPr>
        <w:t>But t</w:t>
      </w:r>
      <w:r w:rsidR="0092213E" w:rsidRPr="0075579F">
        <w:rPr>
          <w:lang w:val="sv-SE"/>
        </w:rPr>
        <w:t>his relies on yet unknown policy measures</w:t>
      </w:r>
      <w:r w:rsidR="009F6B1B" w:rsidRPr="0075579F">
        <w:rPr>
          <w:lang w:val="sv-SE"/>
        </w:rPr>
        <w:t xml:space="preserve"> and the original </w:t>
      </w:r>
      <w:r w:rsidR="00DB08FD" w:rsidRPr="0075579F">
        <w:rPr>
          <w:lang w:val="sv-SE"/>
        </w:rPr>
        <w:t xml:space="preserve">2008 </w:t>
      </w:r>
      <w:r w:rsidR="009F6B1B" w:rsidRPr="0075579F">
        <w:rPr>
          <w:lang w:val="sv-SE"/>
        </w:rPr>
        <w:t xml:space="preserve">deadline </w:t>
      </w:r>
      <w:r w:rsidR="00DB08FD" w:rsidRPr="0075579F">
        <w:rPr>
          <w:lang w:val="sv-SE"/>
        </w:rPr>
        <w:t xml:space="preserve">for correcting the deficit would still </w:t>
      </w:r>
      <w:r w:rsidR="009F6B1B" w:rsidRPr="0075579F">
        <w:rPr>
          <w:lang w:val="sv-SE"/>
        </w:rPr>
        <w:t xml:space="preserve">not </w:t>
      </w:r>
      <w:r w:rsidR="00DB08FD" w:rsidRPr="0075579F">
        <w:rPr>
          <w:lang w:val="sv-SE"/>
        </w:rPr>
        <w:t xml:space="preserve">be </w:t>
      </w:r>
      <w:r w:rsidR="009F6B1B" w:rsidRPr="0075579F">
        <w:rPr>
          <w:lang w:val="sv-SE"/>
        </w:rPr>
        <w:t>met</w:t>
      </w:r>
      <w:r w:rsidR="001D237F" w:rsidRPr="0075579F">
        <w:rPr>
          <w:lang w:val="sv-SE"/>
        </w:rPr>
        <w:t xml:space="preserve">. </w:t>
      </w:r>
      <w:r w:rsidR="0092213E" w:rsidRPr="0075579F">
        <w:rPr>
          <w:lang w:val="sv-SE"/>
        </w:rPr>
        <w:t xml:space="preserve"> </w:t>
      </w:r>
    </w:p>
    <w:p w:rsidR="00DB08FD" w:rsidRPr="0075579F" w:rsidRDefault="001D237F" w:rsidP="00BF5114">
      <w:pPr>
        <w:pStyle w:val="5Normal"/>
        <w:rPr>
          <w:lang w:val="sv-SE"/>
        </w:rPr>
      </w:pPr>
      <w:r w:rsidRPr="0075579F">
        <w:rPr>
          <w:lang w:val="sv-SE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75579F">
            <w:rPr>
              <w:lang w:val="sv-SE"/>
            </w:rPr>
            <w:t>Czech</w:t>
          </w:r>
        </w:smartTag>
        <w:r w:rsidRPr="0075579F">
          <w:rPr>
            <w:lang w:val="sv-SE"/>
          </w:rPr>
          <w:t xml:space="preserve"> </w:t>
        </w:r>
        <w:smartTag w:uri="urn:schemas-microsoft-com:office:smarttags" w:element="PlaceType">
          <w:r w:rsidRPr="0075579F">
            <w:rPr>
              <w:lang w:val="sv-SE"/>
            </w:rPr>
            <w:t>Republic</w:t>
          </w:r>
        </w:smartTag>
      </w:smartTag>
      <w:r w:rsidRPr="0075579F">
        <w:rPr>
          <w:lang w:val="sv-SE"/>
        </w:rPr>
        <w:t xml:space="preserve"> has set itself the objective of a deficit of 1% of GDP in the medium term (so</w:t>
      </w:r>
      <w:r w:rsidR="009F6B1B" w:rsidRPr="0075579F">
        <w:rPr>
          <w:lang w:val="sv-SE"/>
        </w:rPr>
        <w:t xml:space="preserve"> </w:t>
      </w:r>
      <w:r w:rsidRPr="0075579F">
        <w:rPr>
          <w:lang w:val="sv-SE"/>
        </w:rPr>
        <w:t xml:space="preserve">called </w:t>
      </w:r>
      <w:r w:rsidR="00A24DB1" w:rsidRPr="0075579F">
        <w:rPr>
          <w:lang w:val="sv-SE"/>
        </w:rPr>
        <w:t xml:space="preserve">medium-term objective </w:t>
      </w:r>
      <w:r w:rsidRPr="0075579F">
        <w:rPr>
          <w:lang w:val="sv-SE"/>
        </w:rPr>
        <w:t xml:space="preserve">or </w:t>
      </w:r>
      <w:r w:rsidR="00A24DB1" w:rsidRPr="0075579F">
        <w:rPr>
          <w:lang w:val="sv-SE"/>
        </w:rPr>
        <w:t xml:space="preserve">MTO) in </w:t>
      </w:r>
      <w:r w:rsidR="00E11814" w:rsidRPr="0075579F">
        <w:rPr>
          <w:lang w:val="sv-SE"/>
        </w:rPr>
        <w:t>structural terms</w:t>
      </w:r>
      <w:r w:rsidR="009379C1" w:rsidRPr="0075579F">
        <w:rPr>
          <w:lang w:val="sv-SE"/>
        </w:rPr>
        <w:t>,</w:t>
      </w:r>
      <w:r w:rsidRPr="0075579F">
        <w:rPr>
          <w:lang w:val="sv-SE"/>
        </w:rPr>
        <w:t xml:space="preserve"> i.e. </w:t>
      </w:r>
      <w:r w:rsidR="00E11814" w:rsidRPr="0075579F">
        <w:rPr>
          <w:lang w:val="sv-SE"/>
        </w:rPr>
        <w:t xml:space="preserve"> </w:t>
      </w:r>
      <w:r w:rsidR="00A24DB1" w:rsidRPr="0075579F">
        <w:rPr>
          <w:lang w:val="sv-SE"/>
        </w:rPr>
        <w:t>cyclically-adjusted and net of one-off and temporary measures</w:t>
      </w:r>
      <w:r w:rsidRPr="0075579F">
        <w:rPr>
          <w:lang w:val="sv-SE"/>
        </w:rPr>
        <w:t>. The programme foresees that this target will</w:t>
      </w:r>
      <w:r w:rsidR="00A24DB1" w:rsidRPr="0075579F">
        <w:rPr>
          <w:lang w:val="sv-SE"/>
        </w:rPr>
        <w:t xml:space="preserve"> be reached only </w:t>
      </w:r>
      <w:r w:rsidRPr="0075579F">
        <w:rPr>
          <w:lang w:val="sv-SE"/>
        </w:rPr>
        <w:t xml:space="preserve">in 2013, i.e. </w:t>
      </w:r>
      <w:r w:rsidR="00DB08FD" w:rsidRPr="0075579F">
        <w:rPr>
          <w:lang w:val="sv-SE"/>
        </w:rPr>
        <w:t xml:space="preserve">well </w:t>
      </w:r>
      <w:r w:rsidR="00A24DB1" w:rsidRPr="0075579F">
        <w:rPr>
          <w:lang w:val="sv-SE"/>
        </w:rPr>
        <w:t>beyond the programme horizon</w:t>
      </w:r>
      <w:r w:rsidRPr="0075579F">
        <w:rPr>
          <w:lang w:val="sv-SE"/>
        </w:rPr>
        <w:t xml:space="preserve"> and</w:t>
      </w:r>
      <w:r w:rsidR="00C7705E" w:rsidRPr="0075579F">
        <w:rPr>
          <w:lang w:val="sv-SE"/>
        </w:rPr>
        <w:t xml:space="preserve"> one year later than previously </w:t>
      </w:r>
      <w:r w:rsidRPr="0075579F">
        <w:rPr>
          <w:lang w:val="sv-SE"/>
        </w:rPr>
        <w:t>planned</w:t>
      </w:r>
      <w:r w:rsidR="00A24DB1" w:rsidRPr="0075579F">
        <w:rPr>
          <w:lang w:val="sv-SE"/>
        </w:rPr>
        <w:t>. The risks attached to the budgetary targets are broadly balanced but the fiscal stance in the programme is not consistent with a correction of the excessive deficit by 2008</w:t>
      </w:r>
      <w:r w:rsidR="00EC24BA" w:rsidRPr="0075579F">
        <w:rPr>
          <w:lang w:val="sv-SE"/>
        </w:rPr>
        <w:t>,</w:t>
      </w:r>
      <w:r w:rsidR="00A24DB1" w:rsidRPr="0075579F">
        <w:rPr>
          <w:lang w:val="sv-SE"/>
        </w:rPr>
        <w:t xml:space="preserve"> as required in the Council Recommendation of 5 July 2004.</w:t>
      </w:r>
    </w:p>
    <w:p w:rsidR="00A24DB1" w:rsidRPr="0075579F" w:rsidRDefault="00DB08FD" w:rsidP="00BF5114">
      <w:pPr>
        <w:pStyle w:val="5Normal"/>
        <w:rPr>
          <w:lang w:val="sv-SE"/>
        </w:rPr>
      </w:pPr>
      <w:r w:rsidRPr="0075579F">
        <w:rPr>
          <w:lang w:val="sv-SE"/>
        </w:rPr>
        <w:lastRenderedPageBreak/>
        <w:t xml:space="preserve">At 30.6% of GDP in 2006, the public debt is well </w:t>
      </w:r>
      <w:r w:rsidR="00766611" w:rsidRPr="0075579F">
        <w:rPr>
          <w:lang w:val="sv-SE"/>
        </w:rPr>
        <w:t xml:space="preserve">below </w:t>
      </w:r>
      <w:r w:rsidRPr="0075579F">
        <w:rPr>
          <w:lang w:val="sv-SE"/>
        </w:rPr>
        <w:t xml:space="preserve">the 60% reference value set in the Treaty, but it is expected to increase by almost two percentage points over the programme period. </w:t>
      </w:r>
      <w:r w:rsidR="00EC24BA" w:rsidRPr="0075579F">
        <w:rPr>
          <w:lang w:val="sv-SE"/>
        </w:rPr>
        <w:t xml:space="preserve">It must </w:t>
      </w:r>
      <w:r w:rsidRPr="0075579F">
        <w:rPr>
          <w:lang w:val="sv-SE"/>
        </w:rPr>
        <w:t xml:space="preserve">also </w:t>
      </w:r>
      <w:r w:rsidR="00EC24BA" w:rsidRPr="0075579F">
        <w:rPr>
          <w:lang w:val="sv-SE"/>
        </w:rPr>
        <w:t>be noted that t</w:t>
      </w:r>
      <w:r w:rsidR="00A24DB1" w:rsidRPr="0075579F">
        <w:rPr>
          <w:lang w:val="sv-SE"/>
        </w:rPr>
        <w:t xml:space="preserve">he </w:t>
      </w:r>
      <w:smartTag w:uri="urn:schemas-microsoft-com:office:smarttags" w:element="place">
        <w:smartTag w:uri="urn:schemas-microsoft-com:office:smarttags" w:element="PlaceName">
          <w:r w:rsidR="00A24DB1" w:rsidRPr="0075579F">
            <w:rPr>
              <w:lang w:val="sv-SE"/>
            </w:rPr>
            <w:t>Czech</w:t>
          </w:r>
        </w:smartTag>
        <w:r w:rsidR="00A24DB1" w:rsidRPr="0075579F">
          <w:rPr>
            <w:lang w:val="sv-SE"/>
          </w:rPr>
          <w:t xml:space="preserve"> </w:t>
        </w:r>
        <w:smartTag w:uri="urn:schemas-microsoft-com:office:smarttags" w:element="PlaceType">
          <w:r w:rsidR="00A24DB1" w:rsidRPr="0075579F">
            <w:rPr>
              <w:lang w:val="sv-SE"/>
            </w:rPr>
            <w:t>Republic</w:t>
          </w:r>
        </w:smartTag>
      </w:smartTag>
      <w:r w:rsidR="00A24DB1" w:rsidRPr="0075579F">
        <w:rPr>
          <w:lang w:val="sv-SE"/>
        </w:rPr>
        <w:t xml:space="preserve"> </w:t>
      </w:r>
      <w:r w:rsidR="00EC24BA" w:rsidRPr="0075579F">
        <w:rPr>
          <w:lang w:val="sv-SE"/>
        </w:rPr>
        <w:t xml:space="preserve">has been found to be </w:t>
      </w:r>
      <w:r w:rsidR="00A24DB1" w:rsidRPr="0075579F">
        <w:rPr>
          <w:lang w:val="sv-SE"/>
        </w:rPr>
        <w:t>at high risk with regard to the sustainability of public finances</w:t>
      </w:r>
      <w:r w:rsidR="00EC24BA" w:rsidRPr="0075579F">
        <w:rPr>
          <w:lang w:val="sv-SE"/>
        </w:rPr>
        <w:t xml:space="preserve"> </w:t>
      </w:r>
      <w:r w:rsidR="00766611" w:rsidRPr="0075579F">
        <w:rPr>
          <w:lang w:val="sv-SE"/>
        </w:rPr>
        <w:t xml:space="preserve">over the long-term </w:t>
      </w:r>
      <w:r w:rsidR="00EC24BA" w:rsidRPr="0075579F">
        <w:rPr>
          <w:lang w:val="sv-SE"/>
        </w:rPr>
        <w:t xml:space="preserve">(see </w:t>
      </w:r>
      <w:hyperlink r:id="rId7" w:history="1">
        <w:r w:rsidR="00EC24BA" w:rsidRPr="0075579F">
          <w:rPr>
            <w:rStyle w:val="Hyperlnk"/>
            <w:lang w:val="sv-SE"/>
          </w:rPr>
          <w:t>IP/06/</w:t>
        </w:r>
        <w:r w:rsidR="009379C1" w:rsidRPr="0075579F">
          <w:rPr>
            <w:rStyle w:val="Hyperlnk"/>
            <w:lang w:val="sv-SE"/>
          </w:rPr>
          <w:t>1</w:t>
        </w:r>
        <w:r w:rsidR="009379C1" w:rsidRPr="0075579F">
          <w:rPr>
            <w:rStyle w:val="Hyperlnk"/>
            <w:lang w:val="sv-SE"/>
          </w:rPr>
          <w:t>356</w:t>
        </w:r>
      </w:hyperlink>
      <w:r w:rsidR="00EC24BA" w:rsidRPr="0075579F">
        <w:rPr>
          <w:lang w:val="sv-SE"/>
        </w:rPr>
        <w:t>)</w:t>
      </w:r>
      <w:r w:rsidR="00A24DB1" w:rsidRPr="0075579F">
        <w:rPr>
          <w:lang w:val="sv-SE"/>
        </w:rPr>
        <w:t>.</w:t>
      </w:r>
    </w:p>
    <w:p w:rsidR="00A24DB1" w:rsidRPr="0075579F" w:rsidRDefault="001C4525" w:rsidP="00A24DB1">
      <w:pPr>
        <w:pStyle w:val="5Normal"/>
        <w:rPr>
          <w:lang w:val="sv-SE"/>
        </w:rPr>
      </w:pPr>
      <w:r w:rsidRPr="0075579F">
        <w:rPr>
          <w:lang w:val="sv-SE"/>
        </w:rPr>
        <w:t>Overall</w:t>
      </w:r>
      <w:r w:rsidR="00A24DB1" w:rsidRPr="0075579F">
        <w:rPr>
          <w:lang w:val="sv-SE"/>
        </w:rPr>
        <w:t>, in spite of better growth prospects and a lower</w:t>
      </w:r>
      <w:r w:rsidR="00EC24BA" w:rsidRPr="0075579F">
        <w:rPr>
          <w:lang w:val="sv-SE"/>
        </w:rPr>
        <w:t>-than-expected</w:t>
      </w:r>
      <w:r w:rsidR="00A24DB1" w:rsidRPr="0075579F">
        <w:rPr>
          <w:lang w:val="sv-SE"/>
        </w:rPr>
        <w:t xml:space="preserve"> deficit in 2006, the programme postpones the correction of the excessive deficit </w:t>
      </w:r>
      <w:r w:rsidR="00C7705E" w:rsidRPr="0075579F">
        <w:rPr>
          <w:lang w:val="sv-SE"/>
        </w:rPr>
        <w:t>by at least one year</w:t>
      </w:r>
      <w:r w:rsidR="00A24DB1" w:rsidRPr="0075579F">
        <w:rPr>
          <w:lang w:val="sv-SE"/>
        </w:rPr>
        <w:t xml:space="preserve"> compared with the 2008 deadline set in July 2004. The postponement reflects the planned pro-cyclical expansionary fiscal stance in 2007, primarily due to discretionary increases. </w:t>
      </w:r>
    </w:p>
    <w:p w:rsidR="00A24DB1" w:rsidRPr="0075579F" w:rsidRDefault="001C4525" w:rsidP="00A24DB1">
      <w:pPr>
        <w:pStyle w:val="5Normal"/>
        <w:rPr>
          <w:lang w:val="sv-SE"/>
        </w:rPr>
      </w:pPr>
      <w:r w:rsidRPr="0075579F">
        <w:rPr>
          <w:lang w:val="sv-SE"/>
        </w:rPr>
        <w:t>Therefore</w:t>
      </w:r>
      <w:r w:rsidR="00A24DB1" w:rsidRPr="0075579F">
        <w:rPr>
          <w:lang w:val="sv-SE"/>
        </w:rPr>
        <w:t xml:space="preserve">, </w:t>
      </w:r>
      <w:r w:rsidR="00022E65" w:rsidRPr="0075579F">
        <w:rPr>
          <w:lang w:val="sv-SE"/>
        </w:rPr>
        <w:t>based on its assessment of the convergence programme</w:t>
      </w:r>
      <w:r w:rsidR="00562D00" w:rsidRPr="0075579F">
        <w:rPr>
          <w:lang w:val="sv-SE"/>
        </w:rPr>
        <w:t xml:space="preserve">, </w:t>
      </w:r>
      <w:r w:rsidR="00A24DB1" w:rsidRPr="0075579F">
        <w:rPr>
          <w:lang w:val="sv-SE"/>
        </w:rPr>
        <w:t xml:space="preserve">the </w:t>
      </w:r>
      <w:r w:rsidR="00EC24BA" w:rsidRPr="0075579F">
        <w:rPr>
          <w:lang w:val="sv-SE"/>
        </w:rPr>
        <w:t xml:space="preserve">Commission </w:t>
      </w:r>
      <w:r w:rsidR="00022E65" w:rsidRPr="0075579F">
        <w:rPr>
          <w:lang w:val="sv-SE"/>
        </w:rPr>
        <w:t>proposes</w:t>
      </w:r>
      <w:r w:rsidR="00EC24BA" w:rsidRPr="0075579F">
        <w:rPr>
          <w:lang w:val="sv-SE"/>
        </w:rPr>
        <w:t xml:space="preserve"> </w:t>
      </w:r>
      <w:r w:rsidR="00D930F8" w:rsidRPr="0075579F">
        <w:rPr>
          <w:lang w:val="sv-SE"/>
        </w:rPr>
        <w:t xml:space="preserve">that </w:t>
      </w:r>
      <w:r w:rsidR="00EC24BA" w:rsidRPr="0075579F">
        <w:rPr>
          <w:lang w:val="sv-SE"/>
        </w:rPr>
        <w:t xml:space="preserve">the </w:t>
      </w:r>
      <w:r w:rsidR="00A24DB1" w:rsidRPr="0075579F">
        <w:rPr>
          <w:lang w:val="sv-SE"/>
        </w:rPr>
        <w:t xml:space="preserve">Council </w:t>
      </w:r>
      <w:r w:rsidRPr="0075579F">
        <w:rPr>
          <w:lang w:val="sv-SE"/>
        </w:rPr>
        <w:t>invite</w:t>
      </w:r>
      <w:r w:rsidR="00EC24BA" w:rsidRPr="0075579F">
        <w:rPr>
          <w:lang w:val="sv-SE"/>
        </w:rPr>
        <w:t>s</w:t>
      </w:r>
      <w:r w:rsidR="00A24DB1" w:rsidRPr="0075579F">
        <w:rPr>
          <w:lang w:val="sv-SE"/>
        </w:rPr>
        <w:t xml:space="preserve"> the Czech Republic to:</w:t>
      </w:r>
      <w:r w:rsidRPr="0075579F">
        <w:rPr>
          <w:lang w:val="sv-SE"/>
        </w:rPr>
        <w:t xml:space="preserve"> </w:t>
      </w:r>
      <w:r w:rsidR="00A24DB1" w:rsidRPr="0075579F">
        <w:rPr>
          <w:lang w:val="sv-SE"/>
        </w:rPr>
        <w:t>(i) limit the budgetary deterioration in 2007 and ensure the correction of the excessive deficit in a credible and sustainable manner by 2008 at the latest;</w:t>
      </w:r>
      <w:r w:rsidRPr="0075579F">
        <w:rPr>
          <w:lang w:val="sv-SE"/>
        </w:rPr>
        <w:t xml:space="preserve"> </w:t>
      </w:r>
      <w:r w:rsidR="00A24DB1" w:rsidRPr="0075579F">
        <w:rPr>
          <w:lang w:val="sv-SE"/>
        </w:rPr>
        <w:t>(ii) review the composition of expenditure in order to reduce the share of mandatory expenditure;</w:t>
      </w:r>
      <w:r w:rsidRPr="0075579F">
        <w:rPr>
          <w:lang w:val="sv-SE"/>
        </w:rPr>
        <w:t xml:space="preserve"> and </w:t>
      </w:r>
      <w:r w:rsidR="00A24DB1" w:rsidRPr="0075579F">
        <w:rPr>
          <w:lang w:val="sv-SE"/>
        </w:rPr>
        <w:t>(iii) in view of the projected increase in age-related expenditure, improve the long-term sustainability of public finances by implementing the necessary pension and health care reforms.</w:t>
      </w:r>
    </w:p>
    <w:p w:rsidR="000F4FC8" w:rsidRPr="0075579F" w:rsidRDefault="001A2099" w:rsidP="000F4FC8">
      <w:pPr>
        <w:pStyle w:val="5Normal"/>
        <w:tabs>
          <w:tab w:val="clear" w:pos="284"/>
        </w:tabs>
        <w:rPr>
          <w:lang w:val="sv-SE"/>
        </w:rPr>
      </w:pPr>
      <w:r w:rsidRPr="0075579F">
        <w:rPr>
          <w:lang w:val="sv-SE"/>
        </w:rPr>
        <w:t>The</w:t>
      </w:r>
      <w:r w:rsidR="000F4FC8" w:rsidRPr="0075579F">
        <w:rPr>
          <w:lang w:val="sv-SE"/>
        </w:rPr>
        <w:t xml:space="preserve"> Commission’s </w:t>
      </w:r>
      <w:r w:rsidRPr="0075579F">
        <w:rPr>
          <w:lang w:val="sv-SE"/>
        </w:rPr>
        <w:t>recommendations</w:t>
      </w:r>
      <w:r w:rsidR="000F4FC8" w:rsidRPr="0075579F">
        <w:rPr>
          <w:lang w:val="sv-SE"/>
        </w:rPr>
        <w:t xml:space="preserve"> can be found at:</w:t>
      </w:r>
    </w:p>
    <w:p w:rsidR="009120DD" w:rsidRPr="0075579F" w:rsidRDefault="00C238F3" w:rsidP="000F4FC8">
      <w:pPr>
        <w:pStyle w:val="5Normal"/>
        <w:tabs>
          <w:tab w:val="clear" w:pos="284"/>
        </w:tabs>
        <w:rPr>
          <w:lang w:val="sv-SE"/>
        </w:rPr>
      </w:pPr>
      <w:hyperlink r:id="rId8" w:history="1">
        <w:r w:rsidR="009120DD" w:rsidRPr="0075579F">
          <w:rPr>
            <w:rStyle w:val="Hyperlnk"/>
            <w:lang w:val="sv-SE"/>
          </w:rPr>
          <w:t>http://ec.europa.eu/econom</w:t>
        </w:r>
        <w:r w:rsidR="009120DD" w:rsidRPr="0075579F">
          <w:rPr>
            <w:rStyle w:val="Hyperlnk"/>
            <w:lang w:val="sv-SE"/>
          </w:rPr>
          <w:t>y</w:t>
        </w:r>
        <w:r w:rsidR="009120DD" w:rsidRPr="0075579F">
          <w:rPr>
            <w:rStyle w:val="Hyperlnk"/>
            <w:lang w:val="sv-SE"/>
          </w:rPr>
          <w:t>_finance/about/acti</w:t>
        </w:r>
        <w:r w:rsidR="009120DD" w:rsidRPr="0075579F">
          <w:rPr>
            <w:rStyle w:val="Hyperlnk"/>
            <w:lang w:val="sv-SE"/>
          </w:rPr>
          <w:t>v</w:t>
        </w:r>
        <w:r w:rsidR="009120DD" w:rsidRPr="0075579F">
          <w:rPr>
            <w:rStyle w:val="Hyperlnk"/>
            <w:lang w:val="sv-SE"/>
          </w:rPr>
          <w:t>ities/sgp/main_en.htm</w:t>
        </w:r>
      </w:hyperlink>
    </w:p>
    <w:p w:rsidR="00BF5114" w:rsidRPr="0075579F" w:rsidRDefault="000D76F6" w:rsidP="00AA752D">
      <w:pPr>
        <w:pStyle w:val="Text1"/>
        <w:keepNext/>
        <w:keepLines/>
        <w:outlineLvl w:val="0"/>
        <w:rPr>
          <w:lang w:val="sv-SE"/>
        </w:rPr>
        <w:sectPr w:rsidR="00BF5114" w:rsidRPr="0075579F">
          <w:pgSz w:w="11907" w:h="16840" w:code="9"/>
          <w:pgMar w:top="1021" w:right="1191" w:bottom="1644" w:left="2608" w:header="0" w:footer="567" w:gutter="0"/>
          <w:pgNumType w:start="1"/>
          <w:cols w:space="720"/>
          <w:noEndnote/>
          <w:titlePg/>
        </w:sectPr>
      </w:pPr>
      <w:r w:rsidRPr="0075579F">
        <w:rPr>
          <w:lang w:val="sv-SE"/>
        </w:rPr>
        <w:br w:type="page"/>
      </w:r>
    </w:p>
    <w:p w:rsidR="001A2099" w:rsidRPr="0075579F" w:rsidRDefault="00435D69" w:rsidP="00AA752D">
      <w:pPr>
        <w:pStyle w:val="Text1"/>
        <w:keepNext/>
        <w:keepLines/>
        <w:outlineLvl w:val="0"/>
        <w:rPr>
          <w:b/>
          <w:lang w:val="sv-SE"/>
        </w:rPr>
      </w:pPr>
      <w:r w:rsidRPr="0075579F">
        <w:rPr>
          <w:b/>
          <w:lang w:val="sv-SE"/>
        </w:rPr>
        <w:t>Comparison of key macroeconomic and budgetary projections</w:t>
      </w:r>
    </w:p>
    <w:p w:rsidR="00DB7768" w:rsidRPr="0075579F" w:rsidRDefault="0075579F" w:rsidP="00DB7768">
      <w:pPr>
        <w:pStyle w:val="Text1"/>
        <w:keepNext/>
        <w:keepLines/>
        <w:jc w:val="center"/>
        <w:outlineLvl w:val="0"/>
        <w:rPr>
          <w:b/>
          <w:lang w:val="sv-SE"/>
        </w:rPr>
      </w:pPr>
      <w:r w:rsidRPr="0075579F">
        <w:rPr>
          <w:noProof/>
          <w:lang w:val="sv-SE"/>
        </w:rPr>
        <w:drawing>
          <wp:inline distT="0" distB="0" distL="0" distR="0">
            <wp:extent cx="5149215" cy="555180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55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768" w:rsidRPr="0075579F" w:rsidSect="00BF5114">
      <w:type w:val="continuous"/>
      <w:pgSz w:w="11907" w:h="16840" w:code="9"/>
      <w:pgMar w:top="1021" w:right="1191" w:bottom="1644" w:left="1701" w:header="0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412" w:rsidRPr="0075579F" w:rsidRDefault="00867412">
      <w:r w:rsidRPr="0075579F">
        <w:separator/>
      </w:r>
    </w:p>
  </w:endnote>
  <w:endnote w:type="continuationSeparator" w:id="0">
    <w:p w:rsidR="00867412" w:rsidRPr="0075579F" w:rsidRDefault="00867412">
      <w:r w:rsidRPr="007557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412" w:rsidRPr="0075579F" w:rsidRDefault="00867412">
      <w:r w:rsidRPr="0075579F">
        <w:separator/>
      </w:r>
    </w:p>
  </w:footnote>
  <w:footnote w:type="continuationSeparator" w:id="0">
    <w:p w:rsidR="00867412" w:rsidRPr="0075579F" w:rsidRDefault="00867412">
      <w:r w:rsidRPr="0075579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7A0384"/>
    <w:multiLevelType w:val="singleLevel"/>
    <w:tmpl w:val="36802114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13C34E21"/>
    <w:multiLevelType w:val="multilevel"/>
    <w:tmpl w:val="2544EA4C"/>
    <w:lvl w:ilvl="0">
      <w:start w:val="1"/>
      <w:numFmt w:val="upperRoman"/>
      <w:pStyle w:val="Rubrik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u w:val="none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Times New Roman" w:hAnsi="Times New Roman" w:hint="default"/>
        <w:u w:val="none"/>
      </w:rPr>
    </w:lvl>
    <w:lvl w:ilvl="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6">
      <w:start w:val="1"/>
      <w:numFmt w:val="bullet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3" w15:restartNumberingAfterBreak="0">
    <w:nsid w:val="35425A1D"/>
    <w:multiLevelType w:val="singleLevel"/>
    <w:tmpl w:val="9CD894D0"/>
    <w:lvl w:ilvl="0">
      <w:numFmt w:val="bullet"/>
      <w:pStyle w:val="Tiret3"/>
      <w:lvlText w:val="-"/>
      <w:lvlJc w:val="left"/>
      <w:pPr>
        <w:tabs>
          <w:tab w:val="num" w:pos="1069"/>
        </w:tabs>
        <w:ind w:left="1021" w:hanging="312"/>
      </w:pPr>
      <w:rPr>
        <w:rFonts w:ascii="Times New Roman" w:hAnsi="Times New Roman" w:hint="default"/>
      </w:rPr>
    </w:lvl>
  </w:abstractNum>
  <w:abstractNum w:abstractNumId="4" w15:restartNumberingAfterBreak="0">
    <w:nsid w:val="5DFD014F"/>
    <w:multiLevelType w:val="singleLevel"/>
    <w:tmpl w:val="F74240E0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num w:numId="1" w16cid:durableId="1901087001">
    <w:abstractNumId w:val="4"/>
  </w:num>
  <w:num w:numId="2" w16cid:durableId="406344018">
    <w:abstractNumId w:val="1"/>
  </w:num>
  <w:num w:numId="3" w16cid:durableId="185619052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 w16cid:durableId="207382027">
    <w:abstractNumId w:val="3"/>
  </w:num>
  <w:num w:numId="5" w16cid:durableId="212245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L"/>
  </w:docVars>
  <w:rsids>
    <w:rsidRoot w:val="00333093"/>
    <w:rsid w:val="00022E65"/>
    <w:rsid w:val="00026199"/>
    <w:rsid w:val="000476FC"/>
    <w:rsid w:val="00062075"/>
    <w:rsid w:val="000640A1"/>
    <w:rsid w:val="00086E8C"/>
    <w:rsid w:val="000A0235"/>
    <w:rsid w:val="000D76F6"/>
    <w:rsid w:val="000F4FC8"/>
    <w:rsid w:val="00122D13"/>
    <w:rsid w:val="001A2099"/>
    <w:rsid w:val="001B0E53"/>
    <w:rsid w:val="001C4525"/>
    <w:rsid w:val="001C52BE"/>
    <w:rsid w:val="001D237F"/>
    <w:rsid w:val="001D5188"/>
    <w:rsid w:val="002004B6"/>
    <w:rsid w:val="002530E0"/>
    <w:rsid w:val="002D68AD"/>
    <w:rsid w:val="00303D83"/>
    <w:rsid w:val="0033254E"/>
    <w:rsid w:val="00333093"/>
    <w:rsid w:val="003439B8"/>
    <w:rsid w:val="00353CF7"/>
    <w:rsid w:val="003D2C19"/>
    <w:rsid w:val="00404245"/>
    <w:rsid w:val="00435D69"/>
    <w:rsid w:val="00476D97"/>
    <w:rsid w:val="00477F40"/>
    <w:rsid w:val="00495AC4"/>
    <w:rsid w:val="004C0C11"/>
    <w:rsid w:val="0051600E"/>
    <w:rsid w:val="00531F47"/>
    <w:rsid w:val="00562D00"/>
    <w:rsid w:val="00595E3C"/>
    <w:rsid w:val="005C1FEB"/>
    <w:rsid w:val="005C339D"/>
    <w:rsid w:val="005E6EED"/>
    <w:rsid w:val="00607F4C"/>
    <w:rsid w:val="00635F0F"/>
    <w:rsid w:val="00655E0E"/>
    <w:rsid w:val="00694D1E"/>
    <w:rsid w:val="006E521A"/>
    <w:rsid w:val="0075579F"/>
    <w:rsid w:val="00766611"/>
    <w:rsid w:val="00783560"/>
    <w:rsid w:val="007C14F9"/>
    <w:rsid w:val="007E5903"/>
    <w:rsid w:val="007F1746"/>
    <w:rsid w:val="00801862"/>
    <w:rsid w:val="00867412"/>
    <w:rsid w:val="00887D83"/>
    <w:rsid w:val="009120DD"/>
    <w:rsid w:val="0091552B"/>
    <w:rsid w:val="0092213E"/>
    <w:rsid w:val="0092710A"/>
    <w:rsid w:val="0093183E"/>
    <w:rsid w:val="009379C1"/>
    <w:rsid w:val="00941EEB"/>
    <w:rsid w:val="00964519"/>
    <w:rsid w:val="0099367F"/>
    <w:rsid w:val="009D167B"/>
    <w:rsid w:val="009F6B1B"/>
    <w:rsid w:val="00A24DB1"/>
    <w:rsid w:val="00A804BE"/>
    <w:rsid w:val="00AA752D"/>
    <w:rsid w:val="00AA7C37"/>
    <w:rsid w:val="00AE3EFC"/>
    <w:rsid w:val="00B11F19"/>
    <w:rsid w:val="00B3404E"/>
    <w:rsid w:val="00B3431D"/>
    <w:rsid w:val="00B3651A"/>
    <w:rsid w:val="00B91944"/>
    <w:rsid w:val="00BB4F5B"/>
    <w:rsid w:val="00BF5114"/>
    <w:rsid w:val="00C067A6"/>
    <w:rsid w:val="00C221C8"/>
    <w:rsid w:val="00C238F3"/>
    <w:rsid w:val="00C7705E"/>
    <w:rsid w:val="00C85922"/>
    <w:rsid w:val="00C968B4"/>
    <w:rsid w:val="00CC24CB"/>
    <w:rsid w:val="00CC2FC5"/>
    <w:rsid w:val="00CE304B"/>
    <w:rsid w:val="00D2256D"/>
    <w:rsid w:val="00D26918"/>
    <w:rsid w:val="00D4523F"/>
    <w:rsid w:val="00D63CED"/>
    <w:rsid w:val="00D7061C"/>
    <w:rsid w:val="00D930F8"/>
    <w:rsid w:val="00DA08AE"/>
    <w:rsid w:val="00DB08FD"/>
    <w:rsid w:val="00DB7768"/>
    <w:rsid w:val="00DE5508"/>
    <w:rsid w:val="00E11814"/>
    <w:rsid w:val="00E35DE7"/>
    <w:rsid w:val="00E522AD"/>
    <w:rsid w:val="00E60FDB"/>
    <w:rsid w:val="00E95F81"/>
    <w:rsid w:val="00EC24BA"/>
    <w:rsid w:val="00EE0AC9"/>
    <w:rsid w:val="00EF200D"/>
    <w:rsid w:val="00F334F9"/>
    <w:rsid w:val="00F43B0D"/>
    <w:rsid w:val="00F552E2"/>
    <w:rsid w:val="00F67042"/>
    <w:rsid w:val="00FA1DA1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20A9F-E3F7-472D-8601-392938F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</w:pPr>
    <w:rPr>
      <w:rFonts w:ascii="Arial" w:hAnsi="Arial"/>
      <w:sz w:val="22"/>
      <w:lang w:val="sv-SE" w:eastAsia="en-GB"/>
    </w:rPr>
  </w:style>
  <w:style w:type="paragraph" w:styleId="Rubrik1">
    <w:name w:val="heading 1"/>
    <w:basedOn w:val="Normal"/>
    <w:next w:val="Normal"/>
    <w:qFormat/>
    <w:pPr>
      <w:keepNext/>
      <w:widowControl w:val="0"/>
      <w:numPr>
        <w:numId w:val="5"/>
      </w:numP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240" w:line="360" w:lineRule="auto"/>
      <w:outlineLvl w:val="0"/>
    </w:pPr>
    <w:rPr>
      <w:b/>
      <w:caps/>
      <w:sz w:val="24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1NNote">
    <w:name w:val="1 N° Note"/>
    <w:basedOn w:val="Normal"/>
    <w:next w:val="2Date"/>
    <w:pPr>
      <w:jc w:val="right"/>
    </w:pPr>
    <w:rPr>
      <w:b/>
      <w:caps/>
      <w:sz w:val="24"/>
      <w:lang w:val="en-GB"/>
    </w:rPr>
  </w:style>
  <w:style w:type="paragraph" w:customStyle="1" w:styleId="2Date">
    <w:name w:val="2 Date"/>
    <w:basedOn w:val="Normal"/>
    <w:next w:val="3Titre"/>
    <w:pPr>
      <w:spacing w:before="240"/>
      <w:jc w:val="right"/>
    </w:pPr>
    <w:rPr>
      <w:lang w:val="en-GB"/>
    </w:rPr>
  </w:style>
  <w:style w:type="paragraph" w:customStyle="1" w:styleId="3Titre">
    <w:name w:val="3 Titre"/>
    <w:basedOn w:val="Normal"/>
    <w:next w:val="4Chapeau"/>
    <w:autoRedefine/>
    <w:rsid w:val="00BF5114"/>
    <w:pPr>
      <w:spacing w:before="960"/>
      <w:jc w:val="both"/>
    </w:pPr>
    <w:rPr>
      <w:b/>
      <w:sz w:val="32"/>
    </w:rPr>
  </w:style>
  <w:style w:type="paragraph" w:styleId="Sidfot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Sidnummer">
    <w:name w:val="page number"/>
    <w:basedOn w:val="Standardstycketeckensnitt"/>
  </w:style>
  <w:style w:type="paragraph" w:customStyle="1" w:styleId="4Chapeau">
    <w:name w:val="4 Chapeau"/>
    <w:basedOn w:val="Normal"/>
    <w:next w:val="5Normal"/>
    <w:autoRedefine/>
    <w:rsid w:val="00BF5114"/>
    <w:pPr>
      <w:spacing w:before="600" w:after="240"/>
      <w:jc w:val="both"/>
    </w:pPr>
    <w:rPr>
      <w:b/>
      <w:i/>
      <w:lang w:val="en-GB"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n-GB"/>
    </w:rPr>
  </w:style>
  <w:style w:type="character" w:styleId="Fotnotsreferens">
    <w:name w:val="footnote reference"/>
    <w:basedOn w:val="Standardstycketeckensnitt"/>
    <w:rPr>
      <w:rFonts w:ascii="Arial" w:hAnsi="Arial"/>
      <w:b/>
      <w:kern w:val="0"/>
      <w:sz w:val="20"/>
      <w:vertAlign w:val="superscript"/>
    </w:rPr>
  </w:style>
  <w:style w:type="paragraph" w:styleId="Fotnotstext">
    <w:name w:val="footnote text"/>
    <w:basedOn w:val="Normal"/>
    <w:pPr>
      <w:ind w:left="170" w:hanging="170"/>
    </w:pPr>
    <w:rPr>
      <w:sz w:val="20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customStyle="1" w:styleId="Sous-titre1">
    <w:name w:val="Sous-titre 1"/>
    <w:basedOn w:val="Normal"/>
    <w:next w:val="5Normal"/>
    <w:autoRedefine/>
    <w:pPr>
      <w:spacing w:before="240" w:after="80"/>
    </w:pPr>
    <w:rPr>
      <w:b/>
      <w:sz w:val="24"/>
    </w:rPr>
  </w:style>
  <w:style w:type="paragraph" w:customStyle="1" w:styleId="Sous-titre2">
    <w:name w:val="Sous-titre 2"/>
    <w:basedOn w:val="Normal"/>
    <w:next w:val="Texte2"/>
    <w:autoRedefine/>
    <w:pPr>
      <w:spacing w:before="120" w:after="80"/>
      <w:ind w:left="284"/>
    </w:pPr>
    <w:rPr>
      <w:b/>
    </w:rPr>
  </w:style>
  <w:style w:type="paragraph" w:customStyle="1" w:styleId="Sous-titre3">
    <w:name w:val="Sous-titre 3"/>
    <w:basedOn w:val="Normal"/>
    <w:next w:val="Texte3"/>
    <w:autoRedefine/>
    <w:pPr>
      <w:spacing w:before="120" w:after="80"/>
      <w:ind w:left="567"/>
    </w:pPr>
    <w:rPr>
      <w:b/>
      <w:i/>
    </w:rPr>
  </w:style>
  <w:style w:type="paragraph" w:customStyle="1" w:styleId="Texte1">
    <w:name w:val="Texte 1"/>
    <w:basedOn w:val="Normal"/>
    <w:pPr>
      <w:spacing w:after="80"/>
      <w:jc w:val="both"/>
    </w:pPr>
  </w:style>
  <w:style w:type="paragraph" w:customStyle="1" w:styleId="Texte2">
    <w:name w:val="Texte 2"/>
    <w:basedOn w:val="Normal"/>
    <w:pPr>
      <w:tabs>
        <w:tab w:val="left" w:pos="720"/>
      </w:tabs>
      <w:suppressAutoHyphens/>
      <w:spacing w:after="80"/>
      <w:ind w:left="284"/>
      <w:jc w:val="both"/>
    </w:pPr>
  </w:style>
  <w:style w:type="paragraph" w:customStyle="1" w:styleId="Texte3">
    <w:name w:val="Texte 3"/>
    <w:basedOn w:val="Normal"/>
    <w:pPr>
      <w:spacing w:after="120"/>
      <w:ind w:left="567"/>
      <w:jc w:val="both"/>
    </w:pPr>
  </w:style>
  <w:style w:type="paragraph" w:customStyle="1" w:styleId="Tiret1">
    <w:name w:val="Tiret 1"/>
    <w:basedOn w:val="Texte1"/>
    <w:pPr>
      <w:numPr>
        <w:numId w:val="1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2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customStyle="1" w:styleId="Tiret3">
    <w:name w:val="Tiret 3"/>
    <w:basedOn w:val="Texte3"/>
    <w:autoRedefine/>
    <w:pPr>
      <w:numPr>
        <w:numId w:val="4"/>
      </w:numPr>
      <w:tabs>
        <w:tab w:val="clear" w:pos="1069"/>
        <w:tab w:val="clear" w:pos="1134"/>
      </w:tabs>
      <w:spacing w:after="40"/>
      <w:ind w:left="851" w:hanging="284"/>
    </w:pPr>
  </w:style>
  <w:style w:type="character" w:styleId="Hyperlnk">
    <w:name w:val="Hyperlink"/>
    <w:basedOn w:val="Standardstycketeckensnitt"/>
    <w:rsid w:val="000F4FC8"/>
    <w:rPr>
      <w:color w:val="0000FF"/>
      <w:u w:val="single"/>
    </w:rPr>
  </w:style>
  <w:style w:type="paragraph" w:customStyle="1" w:styleId="Text1">
    <w:name w:val="Text 1"/>
    <w:basedOn w:val="Normal"/>
    <w:rsid w:val="00435D6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240"/>
      <w:ind w:left="482"/>
      <w:jc w:val="both"/>
    </w:pPr>
    <w:rPr>
      <w:rFonts w:ascii="Times New Roman" w:hAnsi="Times New Roman"/>
      <w:sz w:val="24"/>
      <w:lang w:val="en-GB" w:eastAsia="en-US"/>
    </w:rPr>
  </w:style>
  <w:style w:type="character" w:styleId="AnvndHyperlnk">
    <w:name w:val="FollowedHyperlink"/>
    <w:basedOn w:val="Standardstycketeckensnitt"/>
    <w:rsid w:val="000D76F6"/>
    <w:rPr>
      <w:color w:val="606420"/>
      <w:u w:val="single"/>
    </w:rPr>
  </w:style>
  <w:style w:type="paragraph" w:styleId="Ballongtext">
    <w:name w:val="Balloon Text"/>
    <w:basedOn w:val="Normal"/>
    <w:semiHidden/>
    <w:rsid w:val="00C7705E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A752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conomy_finance/about/activities/sgp/main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opa.eu/rapid/pressReleasesAction.do?reference=IP/06/1356&amp;format=HTML&amp;aged=1&amp;language=EN&amp;gui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lication%20Data\Microsoft\Templates\Norm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Norml.dot</Template>
  <TotalTime>0</TotalTime>
  <Pages>2</Pages>
  <Words>731</Words>
  <Characters>3909</Characters>
  <Application>Microsoft Office Word</Application>
  <DocSecurity>4</DocSecurity>
  <Lines>71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Top margin 1</vt:lpstr>
    </vt:vector>
  </TitlesOfParts>
  <Company> </Company>
  <LinksUpToDate>false</LinksUpToDate>
  <CharactersWithSpaces>4622</CharactersWithSpaces>
  <SharedDoc>false</SharedDoc>
  <HLinks>
    <vt:vector size="12" baseType="variant">
      <vt:variant>
        <vt:i4>5767190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http://ec.europa.eu/economy_finance/about/activities/sgp/main_en.htm</vt:lpwstr>
      </vt:variant>
      <vt:variant>
        <vt:lpwstr/>
      </vt:variant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http://europa.eu/rapid/pressReleasesAction.do?reference=IP/06/1356&amp;format=HTML&amp;aged=1&amp;language=EN&amp;guiLanguage=en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margin 1</dc:title>
  <dc:subject>Top margin 1</dc:subject>
  <dc:creator>Riksdagen</dc:creator>
  <cp:keywords>Riksdagen</cp:keywords>
  <dc:description/>
  <cp:lastModifiedBy>Lars Brink</cp:lastModifiedBy>
  <cp:revision>2</cp:revision>
  <cp:lastPrinted>2007-06-29T09:24:00Z</cp:lastPrinted>
  <dcterms:created xsi:type="dcterms:W3CDTF">2025-12-17T04:12:00Z</dcterms:created>
  <dcterms:modified xsi:type="dcterms:W3CDTF">2025-12-17T04:12:00Z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