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4647DEDB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D75E69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21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7113CC3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3249B7">
              <w:t>2</w:t>
            </w:r>
            <w:r w:rsidRPr="0012669A">
              <w:t>-</w:t>
            </w:r>
            <w:r w:rsidR="003249B7">
              <w:t>04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F51A8B3" w:rsidR="00141DA2" w:rsidRPr="0012669A" w:rsidRDefault="00A24521" w:rsidP="008C57B9">
            <w:r>
              <w:t>1</w:t>
            </w:r>
            <w:r w:rsidR="000B5F32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A56776">
              <w:t>11.30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52895071" w:rsidR="00ED1096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793CE5" w:rsidRPr="008C4947">
              <w:t>Eric Palmqvist (SD)</w:t>
            </w:r>
            <w:r w:rsidR="00793CE5">
              <w:t xml:space="preserve">, </w:t>
            </w:r>
            <w:r w:rsidR="00A56776" w:rsidRPr="00E12E24">
              <w:t xml:space="preserve">Lorentz Tovatt (MP), </w:t>
            </w:r>
            <w:r w:rsidR="00EE6D7D">
              <w:t xml:space="preserve">Patrik Engström (S),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0A13C3">
              <w:rPr>
                <w:snapToGrid w:val="0"/>
              </w:rPr>
              <w:t>,</w:t>
            </w:r>
            <w:r w:rsidR="0022564B">
              <w:rPr>
                <w:snapToGrid w:val="0"/>
              </w:rPr>
              <w:t xml:space="preserve"> </w:t>
            </w:r>
            <w:r w:rsidR="0022564B" w:rsidRPr="0022564B">
              <w:rPr>
                <w:snapToGrid w:val="0"/>
              </w:rPr>
              <w:t>Lorena Delgado Varas (V)</w:t>
            </w:r>
            <w:r w:rsidR="0022564B">
              <w:rPr>
                <w:snapToGrid w:val="0"/>
              </w:rPr>
              <w:t xml:space="preserve">, </w:t>
            </w:r>
            <w:r w:rsidR="0022564B" w:rsidRPr="008C4947">
              <w:t xml:space="preserve">Rickard Nordin (C), </w:t>
            </w:r>
            <w:r w:rsidR="00793CE5">
              <w:t xml:space="preserve">och </w:t>
            </w:r>
            <w:hyperlink r:id="rId8" w:history="1"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32557B" w:rsidRPr="0032557B">
              <w:t>(S)</w:t>
            </w:r>
            <w:r w:rsidR="00793CE5">
              <w:t>.</w:t>
            </w:r>
          </w:p>
          <w:p w14:paraId="6B0B07AC" w14:textId="0E9A39F4" w:rsidR="00ED1096" w:rsidRPr="00ED1096" w:rsidRDefault="00A56776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902BAF" w:rsidRPr="0012669A" w14:paraId="10753165" w14:textId="77777777" w:rsidTr="00823B30">
        <w:trPr>
          <w:trHeight w:val="919"/>
        </w:trPr>
        <w:tc>
          <w:tcPr>
            <w:tcW w:w="567" w:type="dxa"/>
          </w:tcPr>
          <w:p w14:paraId="6C7F1144" w14:textId="18B3BB73" w:rsidR="00902BAF" w:rsidRDefault="00902BA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057E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C19537D" w14:textId="78766829" w:rsidR="003249B7" w:rsidRDefault="003249B7" w:rsidP="003217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Handels- och samarbetsavtalet mellan EU och Storbritannien – effekter för handel och företag</w:t>
            </w:r>
          </w:p>
          <w:p w14:paraId="1167D235" w14:textId="6240D6EC" w:rsidR="003249B7" w:rsidRDefault="003249B7" w:rsidP="0032171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a) Generaldirektör Anders </w:t>
            </w:r>
            <w:proofErr w:type="spellStart"/>
            <w:r>
              <w:rPr>
                <w:color w:val="000000"/>
              </w:rPr>
              <w:t>Ahnlid</w:t>
            </w:r>
            <w:proofErr w:type="spellEnd"/>
            <w:r>
              <w:rPr>
                <w:color w:val="000000"/>
              </w:rPr>
              <w:t xml:space="preserve">, enhetschef Christofer Berg och utredare Emma </w:t>
            </w:r>
            <w:proofErr w:type="spellStart"/>
            <w:r>
              <w:rPr>
                <w:color w:val="000000"/>
              </w:rPr>
              <w:t>Sävenborg</w:t>
            </w:r>
            <w:proofErr w:type="spellEnd"/>
            <w:r>
              <w:rPr>
                <w:color w:val="000000"/>
              </w:rPr>
              <w:t>, Kommerskollegium, var uppkopplade per videolänk och lämnade information och svarade på frågor om avtalets effekter för handel med varor och tjänster</w:t>
            </w:r>
            <w:r w:rsidR="000153B8">
              <w:rPr>
                <w:color w:val="000000"/>
              </w:rPr>
              <w:t>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b) Chef för internationella och EU-frågor Anna </w:t>
            </w:r>
            <w:proofErr w:type="spellStart"/>
            <w:r>
              <w:rPr>
                <w:color w:val="000000"/>
              </w:rPr>
              <w:t>Stellinger</w:t>
            </w:r>
            <w:proofErr w:type="spellEnd"/>
            <w:r>
              <w:rPr>
                <w:color w:val="000000"/>
              </w:rPr>
              <w:t xml:space="preserve"> och policyansvarige Henrik Isakson, </w:t>
            </w:r>
            <w:proofErr w:type="gramStart"/>
            <w:r>
              <w:rPr>
                <w:color w:val="000000"/>
              </w:rPr>
              <w:t>Svenskt</w:t>
            </w:r>
            <w:proofErr w:type="gramEnd"/>
            <w:r>
              <w:rPr>
                <w:color w:val="000000"/>
              </w:rPr>
              <w:t xml:space="preserve"> näringsliv, var uppkopplade per videolänk och lämnade information och svarade på frågor om</w:t>
            </w:r>
          </w:p>
          <w:p w14:paraId="25DDE92F" w14:textId="250C170E" w:rsidR="003249B7" w:rsidRDefault="003249B7" w:rsidP="0032171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avtalets effekter för svenska företag.</w:t>
            </w:r>
          </w:p>
          <w:p w14:paraId="61C65344" w14:textId="763423DF" w:rsidR="00902BAF" w:rsidRPr="00C565ED" w:rsidRDefault="00902BAF" w:rsidP="003249B7">
            <w:pPr>
              <w:rPr>
                <w:color w:val="222222"/>
              </w:rPr>
            </w:pPr>
          </w:p>
        </w:tc>
      </w:tr>
      <w:tr w:rsidR="005D01ED" w:rsidRPr="00A25DBE" w14:paraId="30EEA030" w14:textId="77777777" w:rsidTr="00823B30">
        <w:trPr>
          <w:trHeight w:val="919"/>
        </w:trPr>
        <w:tc>
          <w:tcPr>
            <w:tcW w:w="567" w:type="dxa"/>
          </w:tcPr>
          <w:p w14:paraId="27B258D9" w14:textId="74783C8A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49B7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7317D7C" w14:textId="77777777" w:rsidR="0032171A" w:rsidRPr="006E7CB3" w:rsidRDefault="0032171A" w:rsidP="00321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60A7CD78" w14:textId="77777777" w:rsidR="0032171A" w:rsidRPr="006E7CB3" w:rsidRDefault="0032171A" w:rsidP="0032171A">
            <w:pPr>
              <w:tabs>
                <w:tab w:val="left" w:pos="1701"/>
              </w:tabs>
              <w:rPr>
                <w:snapToGrid w:val="0"/>
              </w:rPr>
            </w:pPr>
          </w:p>
          <w:p w14:paraId="1BC84CEA" w14:textId="34DA6037" w:rsidR="006F0526" w:rsidRDefault="0032171A" w:rsidP="0032171A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3249B7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14:paraId="00073E53" w14:textId="38A9F533" w:rsidR="005D01ED" w:rsidRDefault="005D01ED" w:rsidP="0032171A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</w:p>
        </w:tc>
      </w:tr>
      <w:tr w:rsidR="000B5F32" w:rsidRPr="00A25DBE" w14:paraId="30B9EC13" w14:textId="77777777" w:rsidTr="00823B30">
        <w:trPr>
          <w:trHeight w:val="919"/>
        </w:trPr>
        <w:tc>
          <w:tcPr>
            <w:tcW w:w="567" w:type="dxa"/>
          </w:tcPr>
          <w:p w14:paraId="4ADBAE30" w14:textId="6E3F4532" w:rsidR="000B5F32" w:rsidRDefault="000B5F3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49B7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67A25244" w14:textId="24EE8BBF" w:rsidR="000B5F32" w:rsidRPr="009D0E39" w:rsidRDefault="000B5F32" w:rsidP="000B5F3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02BAF">
              <w:rPr>
                <w:rStyle w:val="bold"/>
                <w:b/>
              </w:rPr>
              <w:t>Undersökningstillstånd (NU9)</w:t>
            </w:r>
            <w:r w:rsidRPr="00902BAF">
              <w:rPr>
                <w:b/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</w:t>
            </w:r>
            <w:r>
              <w:rPr>
                <w:snapToGrid w:val="0"/>
                <w:szCs w:val="20"/>
              </w:rPr>
              <w:t>lingen av</w:t>
            </w:r>
            <w:r w:rsidRPr="009D0E39">
              <w:rPr>
                <w:snapToGrid w:val="0"/>
                <w:szCs w:val="20"/>
              </w:rPr>
              <w:t xml:space="preserve">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67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undersökningstillstånd.</w:t>
            </w:r>
          </w:p>
          <w:p w14:paraId="7A94A185" w14:textId="77777777" w:rsidR="00A56776" w:rsidRDefault="003249B7" w:rsidP="003249B7">
            <w:pPr>
              <w:pStyle w:val="Normalwebb"/>
              <w:rPr>
                <w:color w:val="222222"/>
                <w:shd w:val="clear" w:color="auto" w:fill="FFFFFF"/>
              </w:rPr>
            </w:pPr>
            <w:r>
              <w:lastRenderedPageBreak/>
              <w:t>Utskottet fattade beslut i ärendet. Förslag till betänkande nr 9 justerades.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0085E786" w14:textId="5575C9AD" w:rsidR="00A56776" w:rsidRPr="00A56776" w:rsidRDefault="00A56776" w:rsidP="00A56776">
            <w:pPr>
              <w:pStyle w:val="Normalwebb"/>
              <w:spacing w:before="0" w:beforeAutospacing="0"/>
              <w:rPr>
                <w:color w:val="222222"/>
              </w:rPr>
            </w:pPr>
            <w:r w:rsidRPr="00A56776">
              <w:rPr>
                <w:color w:val="222222"/>
              </w:rPr>
              <w:t>Särskilt yttrande anmäldes</w:t>
            </w:r>
          </w:p>
          <w:p w14:paraId="68B63270" w14:textId="40CB61DA" w:rsidR="000B5F32" w:rsidRPr="00A56776" w:rsidRDefault="00A56776" w:rsidP="00A56776">
            <w:pPr>
              <w:spacing w:after="100" w:afterAutospacing="1"/>
              <w:rPr>
                <w:rFonts w:ascii="inherit" w:hAnsi="inherit"/>
                <w:color w:val="222222"/>
              </w:rPr>
            </w:pPr>
            <w:r w:rsidRPr="00A56776">
              <w:rPr>
                <w:color w:val="222222"/>
              </w:rPr>
              <w:t>av V-ledamoten</w:t>
            </w:r>
            <w:r>
              <w:rPr>
                <w:color w:val="222222"/>
              </w:rPr>
              <w:t>.</w:t>
            </w:r>
            <w:r w:rsidRPr="00A56776">
              <w:rPr>
                <w:rFonts w:ascii="inherit" w:hAnsi="inherit"/>
                <w:color w:val="222222"/>
              </w:rPr>
              <w:t xml:space="preserve"> </w:t>
            </w:r>
            <w:r>
              <w:rPr>
                <w:rFonts w:ascii="inherit" w:hAnsi="inherit"/>
                <w:color w:val="222222"/>
              </w:rPr>
              <w:br/>
            </w:r>
          </w:p>
        </w:tc>
      </w:tr>
      <w:tr w:rsidR="003249B7" w:rsidRPr="00A25DBE" w14:paraId="129CDF49" w14:textId="77777777" w:rsidTr="00823B30">
        <w:trPr>
          <w:trHeight w:val="919"/>
        </w:trPr>
        <w:tc>
          <w:tcPr>
            <w:tcW w:w="567" w:type="dxa"/>
          </w:tcPr>
          <w:p w14:paraId="553665AA" w14:textId="394FA3F8" w:rsidR="003249B7" w:rsidRDefault="003249B7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6E25BA4E" w14:textId="77777777" w:rsidR="003249B7" w:rsidRDefault="003249B7" w:rsidP="003249B7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Handelspolitik (NU13)</w:t>
            </w:r>
          </w:p>
          <w:p w14:paraId="38694397" w14:textId="29361171" w:rsidR="003249B7" w:rsidRDefault="003249B7" w:rsidP="003249B7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fortsatte behandlingen av motioner om handelspolitik.</w:t>
            </w:r>
          </w:p>
          <w:p w14:paraId="22E6FDA1" w14:textId="3952B812" w:rsidR="003249B7" w:rsidRPr="00902BAF" w:rsidRDefault="003249B7" w:rsidP="003249B7">
            <w:pPr>
              <w:tabs>
                <w:tab w:val="left" w:pos="1701"/>
              </w:tabs>
              <w:rPr>
                <w:rStyle w:val="bold"/>
                <w:b/>
              </w:rPr>
            </w:pPr>
            <w:r>
              <w:rPr>
                <w:color w:val="222222"/>
              </w:rPr>
              <w:t>Ärendet bordlades.</w:t>
            </w:r>
            <w:r>
              <w:rPr>
                <w:color w:val="222222"/>
              </w:rPr>
              <w:br/>
            </w:r>
          </w:p>
        </w:tc>
      </w:tr>
      <w:tr w:rsidR="003249B7" w:rsidRPr="00A25DBE" w14:paraId="67F922D3" w14:textId="77777777" w:rsidTr="00823B30">
        <w:trPr>
          <w:trHeight w:val="919"/>
        </w:trPr>
        <w:tc>
          <w:tcPr>
            <w:tcW w:w="567" w:type="dxa"/>
          </w:tcPr>
          <w:p w14:paraId="6596BB59" w14:textId="4D3EFBF1" w:rsidR="003249B7" w:rsidRDefault="003249B7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1D87B233" w14:textId="77777777" w:rsidR="003249B7" w:rsidRDefault="003249B7" w:rsidP="003249B7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Regional utvecklingspolitik (NU14)</w:t>
            </w:r>
          </w:p>
          <w:p w14:paraId="79CC0945" w14:textId="4FE0E1AA" w:rsidR="003249B7" w:rsidRPr="009D0E39" w:rsidRDefault="003249B7" w:rsidP="003249B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motioner om regional utvecklingspolitik.</w:t>
            </w:r>
          </w:p>
          <w:p w14:paraId="238C857E" w14:textId="77777777" w:rsidR="003249B7" w:rsidRPr="009D0E39" w:rsidRDefault="003249B7" w:rsidP="003249B7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0E9FC20" w14:textId="77777777" w:rsidR="003249B7" w:rsidRDefault="003249B7" w:rsidP="003249B7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629E24DD" w14:textId="77777777" w:rsidR="003249B7" w:rsidRPr="00902BAF" w:rsidRDefault="003249B7" w:rsidP="000B5F32">
            <w:pPr>
              <w:tabs>
                <w:tab w:val="left" w:pos="1701"/>
              </w:tabs>
              <w:rPr>
                <w:rStyle w:val="bold"/>
                <w:b/>
              </w:rPr>
            </w:pPr>
          </w:p>
        </w:tc>
      </w:tr>
      <w:tr w:rsidR="000B5F32" w:rsidRPr="00A25DBE" w14:paraId="710B6056" w14:textId="77777777" w:rsidTr="00823B30">
        <w:trPr>
          <w:trHeight w:val="919"/>
        </w:trPr>
        <w:tc>
          <w:tcPr>
            <w:tcW w:w="567" w:type="dxa"/>
          </w:tcPr>
          <w:p w14:paraId="20550BA6" w14:textId="29E48C6D" w:rsidR="000B5F32" w:rsidRDefault="000B5F3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49B7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5D775BD6" w14:textId="46B54CF6" w:rsidR="000B5F32" w:rsidRPr="009D0E39" w:rsidRDefault="003249B7" w:rsidP="000B5F3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rStyle w:val="bold"/>
                <w:b/>
              </w:rPr>
              <w:t>Mineralpolitik</w:t>
            </w:r>
            <w:r w:rsidR="000B5F32" w:rsidRPr="00902BAF">
              <w:rPr>
                <w:rStyle w:val="bold"/>
                <w:b/>
              </w:rPr>
              <w:t xml:space="preserve"> (NU</w:t>
            </w:r>
            <w:r w:rsidR="000B5F32">
              <w:rPr>
                <w:rStyle w:val="bold"/>
                <w:b/>
              </w:rPr>
              <w:t>1</w:t>
            </w:r>
            <w:r>
              <w:rPr>
                <w:rStyle w:val="bold"/>
                <w:b/>
              </w:rPr>
              <w:t>8</w:t>
            </w:r>
            <w:r w:rsidR="000B5F32" w:rsidRPr="00902BAF">
              <w:rPr>
                <w:rStyle w:val="bold"/>
                <w:b/>
              </w:rPr>
              <w:t>)</w:t>
            </w:r>
            <w:r w:rsidR="000B5F32" w:rsidRPr="00902BAF">
              <w:rPr>
                <w:b/>
                <w:color w:val="222222"/>
              </w:rPr>
              <w:br/>
            </w:r>
            <w:r w:rsidR="000B5F32" w:rsidRPr="0077059F">
              <w:rPr>
                <w:color w:val="222222"/>
              </w:rPr>
              <w:br/>
            </w:r>
            <w:r w:rsidR="000B5F32" w:rsidRPr="009D0E39">
              <w:rPr>
                <w:snapToGrid w:val="0"/>
                <w:szCs w:val="20"/>
              </w:rPr>
              <w:t xml:space="preserve">Utskottet behandlade </w:t>
            </w:r>
            <w:r w:rsidR="000B5F32">
              <w:rPr>
                <w:snapToGrid w:val="0"/>
                <w:szCs w:val="20"/>
              </w:rPr>
              <w:t>motioner</w:t>
            </w:r>
            <w:r w:rsidR="000B5F32" w:rsidRPr="009D0E39">
              <w:rPr>
                <w:snapToGrid w:val="0"/>
                <w:szCs w:val="20"/>
              </w:rPr>
              <w:t xml:space="preserve"> </w:t>
            </w:r>
            <w:r w:rsidR="000B5F32">
              <w:rPr>
                <w:snapToGrid w:val="0"/>
                <w:szCs w:val="20"/>
              </w:rPr>
              <w:t xml:space="preserve">om </w:t>
            </w:r>
            <w:proofErr w:type="spellStart"/>
            <w:r>
              <w:rPr>
                <w:snapToGrid w:val="0"/>
                <w:szCs w:val="20"/>
              </w:rPr>
              <w:t>mineralpolitik</w:t>
            </w:r>
            <w:proofErr w:type="spellEnd"/>
            <w:r w:rsidR="000B5F32">
              <w:rPr>
                <w:snapToGrid w:val="0"/>
                <w:szCs w:val="20"/>
              </w:rPr>
              <w:t>.</w:t>
            </w:r>
          </w:p>
          <w:p w14:paraId="470B13C2" w14:textId="77777777" w:rsidR="000B5F32" w:rsidRPr="009D0E39" w:rsidRDefault="000B5F32" w:rsidP="000B5F32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9ACB0E6" w14:textId="0F01CC5A" w:rsidR="000B5F32" w:rsidRPr="006E7CB3" w:rsidRDefault="000B5F32" w:rsidP="000B5F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061C55" w:rsidRPr="00A25DBE" w14:paraId="0CAA6C8F" w14:textId="77777777" w:rsidTr="00823B30">
        <w:trPr>
          <w:trHeight w:val="919"/>
        </w:trPr>
        <w:tc>
          <w:tcPr>
            <w:tcW w:w="567" w:type="dxa"/>
          </w:tcPr>
          <w:p w14:paraId="0BBD2A70" w14:textId="200AB4A3" w:rsidR="00061C55" w:rsidRDefault="00061C5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564B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36B1E4C2" w14:textId="77777777" w:rsidR="00061C55" w:rsidRPr="001210A1" w:rsidRDefault="00061C55" w:rsidP="00061C55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7311CB1F" w14:textId="61A1BE5E" w:rsidR="00061C55" w:rsidRDefault="00061C55" w:rsidP="00061C5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0153B8" w:rsidRPr="00A25DBE" w14:paraId="447FEDE5" w14:textId="77777777" w:rsidTr="00823B30">
        <w:trPr>
          <w:trHeight w:val="919"/>
        </w:trPr>
        <w:tc>
          <w:tcPr>
            <w:tcW w:w="567" w:type="dxa"/>
          </w:tcPr>
          <w:p w14:paraId="73E5A000" w14:textId="1587BD7F" w:rsidR="000153B8" w:rsidRDefault="000153B8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60FEEB52" w14:textId="730D0C1B" w:rsidR="000153B8" w:rsidRPr="000153B8" w:rsidRDefault="000153B8" w:rsidP="00061C55">
            <w:pPr>
              <w:spacing w:after="100" w:afterAutospacing="1"/>
              <w:rPr>
                <w:color w:val="222222"/>
              </w:rPr>
            </w:pPr>
            <w:r>
              <w:rPr>
                <w:b/>
                <w:color w:val="222222"/>
              </w:rPr>
              <w:t>Utskottets ärendeplan våren 2021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 w:rsidRPr="000153B8">
              <w:rPr>
                <w:color w:val="222222"/>
              </w:rPr>
              <w:t>Kanslichefen informerade om utskottets ärendeplan för våren 2021.</w:t>
            </w:r>
          </w:p>
          <w:p w14:paraId="4B3828BE" w14:textId="3895AC47" w:rsidR="000153B8" w:rsidRPr="001210A1" w:rsidRDefault="000153B8" w:rsidP="00061C55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4959455E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153B8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09E4B466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F32420">
              <w:rPr>
                <w:bCs/>
                <w:snapToGrid w:val="0"/>
              </w:rPr>
              <w:t>t</w:t>
            </w:r>
            <w:r w:rsidR="0022564B">
              <w:rPr>
                <w:bCs/>
                <w:snapToGrid w:val="0"/>
              </w:rPr>
              <w:t>is</w:t>
            </w:r>
            <w:r w:rsidR="0032171A">
              <w:rPr>
                <w:bCs/>
                <w:snapToGrid w:val="0"/>
              </w:rPr>
              <w:t>dag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3249B7">
              <w:rPr>
                <w:color w:val="000000"/>
              </w:rPr>
              <w:t>9</w:t>
            </w:r>
            <w:r w:rsidR="0056490E">
              <w:rPr>
                <w:color w:val="000000"/>
              </w:rPr>
              <w:t xml:space="preserve"> </w:t>
            </w:r>
            <w:r w:rsidR="000B5F32">
              <w:rPr>
                <w:color w:val="000000"/>
              </w:rPr>
              <w:t>februa</w:t>
            </w:r>
            <w:r w:rsidR="00061C55">
              <w:rPr>
                <w:color w:val="000000"/>
              </w:rPr>
              <w:t>ri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22564B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060948FF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249B7">
              <w:t>9</w:t>
            </w:r>
            <w:r w:rsidR="00061C55">
              <w:t xml:space="preserve"> februari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13B47484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615183BB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22564B">
              <w:rPr>
                <w:rFonts w:ascii="Times New Roman" w:hAnsi="Times New Roman"/>
                <w:sz w:val="20"/>
                <w:szCs w:val="20"/>
              </w:rPr>
              <w:t>–</w:t>
            </w:r>
            <w:r w:rsidR="00A567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2DF8554C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1D231FA5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5–</w:t>
            </w:r>
            <w:r w:rsidR="000153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2E16CFAC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14FBBCA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36A26379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03F2AAD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2AE40276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ECEF6C5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6254EBD6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083F26B0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34DDA6EE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6EE86B66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9BBDBCA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3659B740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656D0F27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2D099BB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36EBDAE1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2AD7F455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23EB48F9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1138C561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39C531CD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145B5153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49F8D355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5D1465E7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0E4BA0F7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69D04D73" w:rsidR="001527D1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272B14F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066AE5F9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38325B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0A15D911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4E052473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41F0B762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03352A16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365422F3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4AB7FAD9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299C375B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54CD8F94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F1F4548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69045BBA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D0A0FA8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DB18498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673FCBDB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360799A4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5E387FDA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157C6FDF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5C9DFAEC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E7E992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5A2AFED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3487D6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388DB6B9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61DC7349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3B0217A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5AD179D6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613F96FA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070114D3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4BBC3383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5F8FDE65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4F888B6A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76FBD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7CCD0B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3BAFF1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0E10F386" w:rsidR="002D58E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20E7CBE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44593427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E12E24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3B5B015F" w:rsidR="002770CB" w:rsidRPr="0012669A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D539FE9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2D32A36C" w:rsidR="002770CB" w:rsidRPr="0012669A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32CE250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F60177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372707B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7ABCC6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28D833D" w:rsidR="0032557B" w:rsidRPr="00BE0F75" w:rsidRDefault="008C0542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D505B00" w:rsidR="0032557B" w:rsidRPr="00BE0F75" w:rsidRDefault="00A5677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7C2A719A" w:rsidR="0032557B" w:rsidRPr="00BE0F75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0AB42541" w:rsidR="0032557B" w:rsidRPr="00BE0F75" w:rsidRDefault="00A5677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53D" w:rsidRPr="0088453D" w14:paraId="0B3E0F3F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4285C57D" w14:textId="7F7A3C52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88453D">
              <w:rPr>
                <w:rFonts w:ascii="Times New Roman" w:hAnsi="Times New Roman"/>
                <w:sz w:val="20"/>
                <w:szCs w:val="20"/>
              </w:rPr>
              <w:t>Hannes Hervieu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F618B0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1DEE55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4CF6EA" w14:textId="2ABEFFA5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A94625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AF5032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4871057" w14:textId="6231C77D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C8AA848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66A15B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48F9A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49F1E9E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76652C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82DC7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651575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916E36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1193AE7" w14:textId="6DF0F4C2" w:rsidR="003249B7" w:rsidRDefault="003249B7" w:rsidP="00886ACD">
      <w:pPr>
        <w:tabs>
          <w:tab w:val="left" w:pos="1701"/>
        </w:tabs>
      </w:pPr>
    </w:p>
    <w:sectPr w:rsidR="003249B7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A966C" w14:textId="77777777" w:rsidR="0008637D" w:rsidRDefault="0008637D" w:rsidP="002130F1">
      <w:r>
        <w:separator/>
      </w:r>
    </w:p>
  </w:endnote>
  <w:endnote w:type="continuationSeparator" w:id="0">
    <w:p w14:paraId="450BD28B" w14:textId="77777777" w:rsidR="0008637D" w:rsidRDefault="0008637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8F544" w14:textId="77777777" w:rsidR="0008637D" w:rsidRDefault="0008637D" w:rsidP="002130F1">
      <w:r>
        <w:separator/>
      </w:r>
    </w:p>
  </w:footnote>
  <w:footnote w:type="continuationSeparator" w:id="0">
    <w:p w14:paraId="694A724D" w14:textId="77777777" w:rsidR="0008637D" w:rsidRDefault="0008637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16C5"/>
    <w:rsid w:val="00084B36"/>
    <w:rsid w:val="0008637D"/>
    <w:rsid w:val="000915AB"/>
    <w:rsid w:val="00092337"/>
    <w:rsid w:val="000A052E"/>
    <w:rsid w:val="000A094B"/>
    <w:rsid w:val="000A13C3"/>
    <w:rsid w:val="000A5556"/>
    <w:rsid w:val="000A6372"/>
    <w:rsid w:val="000B00FE"/>
    <w:rsid w:val="000B1280"/>
    <w:rsid w:val="000B13DA"/>
    <w:rsid w:val="000B2260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C5E"/>
    <w:rsid w:val="00145F5A"/>
    <w:rsid w:val="001460BD"/>
    <w:rsid w:val="00147035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30F1"/>
    <w:rsid w:val="00214B29"/>
    <w:rsid w:val="00216B48"/>
    <w:rsid w:val="00216C89"/>
    <w:rsid w:val="00216E89"/>
    <w:rsid w:val="00222D1D"/>
    <w:rsid w:val="00224578"/>
    <w:rsid w:val="0022564B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83280"/>
    <w:rsid w:val="00384E0C"/>
    <w:rsid w:val="00391552"/>
    <w:rsid w:val="00395D3B"/>
    <w:rsid w:val="003977B2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4CA2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483C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9CA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5502"/>
    <w:rsid w:val="00886ACD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542"/>
    <w:rsid w:val="008C0B0C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01AB"/>
    <w:rsid w:val="009425AD"/>
    <w:rsid w:val="009435A4"/>
    <w:rsid w:val="00944EFE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0D58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1E52"/>
    <w:rsid w:val="00C53816"/>
    <w:rsid w:val="00C565ED"/>
    <w:rsid w:val="00C569E6"/>
    <w:rsid w:val="00C56F1D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235F"/>
    <w:rsid w:val="00F2241D"/>
    <w:rsid w:val="00F23E4E"/>
    <w:rsid w:val="00F24D8E"/>
    <w:rsid w:val="00F2577B"/>
    <w:rsid w:val="00F26BFF"/>
    <w:rsid w:val="00F2706A"/>
    <w:rsid w:val="00F30136"/>
    <w:rsid w:val="00F32420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E7E2D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A9B6-B973-43AC-8690-E157E743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4189</Characters>
  <Application>Microsoft Office Word</Application>
  <DocSecurity>4</DocSecurity>
  <Lines>1396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2021-01-26T13:52:00Z</cp:lastPrinted>
  <dcterms:created xsi:type="dcterms:W3CDTF">2021-03-10T15:24:00Z</dcterms:created>
  <dcterms:modified xsi:type="dcterms:W3CDTF">2021-03-10T15:24:00Z</dcterms:modified>
</cp:coreProperties>
</file>