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5F0E00" w:rsidTr="00CD7FE6">
        <w:tc>
          <w:tcPr>
            <w:tcW w:w="2268" w:type="dxa"/>
          </w:tcPr>
          <w:p w:rsidR="005F0E00" w:rsidRDefault="005F0E00" w:rsidP="007242A3">
            <w:pPr>
              <w:framePr w:w="5035" w:h="1644" w:wrap="notBeside" w:vAnchor="page" w:hAnchor="page" w:x="6573" w:y="721"/>
              <w:rPr>
                <w:rFonts w:ascii="TradeGothic" w:hAnsi="TradeGothic"/>
                <w:i/>
                <w:sz w:val="18"/>
              </w:rPr>
            </w:pPr>
          </w:p>
        </w:tc>
        <w:tc>
          <w:tcPr>
            <w:tcW w:w="2999" w:type="dxa"/>
            <w:gridSpan w:val="2"/>
          </w:tcPr>
          <w:p w:rsidR="005F0E00" w:rsidRPr="00AA705B" w:rsidRDefault="005F0E00" w:rsidP="007242A3">
            <w:pPr>
              <w:framePr w:w="5035" w:h="1644" w:wrap="notBeside" w:vAnchor="page" w:hAnchor="page" w:x="6573" w:y="721"/>
              <w:rPr>
                <w:rFonts w:ascii="Times New Roman" w:hAnsi="Times New Roman"/>
                <w:szCs w:val="24"/>
              </w:rPr>
            </w:pPr>
          </w:p>
        </w:tc>
      </w:tr>
      <w:tr w:rsidR="005F0E00" w:rsidTr="00CD7FE6">
        <w:tc>
          <w:tcPr>
            <w:tcW w:w="5267" w:type="dxa"/>
            <w:gridSpan w:val="3"/>
          </w:tcPr>
          <w:p w:rsidR="005F0E00" w:rsidRDefault="005F0E00" w:rsidP="007242A3">
            <w:pPr>
              <w:framePr w:w="5035" w:h="1644" w:wrap="notBeside" w:vAnchor="page" w:hAnchor="page" w:x="6573" w:y="721"/>
              <w:rPr>
                <w:rFonts w:ascii="TradeGothic" w:hAnsi="TradeGothic"/>
                <w:b/>
                <w:sz w:val="22"/>
              </w:rPr>
            </w:pPr>
            <w:r>
              <w:rPr>
                <w:rFonts w:ascii="TradeGothic" w:hAnsi="TradeGothic"/>
                <w:b/>
                <w:sz w:val="22"/>
              </w:rPr>
              <w:t xml:space="preserve">Rådspromemoria   </w:t>
            </w:r>
          </w:p>
        </w:tc>
      </w:tr>
      <w:tr w:rsidR="005F0E00" w:rsidTr="00CD7FE6">
        <w:tc>
          <w:tcPr>
            <w:tcW w:w="3402" w:type="dxa"/>
            <w:gridSpan w:val="2"/>
          </w:tcPr>
          <w:p w:rsidR="005F0E00" w:rsidRDefault="005F0E00" w:rsidP="007242A3">
            <w:pPr>
              <w:framePr w:w="5035" w:h="1644" w:wrap="notBeside" w:vAnchor="page" w:hAnchor="page" w:x="6573" w:y="721"/>
            </w:pPr>
          </w:p>
        </w:tc>
        <w:tc>
          <w:tcPr>
            <w:tcW w:w="1865" w:type="dxa"/>
          </w:tcPr>
          <w:p w:rsidR="005F0E00" w:rsidRDefault="005F0E00" w:rsidP="007242A3">
            <w:pPr>
              <w:framePr w:w="5035" w:h="1644" w:wrap="notBeside" w:vAnchor="page" w:hAnchor="page" w:x="6573" w:y="721"/>
            </w:pPr>
          </w:p>
        </w:tc>
      </w:tr>
      <w:tr w:rsidR="005F0E00" w:rsidTr="00CD7FE6">
        <w:tc>
          <w:tcPr>
            <w:tcW w:w="2268" w:type="dxa"/>
          </w:tcPr>
          <w:p w:rsidR="005F0E00" w:rsidRDefault="005F0E00" w:rsidP="0094070B">
            <w:pPr>
              <w:framePr w:w="5035" w:h="1644" w:wrap="notBeside" w:vAnchor="page" w:hAnchor="page" w:x="6573" w:y="721"/>
            </w:pPr>
            <w:r>
              <w:t>2013-02-25</w:t>
            </w:r>
            <w:bookmarkStart w:id="0" w:name="_GoBack"/>
            <w:bookmarkEnd w:id="0"/>
          </w:p>
        </w:tc>
        <w:tc>
          <w:tcPr>
            <w:tcW w:w="2999" w:type="dxa"/>
            <w:gridSpan w:val="2"/>
          </w:tcPr>
          <w:p w:rsidR="005F0E00" w:rsidRPr="00ED583F" w:rsidRDefault="005F0E00" w:rsidP="007242A3">
            <w:pPr>
              <w:framePr w:w="5035" w:h="1644" w:wrap="notBeside" w:vAnchor="page" w:hAnchor="page" w:x="6573" w:y="721"/>
              <w:rPr>
                <w:sz w:val="20"/>
              </w:rPr>
            </w:pPr>
          </w:p>
        </w:tc>
      </w:tr>
      <w:tr w:rsidR="005F0E00" w:rsidTr="00CD7FE6">
        <w:tc>
          <w:tcPr>
            <w:tcW w:w="2268" w:type="dxa"/>
          </w:tcPr>
          <w:p w:rsidR="005F0E00" w:rsidRDefault="005F0E00" w:rsidP="007242A3">
            <w:pPr>
              <w:framePr w:w="5035" w:h="1644" w:wrap="notBeside" w:vAnchor="page" w:hAnchor="page" w:x="6573" w:y="721"/>
            </w:pPr>
          </w:p>
        </w:tc>
        <w:tc>
          <w:tcPr>
            <w:tcW w:w="2999" w:type="dxa"/>
            <w:gridSpan w:val="2"/>
          </w:tcPr>
          <w:p w:rsidR="005F0E00" w:rsidRDefault="005F0E00" w:rsidP="007242A3">
            <w:pPr>
              <w:framePr w:w="5035" w:h="1644" w:wrap="notBeside" w:vAnchor="page" w:hAnchor="page" w:x="6573" w:y="721"/>
            </w:pPr>
          </w:p>
        </w:tc>
      </w:tr>
    </w:tbl>
    <w:p w:rsidR="005F0E00" w:rsidRPr="00C43B4A" w:rsidRDefault="005F0E00" w:rsidP="00C43B4A">
      <w:pPr>
        <w:rPr>
          <w:vanish/>
        </w:rPr>
      </w:pPr>
    </w:p>
    <w:tbl>
      <w:tblPr>
        <w:tblW w:w="0" w:type="auto"/>
        <w:tblLayout w:type="fixed"/>
        <w:tblLook w:val="0000"/>
      </w:tblPr>
      <w:tblGrid>
        <w:gridCol w:w="4911"/>
      </w:tblGrid>
      <w:tr w:rsidR="005F0E00">
        <w:trPr>
          <w:trHeight w:val="284"/>
        </w:trPr>
        <w:tc>
          <w:tcPr>
            <w:tcW w:w="4911" w:type="dxa"/>
          </w:tcPr>
          <w:p w:rsidR="005F0E00" w:rsidRDefault="005F0E00">
            <w:pPr>
              <w:pStyle w:val="Avsndare"/>
              <w:framePr w:h="2483" w:wrap="notBeside" w:x="1504"/>
              <w:rPr>
                <w:b/>
                <w:i w:val="0"/>
                <w:sz w:val="22"/>
              </w:rPr>
            </w:pPr>
            <w:r>
              <w:rPr>
                <w:b/>
                <w:i w:val="0"/>
                <w:sz w:val="22"/>
              </w:rPr>
              <w:t>Justitiedepartementet</w:t>
            </w:r>
          </w:p>
        </w:tc>
      </w:tr>
      <w:tr w:rsidR="005F0E00">
        <w:trPr>
          <w:trHeight w:val="284"/>
        </w:trPr>
        <w:tc>
          <w:tcPr>
            <w:tcW w:w="4911" w:type="dxa"/>
          </w:tcPr>
          <w:p w:rsidR="005F0E00" w:rsidRDefault="005F0E00">
            <w:pPr>
              <w:pStyle w:val="Avsndare"/>
              <w:framePr w:h="2483" w:wrap="notBeside" w:x="1504"/>
              <w:rPr>
                <w:bCs/>
                <w:iCs/>
              </w:rPr>
            </w:pPr>
          </w:p>
        </w:tc>
      </w:tr>
      <w:tr w:rsidR="005F0E00">
        <w:trPr>
          <w:trHeight w:val="284"/>
        </w:trPr>
        <w:tc>
          <w:tcPr>
            <w:tcW w:w="4911" w:type="dxa"/>
          </w:tcPr>
          <w:p w:rsidR="005F0E00" w:rsidRDefault="005F0E00" w:rsidP="006A0F4C">
            <w:pPr>
              <w:pStyle w:val="Avsndare"/>
              <w:framePr w:h="2483" w:wrap="notBeside" w:x="1504"/>
              <w:rPr>
                <w:bCs/>
                <w:iCs/>
              </w:rPr>
            </w:pPr>
            <w:r>
              <w:rPr>
                <w:bCs/>
                <w:iCs/>
              </w:rPr>
              <w:t>Polisenheten</w:t>
            </w:r>
          </w:p>
        </w:tc>
      </w:tr>
      <w:tr w:rsidR="005F0E00">
        <w:trPr>
          <w:trHeight w:val="284"/>
        </w:trPr>
        <w:tc>
          <w:tcPr>
            <w:tcW w:w="4911" w:type="dxa"/>
          </w:tcPr>
          <w:p w:rsidR="005F0E00" w:rsidRDefault="005F0E00">
            <w:pPr>
              <w:pStyle w:val="Avsndare"/>
              <w:framePr w:h="2483" w:wrap="notBeside" w:x="1504"/>
              <w:rPr>
                <w:bCs/>
                <w:iCs/>
              </w:rPr>
            </w:pPr>
          </w:p>
        </w:tc>
      </w:tr>
      <w:tr w:rsidR="005F0E00">
        <w:trPr>
          <w:trHeight w:val="284"/>
        </w:trPr>
        <w:tc>
          <w:tcPr>
            <w:tcW w:w="4911" w:type="dxa"/>
          </w:tcPr>
          <w:p w:rsidR="005F0E00" w:rsidRDefault="005F0E00">
            <w:pPr>
              <w:pStyle w:val="Avsndare"/>
              <w:framePr w:h="2483" w:wrap="notBeside" w:x="1504"/>
              <w:rPr>
                <w:bCs/>
                <w:iCs/>
              </w:rPr>
            </w:pPr>
          </w:p>
        </w:tc>
      </w:tr>
      <w:tr w:rsidR="005F0E00">
        <w:trPr>
          <w:trHeight w:val="284"/>
        </w:trPr>
        <w:tc>
          <w:tcPr>
            <w:tcW w:w="4911" w:type="dxa"/>
          </w:tcPr>
          <w:p w:rsidR="005F0E00" w:rsidRDefault="005F0E00">
            <w:pPr>
              <w:pStyle w:val="Avsndare"/>
              <w:framePr w:h="2483" w:wrap="notBeside" w:x="1504"/>
              <w:rPr>
                <w:bCs/>
                <w:iCs/>
              </w:rPr>
            </w:pPr>
          </w:p>
        </w:tc>
      </w:tr>
      <w:tr w:rsidR="005F0E00">
        <w:trPr>
          <w:trHeight w:val="284"/>
        </w:trPr>
        <w:tc>
          <w:tcPr>
            <w:tcW w:w="4911" w:type="dxa"/>
          </w:tcPr>
          <w:p w:rsidR="005F0E00" w:rsidRDefault="005F0E00">
            <w:pPr>
              <w:pStyle w:val="Avsndare"/>
              <w:framePr w:h="2483" w:wrap="notBeside" w:x="1504"/>
              <w:rPr>
                <w:bCs/>
                <w:iCs/>
              </w:rPr>
            </w:pPr>
          </w:p>
        </w:tc>
      </w:tr>
      <w:tr w:rsidR="005F0E00">
        <w:trPr>
          <w:trHeight w:val="284"/>
        </w:trPr>
        <w:tc>
          <w:tcPr>
            <w:tcW w:w="4911" w:type="dxa"/>
          </w:tcPr>
          <w:p w:rsidR="005F0E00" w:rsidRDefault="005F0E00">
            <w:pPr>
              <w:pStyle w:val="Avsndare"/>
              <w:framePr w:h="2483" w:wrap="notBeside" w:x="1504"/>
              <w:rPr>
                <w:bCs/>
                <w:iCs/>
              </w:rPr>
            </w:pPr>
          </w:p>
        </w:tc>
      </w:tr>
      <w:tr w:rsidR="005F0E00">
        <w:trPr>
          <w:trHeight w:val="284"/>
        </w:trPr>
        <w:tc>
          <w:tcPr>
            <w:tcW w:w="4911" w:type="dxa"/>
          </w:tcPr>
          <w:p w:rsidR="005F0E00" w:rsidRDefault="005F0E00">
            <w:pPr>
              <w:pStyle w:val="Avsndare"/>
              <w:framePr w:h="2483" w:wrap="notBeside" w:x="1504"/>
              <w:rPr>
                <w:bCs/>
                <w:iCs/>
              </w:rPr>
            </w:pPr>
          </w:p>
        </w:tc>
      </w:tr>
    </w:tbl>
    <w:p w:rsidR="005F0E00" w:rsidRPr="00CD7FE6" w:rsidRDefault="005F0E00">
      <w:pPr>
        <w:framePr w:w="4400" w:h="2523" w:wrap="notBeside" w:vAnchor="page" w:hAnchor="page" w:x="6453" w:y="2445"/>
        <w:ind w:left="142"/>
        <w:rPr>
          <w:b/>
        </w:rPr>
      </w:pPr>
    </w:p>
    <w:p w:rsidR="005F0E00" w:rsidRDefault="005F0E00">
      <w:pPr>
        <w:pStyle w:val="RKrubrik"/>
        <w:pBdr>
          <w:bottom w:val="single" w:sz="6" w:space="1" w:color="auto"/>
        </w:pBdr>
      </w:pPr>
      <w:bookmarkStart w:id="1" w:name="bRubrik"/>
      <w:bookmarkEnd w:id="1"/>
      <w:r>
        <w:t>Rådets möte (rättsliga och inrikes frågor) den 7-8 mars 2013</w:t>
      </w:r>
    </w:p>
    <w:p w:rsidR="005F0E00" w:rsidRDefault="005F0E00">
      <w:pPr>
        <w:pStyle w:val="RKnormal"/>
      </w:pPr>
    </w:p>
    <w:p w:rsidR="005F0E00" w:rsidRDefault="005F0E00">
      <w:pPr>
        <w:pStyle w:val="RKnormal"/>
      </w:pPr>
      <w:r>
        <w:rPr>
          <w:b/>
        </w:rPr>
        <w:t xml:space="preserve">Rådets dagordning: </w:t>
      </w:r>
      <w:r w:rsidRPr="00530014">
        <w:t>Dagordningspunkt</w:t>
      </w:r>
      <w:r>
        <w:t>erna 3 och 10</w:t>
      </w:r>
    </w:p>
    <w:p w:rsidR="005F0E00" w:rsidRDefault="005F0E00">
      <w:pPr>
        <w:pStyle w:val="RKnormal"/>
      </w:pPr>
      <w:r w:rsidRPr="002763F9">
        <w:rPr>
          <w:b/>
        </w:rPr>
        <w:t>Gemensamma kommittén</w:t>
      </w:r>
      <w:r>
        <w:t>: Dagordningspunkt 3</w:t>
      </w:r>
    </w:p>
    <w:p w:rsidR="005F0E00" w:rsidRDefault="005F0E00">
      <w:pPr>
        <w:pStyle w:val="RKnormal"/>
      </w:pPr>
    </w:p>
    <w:p w:rsidR="005F0E00" w:rsidRDefault="005F0E00" w:rsidP="006A0F4C">
      <w:pPr>
        <w:pStyle w:val="RKnormal"/>
      </w:pPr>
      <w:r w:rsidRPr="0094796E">
        <w:rPr>
          <w:b/>
        </w:rPr>
        <w:t>Rubrik:</w:t>
      </w:r>
      <w:r>
        <w:t xml:space="preserve"> Ändringar i Schengens gränskodex, Schengenutvärderingsmekanismen, Schengenförvaltning</w:t>
      </w:r>
    </w:p>
    <w:p w:rsidR="005F0E00" w:rsidRDefault="005F0E00" w:rsidP="006A0F4C">
      <w:pPr>
        <w:pStyle w:val="RKnormal"/>
      </w:pPr>
    </w:p>
    <w:p w:rsidR="005F0E00" w:rsidRDefault="005F0E00" w:rsidP="009724B6">
      <w:pPr>
        <w:pStyle w:val="RKnormal"/>
      </w:pPr>
      <w:r>
        <w:t>Schengens gränskodex:</w:t>
      </w:r>
    </w:p>
    <w:p w:rsidR="005F0E00" w:rsidRDefault="005F0E00" w:rsidP="006A0F4C">
      <w:pPr>
        <w:pStyle w:val="RKnormal"/>
      </w:pPr>
      <w:r>
        <w:t>Förslag till Europaparlamentets och rådets förordning om ändring av förordning (EG) nr 562/2006 i syfte att införa gemensamma regler för tillfälligt återinförande av gränskontroller vid de inre gränserna vid exceptionella omständigheter.</w:t>
      </w:r>
    </w:p>
    <w:p w:rsidR="005F0E00" w:rsidRPr="0094796E" w:rsidRDefault="005F0E00" w:rsidP="006A0F4C">
      <w:pPr>
        <w:pStyle w:val="RKnormal"/>
        <w:rPr>
          <w:i/>
        </w:rPr>
      </w:pPr>
      <w:r w:rsidRPr="0094796E">
        <w:rPr>
          <w:i/>
        </w:rPr>
        <w:t xml:space="preserve">= Allmän inriktning </w:t>
      </w:r>
    </w:p>
    <w:p w:rsidR="005F0E00" w:rsidRDefault="005F0E00" w:rsidP="006A0F4C">
      <w:pPr>
        <w:pStyle w:val="RKnormal"/>
      </w:pPr>
    </w:p>
    <w:p w:rsidR="005F0E00" w:rsidRDefault="005F0E00" w:rsidP="009724B6">
      <w:pPr>
        <w:pStyle w:val="RKnormal"/>
      </w:pPr>
      <w:r>
        <w:t>Schengens Utvärderings- och övervakningsmekanism:</w:t>
      </w:r>
    </w:p>
    <w:p w:rsidR="005F0E00" w:rsidRDefault="005F0E00" w:rsidP="006A0F4C">
      <w:pPr>
        <w:pStyle w:val="RKnormal"/>
      </w:pPr>
      <w:r>
        <w:t xml:space="preserve">Omarbetat förslag till Europaparlamentets och rådets förordning om inrättandet av en utvärderings- och övervakningsmekanism avsedd att kontrollera tillämpningen av Schengenregelverket. </w:t>
      </w:r>
    </w:p>
    <w:p w:rsidR="005F0E00" w:rsidRPr="0094796E" w:rsidRDefault="005F0E00" w:rsidP="006A0F4C">
      <w:pPr>
        <w:pStyle w:val="RKnormal"/>
        <w:rPr>
          <w:i/>
        </w:rPr>
      </w:pPr>
      <w:r w:rsidRPr="0094796E">
        <w:rPr>
          <w:i/>
        </w:rPr>
        <w:t>= Allmän inrik</w:t>
      </w:r>
      <w:r>
        <w:rPr>
          <w:i/>
        </w:rPr>
        <w:t>t</w:t>
      </w:r>
      <w:r w:rsidRPr="0094796E">
        <w:rPr>
          <w:i/>
        </w:rPr>
        <w:t>ning</w:t>
      </w:r>
    </w:p>
    <w:p w:rsidR="005F0E00" w:rsidRDefault="005F0E00">
      <w:pPr>
        <w:pStyle w:val="RKnormal"/>
      </w:pPr>
    </w:p>
    <w:p w:rsidR="005F0E00" w:rsidRDefault="005F0E00">
      <w:pPr>
        <w:pStyle w:val="RKnormal"/>
      </w:pPr>
    </w:p>
    <w:p w:rsidR="005F0E00" w:rsidRDefault="005F0E00">
      <w:pPr>
        <w:pStyle w:val="RKnormal"/>
      </w:pPr>
      <w:r w:rsidRPr="0094796E">
        <w:rPr>
          <w:b/>
        </w:rPr>
        <w:t>Dokument:</w:t>
      </w:r>
      <w:r>
        <w:t xml:space="preserve"> Ännu inte distribuerade. </w:t>
      </w:r>
    </w:p>
    <w:p w:rsidR="005F0E00" w:rsidRDefault="005F0E00">
      <w:pPr>
        <w:pStyle w:val="RKnormal"/>
      </w:pPr>
    </w:p>
    <w:p w:rsidR="005F0E00" w:rsidRDefault="005F0E00" w:rsidP="0094070B">
      <w:pPr>
        <w:pStyle w:val="RKnormal"/>
      </w:pPr>
      <w:r w:rsidRPr="0094796E">
        <w:rPr>
          <w:b/>
        </w:rPr>
        <w:t>Tidigare dokument:</w:t>
      </w:r>
      <w:r>
        <w:t xml:space="preserve"> </w:t>
      </w:r>
    </w:p>
    <w:p w:rsidR="005F0E00" w:rsidRDefault="005F0E00" w:rsidP="0094070B">
      <w:pPr>
        <w:pStyle w:val="RKnormal"/>
      </w:pPr>
      <w:r>
        <w:t xml:space="preserve">- Faktapromemoria FPM 2011/12:19 </w:t>
      </w:r>
    </w:p>
    <w:p w:rsidR="005F0E00" w:rsidRPr="00530014" w:rsidRDefault="005F0E00" w:rsidP="0094070B">
      <w:pPr>
        <w:pStyle w:val="RKnormal"/>
        <w:rPr>
          <w:szCs w:val="24"/>
        </w:rPr>
      </w:pPr>
      <w:r>
        <w:t xml:space="preserve">­ 6161/12 REV 4 </w:t>
      </w:r>
      <w:r>
        <w:rPr>
          <w:iCs/>
          <w:szCs w:val="24"/>
        </w:rPr>
        <w:t xml:space="preserve">SCHENGEN 9 FRONT 15 SCH-EVAL 17 COMIX 83 CODEC </w:t>
      </w:r>
      <w:r w:rsidRPr="00530014">
        <w:rPr>
          <w:iCs/>
          <w:szCs w:val="24"/>
        </w:rPr>
        <w:t>292</w:t>
      </w:r>
    </w:p>
    <w:p w:rsidR="005F0E00" w:rsidRPr="00530014" w:rsidRDefault="005F0E00" w:rsidP="0094070B">
      <w:pPr>
        <w:pStyle w:val="RKnormal"/>
        <w:rPr>
          <w:rFonts w:cs="Calibri"/>
          <w:szCs w:val="24"/>
        </w:rPr>
      </w:pPr>
      <w:r>
        <w:t xml:space="preserve">­ 11846/12 </w:t>
      </w:r>
      <w:r>
        <w:rPr>
          <w:rFonts w:cs="Calibri"/>
          <w:iCs/>
          <w:szCs w:val="24"/>
        </w:rPr>
        <w:t xml:space="preserve">SCHENGEN 54 SCH-EVAL 94 FRONT 106 COMIX </w:t>
      </w:r>
      <w:r w:rsidRPr="00530014">
        <w:rPr>
          <w:rFonts w:cs="Calibri"/>
          <w:iCs/>
          <w:szCs w:val="24"/>
        </w:rPr>
        <w:t>405</w:t>
      </w:r>
    </w:p>
    <w:p w:rsidR="005F0E00" w:rsidRDefault="005F0E00">
      <w:pPr>
        <w:pStyle w:val="RKnormal"/>
      </w:pPr>
    </w:p>
    <w:p w:rsidR="005F0E00" w:rsidRDefault="005F0E00">
      <w:pPr>
        <w:pStyle w:val="RKnormal"/>
      </w:pPr>
      <w:r w:rsidRPr="0094796E">
        <w:rPr>
          <w:b/>
        </w:rPr>
        <w:t>Tidigare behandlad vid samråd med EU-nämnden:</w:t>
      </w:r>
      <w:r>
        <w:t xml:space="preserve"> I delar inför RIF-råden i juni 2012, mars 2012, december 2011.</w:t>
      </w:r>
    </w:p>
    <w:p w:rsidR="005F0E00" w:rsidRDefault="005F0E00">
      <w:pPr>
        <w:pStyle w:val="RKnormal"/>
      </w:pPr>
    </w:p>
    <w:p w:rsidR="005F0E00" w:rsidRDefault="005F0E00">
      <w:pPr>
        <w:pStyle w:val="RKnormal"/>
      </w:pPr>
      <w:r w:rsidRPr="0094796E">
        <w:rPr>
          <w:b/>
        </w:rPr>
        <w:t>Tidigare behandlad vid överläggning med eller information till riksdagsutskott:</w:t>
      </w:r>
      <w:r>
        <w:t xml:space="preserve"> Maj 2012, september 2012, februari 2013.</w:t>
      </w:r>
    </w:p>
    <w:p w:rsidR="005F0E00" w:rsidRDefault="005F0E00">
      <w:pPr>
        <w:pStyle w:val="RKrubrik"/>
      </w:pPr>
      <w:r>
        <w:t>Bakgrund</w:t>
      </w:r>
    </w:p>
    <w:p w:rsidR="005F0E00" w:rsidRDefault="005F0E00" w:rsidP="00002E7A">
      <w:pPr>
        <w:pStyle w:val="RKnormal"/>
      </w:pPr>
      <w:r>
        <w:t xml:space="preserve">Som en reaktion på ett antal Schengenrelaterade incidenter under framför allt våren 2011 uppmanade Europeiska rådet i juni 2011 kommissionen att presentera lagförslag om en förstärkt Schengenutvärderingsmekanism samt förordade att även styrningen av Schengenrelaterade frågor borde stärkas. </w:t>
      </w:r>
    </w:p>
    <w:p w:rsidR="005F0E00" w:rsidRDefault="005F0E00" w:rsidP="0094796E">
      <w:pPr>
        <w:pStyle w:val="RKnormal"/>
      </w:pPr>
    </w:p>
    <w:p w:rsidR="005F0E00" w:rsidRDefault="005F0E00" w:rsidP="00002E7A">
      <w:pPr>
        <w:pStyle w:val="RKnormal"/>
      </w:pPr>
      <w:r>
        <w:t xml:space="preserve">Kommissionen presenterade i september 2011 två lagförslag (Schengenpaketet). Förslagen utgjorde dels en ny reglering för Schengens utvärderingsmekanism, dels en förändring av delarna i Schengens gränskodex som reglerar när kontroller vid inre gränser (dvs. gränser mellan Schengenstater) kan och får återupprättas. </w:t>
      </w:r>
    </w:p>
    <w:p w:rsidR="005F0E00" w:rsidRDefault="005F0E00" w:rsidP="00002E7A">
      <w:pPr>
        <w:pStyle w:val="RKnormal"/>
      </w:pPr>
    </w:p>
    <w:p w:rsidR="005F0E00" w:rsidRDefault="005F0E00" w:rsidP="00660666">
      <w:pPr>
        <w:pStyle w:val="RKnormal"/>
      </w:pPr>
      <w:r>
        <w:t xml:space="preserve">Vid RIF-rådet i juni 2012 enades rådet om en kompromisstext för de fortsatta förhandlingarna med Europaparlamentet. Bl.a. beslutade rådet enhälligt att ändra den rättsliga grunden i den ena av rättsakterna (Schengenutvärderingsmekanismen). Som konsekvens av ändringen ska den ena av de två rättsakterna i paketet antas av rådet själv utan medbeslutande med Europaparlamentet. Den andra rättsakten antas enligt ordinarie beslutsförfarande. </w:t>
      </w:r>
    </w:p>
    <w:p w:rsidR="005F0E00" w:rsidRDefault="005F0E00" w:rsidP="00660666">
      <w:pPr>
        <w:pStyle w:val="RKnormal"/>
      </w:pPr>
    </w:p>
    <w:p w:rsidR="005F0E00" w:rsidRDefault="005F0E00" w:rsidP="00660666">
      <w:pPr>
        <w:pStyle w:val="RKnormal"/>
      </w:pPr>
      <w:r>
        <w:t xml:space="preserve">Sedan juni har informella trilogförhandlingar förts mellan Europaparlamentet, kommissionen och ordförandeskapet. Inför julen 2012 gjordes ett försök att nå en kompromiss men lyckades inte. Det är oklart hur långt ifrån parterna står varandra idag eftersom endast knapphändig information spridits om utestående förhandlingspunkter. Vad som synes stå klart är att vare sig Europaparlamentet eller kommissionen är helt nöjda med den roll dessa institutioner får i rådets kompromissförslag. Ett till synes starkt krav från Europaparlamentet är att man bygger in en så kallad ”sammanlänkningsklausul” (”linking clause”) mellan instrumenten för att skapa en paketlösning. På så sätt kan Europaparlamentet få försäkringar mot att rådet på egen hand ändrar i den av de två rättsakterna där Europaparlamentet inte är medbeslutande. </w:t>
      </w:r>
    </w:p>
    <w:p w:rsidR="005F0E00" w:rsidRDefault="005F0E00" w:rsidP="00660666">
      <w:pPr>
        <w:pStyle w:val="RKnormal"/>
      </w:pPr>
    </w:p>
    <w:p w:rsidR="005F0E00" w:rsidRDefault="005F0E00" w:rsidP="00660666">
      <w:pPr>
        <w:pStyle w:val="RKnormal"/>
      </w:pPr>
      <w:r>
        <w:t xml:space="preserve">Något förslag att ta ställning för inför rådsmötet den 7-8 mars har ännu inte presenterats varför detaljerna i en eventuell kompromiss fortfarande är okända. </w:t>
      </w:r>
    </w:p>
    <w:p w:rsidR="005F0E00" w:rsidRDefault="005F0E00" w:rsidP="00356455">
      <w:pPr>
        <w:pStyle w:val="RKnormal"/>
      </w:pPr>
    </w:p>
    <w:p w:rsidR="005F0E00" w:rsidRDefault="005F0E00">
      <w:pPr>
        <w:pStyle w:val="RKrubrik"/>
      </w:pPr>
      <w:r>
        <w:t>Rättslig grund och beslutsförfarande</w:t>
      </w:r>
    </w:p>
    <w:p w:rsidR="005F0E00" w:rsidRDefault="005F0E00" w:rsidP="000661C6">
      <w:pPr>
        <w:pStyle w:val="RKnormal"/>
      </w:pPr>
      <w:r>
        <w:t>Enligt de av rådet antagna kompromissförslagen (som skiljer sig från kommissionens ursprungsförslag):</w:t>
      </w:r>
    </w:p>
    <w:p w:rsidR="005F0E00" w:rsidRDefault="005F0E00" w:rsidP="000661C6">
      <w:pPr>
        <w:pStyle w:val="RKnormal"/>
        <w:numPr>
          <w:ilvl w:val="0"/>
          <w:numId w:val="6"/>
        </w:numPr>
        <w:tabs>
          <w:tab w:val="left" w:pos="709"/>
        </w:tabs>
      </w:pPr>
      <w:r>
        <w:t>Utvärderingsmekanismen – rättslig grund artikel 70 TFEU. Beslut fattas av rådet med kvalificerad majoritet.</w:t>
      </w:r>
    </w:p>
    <w:p w:rsidR="005F0E00" w:rsidRDefault="005F0E00" w:rsidP="000661C6">
      <w:pPr>
        <w:pStyle w:val="RKnormal"/>
        <w:numPr>
          <w:ilvl w:val="0"/>
          <w:numId w:val="6"/>
        </w:numPr>
        <w:tabs>
          <w:tab w:val="left" w:pos="709"/>
        </w:tabs>
      </w:pPr>
      <w:r>
        <w:t xml:space="preserve">Ändringar i Schengens gränskodex – artikel </w:t>
      </w:r>
      <w:r w:rsidRPr="00AA705B">
        <w:rPr>
          <w:noProof/>
        </w:rPr>
        <w:t xml:space="preserve">Article 77 TFEU. </w:t>
      </w:r>
      <w:r>
        <w:rPr>
          <w:noProof/>
          <w:lang w:val="en-GB"/>
        </w:rPr>
        <w:t>Ordinarie beslutsförfarande.</w:t>
      </w:r>
      <w:r>
        <w:t xml:space="preserve"> </w:t>
      </w:r>
    </w:p>
    <w:p w:rsidR="005F0E00" w:rsidRDefault="005F0E00" w:rsidP="007A7717">
      <w:pPr>
        <w:pStyle w:val="RKnormal"/>
        <w:ind w:left="360"/>
      </w:pPr>
    </w:p>
    <w:p w:rsidR="005F0E00" w:rsidRDefault="005F0E00">
      <w:pPr>
        <w:pStyle w:val="RKrubrik"/>
        <w:rPr>
          <w:i/>
          <w:iCs/>
        </w:rPr>
      </w:pPr>
      <w:r>
        <w:rPr>
          <w:i/>
          <w:iCs/>
        </w:rPr>
        <w:t>Svensk ståndpunkt</w:t>
      </w:r>
    </w:p>
    <w:p w:rsidR="005F0E00" w:rsidRPr="00F15F49" w:rsidRDefault="005F0E00" w:rsidP="007A7717">
      <w:pPr>
        <w:pStyle w:val="RKnormal"/>
      </w:pPr>
      <w:r w:rsidRPr="00F15F49">
        <w:t xml:space="preserve">Schengensamarbetet bygger på medlemsstaternas förtroende för varandras förmåga att </w:t>
      </w:r>
      <w:r>
        <w:t xml:space="preserve">upprätthålla det gemensamma regelverket, i synnerhet gällande </w:t>
      </w:r>
      <w:r w:rsidRPr="00F15F49">
        <w:t>kontrolle</w:t>
      </w:r>
      <w:r>
        <w:t>n av</w:t>
      </w:r>
      <w:r w:rsidRPr="00F15F49">
        <w:t xml:space="preserve"> den yttre gränsen. Om medlemsstaterna inte längre litar på varandra, finns risken att man på eget bevåg och på ett ganska oförutsägbart sätt återinför kontrollen mellan länderna. </w:t>
      </w:r>
      <w:r>
        <w:t xml:space="preserve">En sådan situation skulle kunna negativt påverka </w:t>
      </w:r>
      <w:r w:rsidRPr="00F15F49">
        <w:t>människors möjligheter att resa fritt inom E</w:t>
      </w:r>
      <w:r>
        <w:t>U</w:t>
      </w:r>
      <w:r w:rsidRPr="00F15F49">
        <w:t>. Regeringen kunde därför stödja kommissionens förslag att stärka Schengensamarbetet genom att effektivisera den nuvarande utvärderingsmekanismen.</w:t>
      </w:r>
      <w:r>
        <w:t xml:space="preserve"> Sverige stödjer därför också fortsatt de kompromissförslag som</w:t>
      </w:r>
      <w:r w:rsidRPr="00676C7B">
        <w:t xml:space="preserve"> </w:t>
      </w:r>
      <w:r>
        <w:t xml:space="preserve">rådet antog i juni 2012. </w:t>
      </w:r>
    </w:p>
    <w:p w:rsidR="005F0E00" w:rsidRDefault="005F0E00" w:rsidP="00CE6EF7">
      <w:pPr>
        <w:pStyle w:val="RKnormal"/>
      </w:pPr>
    </w:p>
    <w:p w:rsidR="005F0E00" w:rsidRDefault="005F0E00" w:rsidP="00CE6EF7">
      <w:pPr>
        <w:pStyle w:val="RKnormal"/>
      </w:pPr>
      <w:r>
        <w:t xml:space="preserve">Det kan förväntas att det inom ramen för de fortsatta förhandlingarna med Europaparlamentet kommer att behöva göras justeringar. Kommissionens roll och ansvar för utvärderingsmekanismen kan komma att stärkas ytterligare. Någon form av ”sammanlänkningsklausul” (se ovan) lär sannolikt krävas av Europaparlamentet. </w:t>
      </w:r>
    </w:p>
    <w:p w:rsidR="005F0E00" w:rsidRDefault="005F0E00" w:rsidP="00CE6EF7">
      <w:pPr>
        <w:pStyle w:val="RKnormal"/>
      </w:pPr>
    </w:p>
    <w:p w:rsidR="005F0E00" w:rsidRDefault="005F0E00" w:rsidP="009D78AD">
      <w:pPr>
        <w:pStyle w:val="RKnormal"/>
      </w:pPr>
      <w:r>
        <w:t xml:space="preserve">Om en kommande kompromisstext inte på någon väsentlig punkt avviker från ovanstående förmodade inriktning kan Sverige stödja förslaget. </w:t>
      </w:r>
    </w:p>
    <w:p w:rsidR="005F0E00" w:rsidRPr="009D78AD" w:rsidRDefault="005F0E00">
      <w:pPr>
        <w:pStyle w:val="RKrubrik"/>
      </w:pPr>
      <w:r w:rsidRPr="009D78AD">
        <w:t>Förslaget</w:t>
      </w:r>
    </w:p>
    <w:p w:rsidR="005F0E00" w:rsidRDefault="005F0E00" w:rsidP="001D0ED4">
      <w:pPr>
        <w:pStyle w:val="RKnormal"/>
      </w:pPr>
      <w:r>
        <w:t xml:space="preserve">Förslagen utgörs av ännu inte distribuerade kompromisstexter från ordförandeskapet. </w:t>
      </w:r>
    </w:p>
    <w:p w:rsidR="005F0E00" w:rsidRPr="001C5D26" w:rsidRDefault="005F0E00" w:rsidP="009D78AD">
      <w:pPr>
        <w:pStyle w:val="RKrubrik"/>
      </w:pPr>
      <w:r w:rsidRPr="001C5D26">
        <w:t>Gällande svenska regler och förslagets effekter på dessa</w:t>
      </w:r>
    </w:p>
    <w:p w:rsidR="005F0E00" w:rsidRDefault="005F0E00" w:rsidP="009D78AD">
      <w:pPr>
        <w:pStyle w:val="RKnormal"/>
      </w:pPr>
      <w:r>
        <w:t xml:space="preserve">Beroende på ordalydelsen i de slutliga förslagen kan någon bestämmelse i utlänningsförordningen (2006:97) behöva justeras. </w:t>
      </w:r>
    </w:p>
    <w:p w:rsidR="005F0E00" w:rsidRDefault="005F0E00" w:rsidP="009D78AD">
      <w:pPr>
        <w:pStyle w:val="RKrubrik"/>
        <w:keepNext w:val="0"/>
        <w:spacing w:after="0" w:line="240" w:lineRule="auto"/>
      </w:pPr>
      <w:r>
        <w:t>Ekonomiska konsekvenser</w:t>
      </w:r>
    </w:p>
    <w:p w:rsidR="005F0E00" w:rsidRPr="009D78AD" w:rsidRDefault="005F0E00" w:rsidP="00F657D1">
      <w:pPr>
        <w:pStyle w:val="RKrubrik"/>
      </w:pPr>
      <w:r w:rsidRPr="001C5D26">
        <w:rPr>
          <w:rFonts w:ascii="OrigGarmnd BT" w:hAnsi="OrigGarmnd BT"/>
          <w:b w:val="0"/>
          <w:sz w:val="24"/>
        </w:rPr>
        <w:t>Innehåll</w:t>
      </w:r>
      <w:r w:rsidRPr="001C5D26">
        <w:rPr>
          <w:rFonts w:ascii="OrigGarmnd BT" w:hAnsi="OrigGarmnd BT"/>
          <w:sz w:val="24"/>
        </w:rPr>
        <w:t>e</w:t>
      </w:r>
      <w:r w:rsidRPr="001C5D26">
        <w:rPr>
          <w:rFonts w:ascii="OrigGarmnd BT" w:hAnsi="OrigGarmnd BT"/>
          <w:b w:val="0"/>
          <w:sz w:val="24"/>
        </w:rPr>
        <w:t xml:space="preserve">t i utvärderingarna </w:t>
      </w:r>
      <w:r>
        <w:rPr>
          <w:rFonts w:ascii="OrigGarmnd BT" w:hAnsi="OrigGarmnd BT"/>
          <w:b w:val="0"/>
          <w:sz w:val="24"/>
        </w:rPr>
        <w:t xml:space="preserve">för att kontrollera tillämpningen av Schengenregelverket </w:t>
      </w:r>
      <w:r w:rsidRPr="001C5D26">
        <w:rPr>
          <w:rFonts w:ascii="OrigGarmnd BT" w:hAnsi="OrigGarmnd BT"/>
          <w:b w:val="0"/>
          <w:sz w:val="24"/>
        </w:rPr>
        <w:t xml:space="preserve">förutses i stort sett att förbli oförändrat, vilket därmed </w:t>
      </w:r>
      <w:r>
        <w:rPr>
          <w:rFonts w:ascii="OrigGarmnd BT" w:hAnsi="OrigGarmnd BT"/>
          <w:b w:val="0"/>
          <w:sz w:val="24"/>
        </w:rPr>
        <w:t xml:space="preserve">torde </w:t>
      </w:r>
      <w:r w:rsidRPr="001C5D26">
        <w:rPr>
          <w:rFonts w:ascii="OrigGarmnd BT" w:hAnsi="OrigGarmnd BT"/>
          <w:b w:val="0"/>
          <w:sz w:val="24"/>
        </w:rPr>
        <w:t>gäll</w:t>
      </w:r>
      <w:r>
        <w:rPr>
          <w:rFonts w:ascii="OrigGarmnd BT" w:hAnsi="OrigGarmnd BT"/>
          <w:b w:val="0"/>
          <w:sz w:val="24"/>
        </w:rPr>
        <w:t>a</w:t>
      </w:r>
      <w:r w:rsidRPr="001C5D26">
        <w:rPr>
          <w:rFonts w:ascii="OrigGarmnd BT" w:hAnsi="OrigGarmnd BT"/>
          <w:b w:val="0"/>
          <w:sz w:val="24"/>
        </w:rPr>
        <w:t xml:space="preserve"> även </w:t>
      </w:r>
      <w:r>
        <w:rPr>
          <w:rFonts w:ascii="OrigGarmnd BT" w:hAnsi="OrigGarmnd BT"/>
          <w:b w:val="0"/>
          <w:sz w:val="24"/>
        </w:rPr>
        <w:t xml:space="preserve">för </w:t>
      </w:r>
      <w:r w:rsidRPr="001C5D26">
        <w:rPr>
          <w:rFonts w:ascii="OrigGarmnd BT" w:hAnsi="OrigGarmnd BT"/>
          <w:b w:val="0"/>
          <w:sz w:val="24"/>
        </w:rPr>
        <w:t xml:space="preserve">kostnaderna för </w:t>
      </w:r>
      <w:r>
        <w:rPr>
          <w:rFonts w:ascii="OrigGarmnd BT" w:hAnsi="OrigGarmnd BT"/>
          <w:b w:val="0"/>
          <w:sz w:val="24"/>
        </w:rPr>
        <w:t xml:space="preserve">att planera och utföra </w:t>
      </w:r>
      <w:r w:rsidRPr="001C5D26">
        <w:rPr>
          <w:rFonts w:ascii="OrigGarmnd BT" w:hAnsi="OrigGarmnd BT"/>
          <w:b w:val="0"/>
          <w:sz w:val="24"/>
        </w:rPr>
        <w:t xml:space="preserve">utvärderingarna. </w:t>
      </w:r>
      <w:r>
        <w:rPr>
          <w:rFonts w:ascii="OrigGarmnd BT" w:hAnsi="OrigGarmnd BT"/>
          <w:b w:val="0"/>
          <w:sz w:val="24"/>
        </w:rPr>
        <w:t xml:space="preserve">Enligt förslaget tar emellertid </w:t>
      </w:r>
      <w:r w:rsidRPr="001C5D26">
        <w:rPr>
          <w:rFonts w:ascii="OrigGarmnd BT" w:hAnsi="OrigGarmnd BT"/>
          <w:b w:val="0"/>
          <w:sz w:val="24"/>
        </w:rPr>
        <w:t xml:space="preserve">kommissionen över </w:t>
      </w:r>
      <w:r>
        <w:rPr>
          <w:rFonts w:ascii="OrigGarmnd BT" w:hAnsi="OrigGarmnd BT"/>
          <w:b w:val="0"/>
          <w:sz w:val="24"/>
        </w:rPr>
        <w:t xml:space="preserve">det ekonomiska </w:t>
      </w:r>
      <w:r w:rsidRPr="001C5D26">
        <w:rPr>
          <w:rFonts w:ascii="OrigGarmnd BT" w:hAnsi="OrigGarmnd BT"/>
          <w:b w:val="0"/>
          <w:sz w:val="24"/>
        </w:rPr>
        <w:t>ansvaret för utvärderingarna</w:t>
      </w:r>
      <w:r>
        <w:rPr>
          <w:rFonts w:ascii="OrigGarmnd BT" w:hAnsi="OrigGarmnd BT"/>
          <w:b w:val="0"/>
          <w:sz w:val="24"/>
        </w:rPr>
        <w:t xml:space="preserve"> från medlemsstaterna och rådet.  Det innebär att vissa kostnader som medlemsstaterna har för resor m.m. istället kommer belasta den gemensamma budgeten.  Enligt kommissionens finansieringsplan är f</w:t>
      </w:r>
      <w:r w:rsidRPr="00F341B4">
        <w:rPr>
          <w:rFonts w:ascii="OrigGarmnd BT" w:hAnsi="OrigGarmnd BT"/>
          <w:b w:val="0"/>
          <w:sz w:val="24"/>
        </w:rPr>
        <w:t xml:space="preserve">örslaget förenligt med gällande ekonomisk planering. </w:t>
      </w:r>
      <w:r w:rsidRPr="001C5D26">
        <w:rPr>
          <w:rFonts w:ascii="OrigGarmnd BT" w:hAnsi="OrigGarmnd BT"/>
          <w:b w:val="0"/>
          <w:sz w:val="24"/>
        </w:rPr>
        <w:t xml:space="preserve"> </w:t>
      </w:r>
    </w:p>
    <w:sectPr w:rsidR="005F0E00" w:rsidRPr="009D78AD" w:rsidSect="00F15FF3">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E00" w:rsidRDefault="005F0E00">
      <w:r>
        <w:separator/>
      </w:r>
    </w:p>
  </w:endnote>
  <w:endnote w:type="continuationSeparator" w:id="0">
    <w:p w:rsidR="005F0E00" w:rsidRDefault="005F0E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E00" w:rsidRDefault="005F0E00">
      <w:r>
        <w:separator/>
      </w:r>
    </w:p>
  </w:footnote>
  <w:footnote w:type="continuationSeparator" w:id="0">
    <w:p w:rsidR="005F0E00" w:rsidRDefault="005F0E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E00" w:rsidRDefault="005F0E0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tbl>
    <w:tblPr>
      <w:tblW w:w="0" w:type="auto"/>
      <w:tblInd w:w="-1168" w:type="dxa"/>
      <w:tblLook w:val="0000"/>
    </w:tblPr>
    <w:tblGrid>
      <w:gridCol w:w="3119"/>
      <w:gridCol w:w="4111"/>
      <w:gridCol w:w="1525"/>
    </w:tblGrid>
    <w:tr w:rsidR="005F0E00">
      <w:trPr>
        <w:cantSplit/>
      </w:trPr>
      <w:tc>
        <w:tcPr>
          <w:tcW w:w="3119" w:type="dxa"/>
        </w:tcPr>
        <w:p w:rsidR="005F0E00" w:rsidRDefault="005F0E00">
          <w:pPr>
            <w:pStyle w:val="Header"/>
            <w:spacing w:line="200" w:lineRule="atLeast"/>
            <w:ind w:right="357"/>
            <w:rPr>
              <w:rFonts w:ascii="TradeGothic" w:hAnsi="TradeGothic"/>
              <w:b/>
              <w:bCs/>
              <w:sz w:val="16"/>
            </w:rPr>
          </w:pPr>
        </w:p>
      </w:tc>
      <w:tc>
        <w:tcPr>
          <w:tcW w:w="4111" w:type="dxa"/>
          <w:tcMar>
            <w:left w:w="567" w:type="dxa"/>
          </w:tcMar>
        </w:tcPr>
        <w:p w:rsidR="005F0E00" w:rsidRDefault="005F0E00">
          <w:pPr>
            <w:pStyle w:val="Header"/>
            <w:ind w:right="360"/>
          </w:pPr>
        </w:p>
      </w:tc>
      <w:tc>
        <w:tcPr>
          <w:tcW w:w="1525" w:type="dxa"/>
        </w:tcPr>
        <w:p w:rsidR="005F0E00" w:rsidRDefault="005F0E00">
          <w:pPr>
            <w:pStyle w:val="Header"/>
            <w:ind w:right="360"/>
          </w:pPr>
        </w:p>
      </w:tc>
    </w:tr>
  </w:tbl>
  <w:p w:rsidR="005F0E00" w:rsidRDefault="005F0E00">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E00" w:rsidRDefault="005F0E0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5F0E00">
      <w:trPr>
        <w:cantSplit/>
      </w:trPr>
      <w:tc>
        <w:tcPr>
          <w:tcW w:w="3119" w:type="dxa"/>
        </w:tcPr>
        <w:p w:rsidR="005F0E00" w:rsidRDefault="005F0E00">
          <w:pPr>
            <w:pStyle w:val="Header"/>
            <w:spacing w:line="200" w:lineRule="atLeast"/>
            <w:ind w:right="357"/>
            <w:rPr>
              <w:rFonts w:ascii="TradeGothic" w:hAnsi="TradeGothic"/>
              <w:b/>
              <w:bCs/>
              <w:sz w:val="16"/>
            </w:rPr>
          </w:pPr>
        </w:p>
      </w:tc>
      <w:tc>
        <w:tcPr>
          <w:tcW w:w="4111" w:type="dxa"/>
          <w:tcMar>
            <w:left w:w="567" w:type="dxa"/>
          </w:tcMar>
        </w:tcPr>
        <w:p w:rsidR="005F0E00" w:rsidRDefault="005F0E00">
          <w:pPr>
            <w:pStyle w:val="Header"/>
            <w:ind w:right="360"/>
          </w:pPr>
        </w:p>
      </w:tc>
      <w:tc>
        <w:tcPr>
          <w:tcW w:w="1525" w:type="dxa"/>
        </w:tcPr>
        <w:p w:rsidR="005F0E00" w:rsidRDefault="005F0E00">
          <w:pPr>
            <w:pStyle w:val="Header"/>
            <w:ind w:right="360"/>
          </w:pPr>
        </w:p>
      </w:tc>
    </w:tr>
  </w:tbl>
  <w:p w:rsidR="005F0E00" w:rsidRDefault="005F0E00">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E00" w:rsidRDefault="005F0E00">
    <w:pPr>
      <w:framePr w:w="2948" w:h="1321" w:hRule="exact" w:wrap="notBeside" w:vAnchor="page" w:hAnchor="page" w:x="1362" w:y="653"/>
    </w:pPr>
    <w:r w:rsidRPr="00324B93">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5F0E00" w:rsidRDefault="005F0E00">
    <w:pPr>
      <w:pStyle w:val="RKrubrik"/>
      <w:keepNext w:val="0"/>
      <w:tabs>
        <w:tab w:val="clear" w:pos="1134"/>
        <w:tab w:val="clear" w:pos="2835"/>
      </w:tabs>
      <w:spacing w:before="0" w:after="0" w:line="320" w:lineRule="atLeast"/>
      <w:rPr>
        <w:bCs/>
      </w:rPr>
    </w:pPr>
  </w:p>
  <w:p w:rsidR="005F0E00" w:rsidRDefault="005F0E00">
    <w:pPr>
      <w:rPr>
        <w:rFonts w:ascii="TradeGothic" w:hAnsi="TradeGothic"/>
        <w:b/>
        <w:bCs/>
        <w:spacing w:val="12"/>
        <w:sz w:val="22"/>
      </w:rPr>
    </w:pPr>
  </w:p>
  <w:p w:rsidR="005F0E00" w:rsidRDefault="005F0E00">
    <w:pPr>
      <w:pStyle w:val="RKrubrik"/>
      <w:keepNext w:val="0"/>
      <w:tabs>
        <w:tab w:val="clear" w:pos="1134"/>
        <w:tab w:val="clear" w:pos="2835"/>
      </w:tabs>
      <w:spacing w:before="0" w:after="0" w:line="320" w:lineRule="atLeast"/>
      <w:rPr>
        <w:bCs/>
      </w:rPr>
    </w:pPr>
  </w:p>
  <w:p w:rsidR="005F0E00" w:rsidRDefault="005F0E00">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23A9"/>
    <w:multiLevelType w:val="hybridMultilevel"/>
    <w:tmpl w:val="F29E3D60"/>
    <w:lvl w:ilvl="0" w:tplc="5A3C1BC4">
      <w:start w:val="1"/>
      <w:numFmt w:val="decimal"/>
      <w:lvlText w:val="%1."/>
      <w:lvlJc w:val="left"/>
      <w:pPr>
        <w:ind w:left="360" w:hanging="360"/>
      </w:pPr>
      <w:rPr>
        <w:rFonts w:cs="Times New Roman"/>
        <w:b w:val="0"/>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nsid w:val="0D2621E7"/>
    <w:multiLevelType w:val="hybridMultilevel"/>
    <w:tmpl w:val="22300980"/>
    <w:lvl w:ilvl="0" w:tplc="4E1C136A">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C5E14EF"/>
    <w:multiLevelType w:val="hybridMultilevel"/>
    <w:tmpl w:val="F36E6F5A"/>
    <w:lvl w:ilvl="0" w:tplc="3E44054E">
      <w:start w:val="2012"/>
      <w:numFmt w:val="bullet"/>
      <w:lvlText w:val="-"/>
      <w:lvlJc w:val="left"/>
      <w:pPr>
        <w:ind w:left="360" w:hanging="360"/>
      </w:pPr>
      <w:rPr>
        <w:rFonts w:ascii="OrigGarmnd BT" w:eastAsia="Times New Roman" w:hAnsi="OrigGarmnd BT"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nsid w:val="603C2A76"/>
    <w:multiLevelType w:val="hybridMultilevel"/>
    <w:tmpl w:val="F29E3D60"/>
    <w:lvl w:ilvl="0" w:tplc="5A3C1BC4">
      <w:start w:val="1"/>
      <w:numFmt w:val="decimal"/>
      <w:lvlText w:val="%1."/>
      <w:lvlJc w:val="left"/>
      <w:pPr>
        <w:ind w:left="360" w:hanging="360"/>
      </w:pPr>
      <w:rPr>
        <w:rFonts w:cs="Times New Roman"/>
        <w:b w:val="0"/>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4">
    <w:nsid w:val="619F60E1"/>
    <w:multiLevelType w:val="hybridMultilevel"/>
    <w:tmpl w:val="BDEA44D2"/>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5">
    <w:nsid w:val="738B6359"/>
    <w:multiLevelType w:val="hybridMultilevel"/>
    <w:tmpl w:val="25A47430"/>
    <w:lvl w:ilvl="0" w:tplc="041D000F">
      <w:start w:val="1"/>
      <w:numFmt w:val="decimal"/>
      <w:lvlText w:val="%1."/>
      <w:lvlJc w:val="left"/>
      <w:pPr>
        <w:ind w:left="360" w:hanging="360"/>
      </w:pPr>
      <w:rPr>
        <w:rFonts w:cs="Times New Roman"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Justitiedepartementet"/>
    <w:docVar w:name="Regering" w:val="N"/>
  </w:docVars>
  <w:rsids>
    <w:rsidRoot w:val="00CD7FE6"/>
    <w:rsid w:val="00002E7A"/>
    <w:rsid w:val="000049C3"/>
    <w:rsid w:val="00014DB9"/>
    <w:rsid w:val="000661C6"/>
    <w:rsid w:val="000C0D13"/>
    <w:rsid w:val="00150384"/>
    <w:rsid w:val="001805B7"/>
    <w:rsid w:val="001C5D26"/>
    <w:rsid w:val="001D0ED4"/>
    <w:rsid w:val="00251102"/>
    <w:rsid w:val="002763F9"/>
    <w:rsid w:val="002C641A"/>
    <w:rsid w:val="003056EB"/>
    <w:rsid w:val="00324B93"/>
    <w:rsid w:val="00356455"/>
    <w:rsid w:val="003918BB"/>
    <w:rsid w:val="003D5403"/>
    <w:rsid w:val="004153CD"/>
    <w:rsid w:val="00423F18"/>
    <w:rsid w:val="00427760"/>
    <w:rsid w:val="00441E1C"/>
    <w:rsid w:val="004A0639"/>
    <w:rsid w:val="004A328D"/>
    <w:rsid w:val="004D71DF"/>
    <w:rsid w:val="004F4208"/>
    <w:rsid w:val="00530014"/>
    <w:rsid w:val="0058762B"/>
    <w:rsid w:val="00590A31"/>
    <w:rsid w:val="005F0E00"/>
    <w:rsid w:val="00660666"/>
    <w:rsid w:val="00663896"/>
    <w:rsid w:val="00676C7B"/>
    <w:rsid w:val="006A0F4C"/>
    <w:rsid w:val="006E4E11"/>
    <w:rsid w:val="007242A3"/>
    <w:rsid w:val="007606B4"/>
    <w:rsid w:val="00776257"/>
    <w:rsid w:val="007A6855"/>
    <w:rsid w:val="007A7717"/>
    <w:rsid w:val="007F18E4"/>
    <w:rsid w:val="00807C84"/>
    <w:rsid w:val="008D3CE7"/>
    <w:rsid w:val="0094070B"/>
    <w:rsid w:val="0094796E"/>
    <w:rsid w:val="009724B6"/>
    <w:rsid w:val="009D78AD"/>
    <w:rsid w:val="009E737A"/>
    <w:rsid w:val="00A72007"/>
    <w:rsid w:val="00A83127"/>
    <w:rsid w:val="00A86DBD"/>
    <w:rsid w:val="00A973B0"/>
    <w:rsid w:val="00AA705B"/>
    <w:rsid w:val="00AC01FC"/>
    <w:rsid w:val="00AF3774"/>
    <w:rsid w:val="00B5488C"/>
    <w:rsid w:val="00C25426"/>
    <w:rsid w:val="00C43B4A"/>
    <w:rsid w:val="00C56CC3"/>
    <w:rsid w:val="00CD7FE6"/>
    <w:rsid w:val="00CE6EF7"/>
    <w:rsid w:val="00D133D7"/>
    <w:rsid w:val="00D45D22"/>
    <w:rsid w:val="00D6565F"/>
    <w:rsid w:val="00EC25F9"/>
    <w:rsid w:val="00ED09F1"/>
    <w:rsid w:val="00ED583F"/>
    <w:rsid w:val="00F15F49"/>
    <w:rsid w:val="00F15FF3"/>
    <w:rsid w:val="00F341B4"/>
    <w:rsid w:val="00F415E0"/>
    <w:rsid w:val="00F50780"/>
    <w:rsid w:val="00F657D1"/>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FF3"/>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F15FF3"/>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F15FF3"/>
    <w:pPr>
      <w:spacing w:before="360"/>
      <w:outlineLvl w:val="1"/>
    </w:pPr>
  </w:style>
  <w:style w:type="paragraph" w:styleId="Heading3">
    <w:name w:val="heading 3"/>
    <w:basedOn w:val="Heading2"/>
    <w:next w:val="RKnormal"/>
    <w:link w:val="Heading3Char"/>
    <w:uiPriority w:val="99"/>
    <w:qFormat/>
    <w:rsid w:val="00F15FF3"/>
    <w:pPr>
      <w:spacing w:after="120" w:line="240" w:lineRule="atLeast"/>
      <w:outlineLvl w:val="2"/>
    </w:pPr>
    <w:rPr>
      <w:b w:val="0"/>
    </w:rPr>
  </w:style>
  <w:style w:type="paragraph" w:styleId="Heading4">
    <w:name w:val="heading 4"/>
    <w:basedOn w:val="Heading3"/>
    <w:next w:val="RKnormal"/>
    <w:link w:val="Heading4Char"/>
    <w:uiPriority w:val="99"/>
    <w:qFormat/>
    <w:rsid w:val="00F15FF3"/>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9E8"/>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6379E8"/>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6379E8"/>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6379E8"/>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F15FF3"/>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F15FF3"/>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6379E8"/>
    <w:rPr>
      <w:rFonts w:ascii="OrigGarmnd BT" w:hAnsi="OrigGarmnd BT"/>
      <w:sz w:val="24"/>
      <w:szCs w:val="20"/>
      <w:lang w:eastAsia="en-US"/>
    </w:rPr>
  </w:style>
  <w:style w:type="paragraph" w:styleId="Header">
    <w:name w:val="header"/>
    <w:basedOn w:val="Normal"/>
    <w:link w:val="HeaderChar"/>
    <w:uiPriority w:val="99"/>
    <w:rsid w:val="00F15FF3"/>
    <w:pPr>
      <w:tabs>
        <w:tab w:val="center" w:pos="4153"/>
        <w:tab w:val="right" w:pos="8306"/>
      </w:tabs>
    </w:pPr>
  </w:style>
  <w:style w:type="character" w:customStyle="1" w:styleId="HeaderChar">
    <w:name w:val="Header Char"/>
    <w:basedOn w:val="DefaultParagraphFont"/>
    <w:link w:val="Header"/>
    <w:uiPriority w:val="99"/>
    <w:semiHidden/>
    <w:rsid w:val="006379E8"/>
    <w:rPr>
      <w:rFonts w:ascii="OrigGarmnd BT" w:hAnsi="OrigGarmnd BT"/>
      <w:sz w:val="24"/>
      <w:szCs w:val="20"/>
      <w:lang w:eastAsia="en-US"/>
    </w:rPr>
  </w:style>
  <w:style w:type="paragraph" w:customStyle="1" w:styleId="RKnormal">
    <w:name w:val="RKnormal"/>
    <w:basedOn w:val="Normal"/>
    <w:link w:val="RKnormalChar"/>
    <w:uiPriority w:val="99"/>
    <w:rsid w:val="00F15FF3"/>
    <w:pPr>
      <w:tabs>
        <w:tab w:val="left" w:pos="2835"/>
      </w:tabs>
      <w:spacing w:line="240" w:lineRule="atLeast"/>
    </w:pPr>
  </w:style>
  <w:style w:type="paragraph" w:customStyle="1" w:styleId="RKrubrik">
    <w:name w:val="RKrubrik"/>
    <w:basedOn w:val="RKnormal"/>
    <w:next w:val="RKnormal"/>
    <w:uiPriority w:val="99"/>
    <w:rsid w:val="00F15FF3"/>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F15FF3"/>
    <w:rPr>
      <w:rFonts w:cs="Times New Roman"/>
    </w:rPr>
  </w:style>
  <w:style w:type="paragraph" w:styleId="BalloonText">
    <w:name w:val="Balloon Text"/>
    <w:basedOn w:val="Normal"/>
    <w:link w:val="BalloonTextChar"/>
    <w:uiPriority w:val="99"/>
    <w:rsid w:val="003056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056EB"/>
    <w:rPr>
      <w:rFonts w:ascii="Tahoma" w:hAnsi="Tahoma" w:cs="Tahoma"/>
      <w:sz w:val="16"/>
      <w:szCs w:val="16"/>
      <w:lang w:eastAsia="en-US"/>
    </w:rPr>
  </w:style>
  <w:style w:type="character" w:customStyle="1" w:styleId="RKnormalChar">
    <w:name w:val="RKnormal Char"/>
    <w:basedOn w:val="DefaultParagraphFont"/>
    <w:link w:val="RKnormal"/>
    <w:uiPriority w:val="99"/>
    <w:locked/>
    <w:rsid w:val="006A0F4C"/>
    <w:rPr>
      <w:rFonts w:ascii="OrigGarmnd BT" w:hAnsi="OrigGarmnd BT" w:cs="Times New Roman"/>
      <w:sz w:val="24"/>
      <w:lang w:eastAsia="en-US"/>
    </w:rPr>
  </w:style>
  <w:style w:type="paragraph" w:customStyle="1" w:styleId="CarcterCarcterCharCarcterCarcterCharCarcterCarcterCharCharCarcterCarcter">
    <w:name w:val="Carácter Carácter Char Carácter Carácter Char Carácter Carácter Char Char Carácter Carácter"/>
    <w:basedOn w:val="Normal"/>
    <w:uiPriority w:val="99"/>
    <w:rsid w:val="00AC01FC"/>
    <w:pPr>
      <w:overflowPunct/>
      <w:autoSpaceDE/>
      <w:autoSpaceDN/>
      <w:adjustRightInd/>
      <w:spacing w:line="240" w:lineRule="auto"/>
      <w:textAlignment w:val="auto"/>
    </w:pPr>
    <w:rPr>
      <w:rFonts w:ascii="Times New Roman" w:hAnsi="Times New Roman"/>
      <w:szCs w:val="24"/>
      <w:lang w:val="pl-PL" w:eastAsia="pl-PL"/>
    </w:rPr>
  </w:style>
  <w:style w:type="paragraph" w:styleId="ListParagraph">
    <w:name w:val="List Paragraph"/>
    <w:basedOn w:val="Normal"/>
    <w:uiPriority w:val="99"/>
    <w:qFormat/>
    <w:rsid w:val="00AC01F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4</Pages>
  <Words>740</Words>
  <Characters>4977</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   </dc:title>
  <dc:subject/>
  <dc:creator>Marie Söderlund</dc:creator>
  <cp:keywords/>
  <dc:description/>
  <cp:lastModifiedBy>ha0808ab</cp:lastModifiedBy>
  <cp:revision>2</cp:revision>
  <cp:lastPrinted>2013-02-25T13:31:00Z</cp:lastPrinted>
  <dcterms:created xsi:type="dcterms:W3CDTF">2013-02-25T13:32:00Z</dcterms:created>
  <dcterms:modified xsi:type="dcterms:W3CDTF">2013-02-25T13:32:00Z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_dlc_DocIdItemGuid">
    <vt:lpwstr>76339f33-59f9-45c7-a496-95616e2a6f04</vt:lpwstr>
  </property>
  <property fmtid="{D5CDD505-2E9C-101B-9397-08002B2CF9AE}" pid="7" name="ContentTypeId">
    <vt:lpwstr>0x01010053E1D612BA3F4E21AA250ECD751942B300D32C9E506A07C54F976DA4F70564747D</vt:lpwstr>
  </property>
  <property fmtid="{D5CDD505-2E9C-101B-9397-08002B2CF9AE}" pid="8" name="RKOrdnaClass">
    <vt:lpwstr/>
  </property>
  <property fmtid="{D5CDD505-2E9C-101B-9397-08002B2CF9AE}" pid="9" name="RKOrdnaCheckInComment">
    <vt:lpwstr/>
  </property>
  <property fmtid="{D5CDD505-2E9C-101B-9397-08002B2CF9AE}" pid="10" name="TaxCatchAll">
    <vt:lpwstr/>
  </property>
  <property fmtid="{D5CDD505-2E9C-101B-9397-08002B2CF9AE}" pid="11" name="c9cd366cc722410295b9eacffbd73909">
    <vt:lpwstr/>
  </property>
  <property fmtid="{D5CDD505-2E9C-101B-9397-08002B2CF9AE}" pid="12" name="Diarienummer">
    <vt:lpwstr/>
  </property>
  <property fmtid="{D5CDD505-2E9C-101B-9397-08002B2CF9AE}" pid="13" name="Sekretess">
    <vt:lpwstr/>
  </property>
  <property fmtid="{D5CDD505-2E9C-101B-9397-08002B2CF9AE}" pid="14" name="k46d94c0acf84ab9a79866a9d8b1905f">
    <vt:lpwstr/>
  </property>
  <property fmtid="{D5CDD505-2E9C-101B-9397-08002B2CF9AE}" pid="15" name="Nyckelord">
    <vt:lpwstr/>
  </property>
  <property fmtid="{D5CDD505-2E9C-101B-9397-08002B2CF9AE}" pid="16" name="_dlc_DocId">
    <vt:lpwstr>F5J5VW6DSRJ4-5-11229</vt:lpwstr>
  </property>
  <property fmtid="{D5CDD505-2E9C-101B-9397-08002B2CF9AE}" pid="17" name="_dlc_DocIdUrl">
    <vt:lpwstr>http://rkdhs-ju/enhet/eu/_layouts/DocIdRedir.aspx?ID=F5J5VW6DSRJ4-5-11229, F5J5VW6DSRJ4-5-11229</vt:lpwstr>
  </property>
</Properties>
</file>