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F239FEF"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D15D1F">
              <w:rPr>
                <w:b/>
              </w:rPr>
              <w:t>32</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20F53A49" w:rsidR="008035C8" w:rsidRDefault="00A257B8" w:rsidP="00AF3CA6">
            <w:pPr>
              <w:ind w:right="355"/>
            </w:pPr>
            <w:r>
              <w:t>20</w:t>
            </w:r>
            <w:r w:rsidR="00CF36BC">
              <w:t>2</w:t>
            </w:r>
            <w:r w:rsidR="00701F1D">
              <w:t>5</w:t>
            </w:r>
            <w:r w:rsidR="005B58CF">
              <w:t>-02-20</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72ECB355" w:rsidR="0096348C" w:rsidRDefault="009476AF" w:rsidP="00AF3CA6">
            <w:pPr>
              <w:ind w:right="-269"/>
            </w:pPr>
            <w:r>
              <w:t>K</w:t>
            </w:r>
            <w:r w:rsidR="00111135">
              <w:t>l</w:t>
            </w:r>
            <w:r>
              <w:t>.</w:t>
            </w:r>
            <w:r w:rsidR="002349AE">
              <w:t xml:space="preserve"> </w:t>
            </w:r>
            <w:r w:rsidR="005B58CF" w:rsidRPr="004B4C96">
              <w:t>09.45-</w:t>
            </w:r>
            <w:r w:rsidR="004B4C96" w:rsidRPr="004B4C96">
              <w:t>10.</w:t>
            </w:r>
            <w:r w:rsidR="004B4C96">
              <w:t>39</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5B58CF" w14:paraId="2F383427" w14:textId="77777777" w:rsidTr="008035C8">
        <w:tc>
          <w:tcPr>
            <w:tcW w:w="567" w:type="dxa"/>
          </w:tcPr>
          <w:p w14:paraId="35CC0216" w14:textId="59E37EAE" w:rsidR="005B58CF" w:rsidRDefault="005B58CF" w:rsidP="009476AF">
            <w:pPr>
              <w:tabs>
                <w:tab w:val="left" w:pos="1701"/>
              </w:tabs>
              <w:rPr>
                <w:b/>
                <w:snapToGrid w:val="0"/>
              </w:rPr>
            </w:pPr>
            <w:r>
              <w:rPr>
                <w:b/>
                <w:snapToGrid w:val="0"/>
              </w:rPr>
              <w:t>§</w:t>
            </w:r>
            <w:r w:rsidR="006133DE">
              <w:rPr>
                <w:b/>
                <w:snapToGrid w:val="0"/>
              </w:rPr>
              <w:t xml:space="preserve"> 1</w:t>
            </w:r>
          </w:p>
        </w:tc>
        <w:tc>
          <w:tcPr>
            <w:tcW w:w="7655" w:type="dxa"/>
          </w:tcPr>
          <w:p w14:paraId="32955513" w14:textId="77777777" w:rsidR="00185592" w:rsidRDefault="00185592" w:rsidP="000E6D32">
            <w:pPr>
              <w:outlineLvl w:val="0"/>
              <w:rPr>
                <w:bCs/>
                <w:color w:val="000000"/>
              </w:rPr>
            </w:pPr>
            <w:r>
              <w:rPr>
                <w:b/>
                <w:color w:val="000000"/>
              </w:rPr>
              <w:t>Riksrevisionens rapport om statens tillsyn för att motverka penningtvätt (FiU16)</w:t>
            </w:r>
            <w:r>
              <w:rPr>
                <w:b/>
                <w:color w:val="000000"/>
              </w:rPr>
              <w:br/>
            </w:r>
            <w:r>
              <w:rPr>
                <w:bCs/>
                <w:color w:val="000000"/>
              </w:rPr>
              <w:t>Utskottet fortsatte beredningen av skrivelse 2024/25:52 och motioner.</w:t>
            </w:r>
            <w:r>
              <w:rPr>
                <w:bCs/>
                <w:color w:val="000000"/>
              </w:rPr>
              <w:br/>
              <w:t>Utskottet justerade betänkande 2024/25:FiU16.</w:t>
            </w:r>
          </w:p>
          <w:p w14:paraId="257D9AE1" w14:textId="77777777" w:rsidR="00185592" w:rsidRDefault="00185592" w:rsidP="000E6D32">
            <w:pPr>
              <w:outlineLvl w:val="0"/>
              <w:rPr>
                <w:bCs/>
                <w:color w:val="000000"/>
              </w:rPr>
            </w:pPr>
          </w:p>
          <w:p w14:paraId="6E78E6B9" w14:textId="6C9116DF" w:rsidR="005B58CF" w:rsidRPr="00185592" w:rsidRDefault="00185592" w:rsidP="000E6D32">
            <w:pPr>
              <w:outlineLvl w:val="0"/>
              <w:rPr>
                <w:bCs/>
              </w:rPr>
            </w:pPr>
            <w:r w:rsidRPr="006133DE">
              <w:rPr>
                <w:bCs/>
                <w:color w:val="000000"/>
              </w:rPr>
              <w:t xml:space="preserve">S-, </w:t>
            </w:r>
            <w:r w:rsidR="00091E60" w:rsidRPr="006133DE">
              <w:rPr>
                <w:bCs/>
                <w:color w:val="000000"/>
              </w:rPr>
              <w:t xml:space="preserve">V-, C- och </w:t>
            </w:r>
            <w:r w:rsidRPr="006133DE">
              <w:rPr>
                <w:bCs/>
                <w:color w:val="000000"/>
              </w:rPr>
              <w:t>MP-ledamöterna anmälde reservationer.</w:t>
            </w:r>
            <w:r w:rsidRPr="00185592">
              <w:rPr>
                <w:bCs/>
                <w:color w:val="000000"/>
              </w:rPr>
              <w:br/>
            </w:r>
          </w:p>
        </w:tc>
      </w:tr>
      <w:tr w:rsidR="006133DE" w14:paraId="30E71FF4" w14:textId="77777777" w:rsidTr="008035C8">
        <w:tc>
          <w:tcPr>
            <w:tcW w:w="567" w:type="dxa"/>
          </w:tcPr>
          <w:p w14:paraId="5D664692" w14:textId="5FF90023" w:rsidR="006133DE" w:rsidRDefault="006133DE" w:rsidP="009476AF">
            <w:pPr>
              <w:tabs>
                <w:tab w:val="left" w:pos="1701"/>
              </w:tabs>
              <w:rPr>
                <w:b/>
                <w:snapToGrid w:val="0"/>
              </w:rPr>
            </w:pPr>
            <w:r w:rsidRPr="00C92C53">
              <w:rPr>
                <w:b/>
              </w:rPr>
              <w:t xml:space="preserve">§ </w:t>
            </w:r>
            <w:r>
              <w:rPr>
                <w:b/>
              </w:rPr>
              <w:t>2</w:t>
            </w:r>
          </w:p>
        </w:tc>
        <w:tc>
          <w:tcPr>
            <w:tcW w:w="7655" w:type="dxa"/>
          </w:tcPr>
          <w:p w14:paraId="37AE32FF" w14:textId="0DE7EAD1" w:rsidR="006133DE" w:rsidRDefault="006133DE" w:rsidP="000E6D32">
            <w:pPr>
              <w:outlineLvl w:val="0"/>
              <w:rPr>
                <w:b/>
                <w:color w:val="000000"/>
              </w:rPr>
            </w:pPr>
            <w:r>
              <w:rPr>
                <w:b/>
              </w:rPr>
              <w:t>Riksbankens senaste penningpolitiska beslut</w:t>
            </w:r>
            <w:r>
              <w:rPr>
                <w:b/>
              </w:rPr>
              <w:br/>
            </w:r>
            <w:r>
              <w:rPr>
                <w:bCs/>
              </w:rPr>
              <w:t>Jens Magnusson, chefsekonom på SEB, och generaldirektören på KI, Albin Kainelainen, kommenterade Riksbankens senaste penningpolitiska beslut som en förberedelse inför det offentliga sammanträdet den 11 mars.</w:t>
            </w:r>
            <w:r>
              <w:rPr>
                <w:b/>
              </w:rPr>
              <w:br/>
            </w:r>
          </w:p>
        </w:tc>
      </w:tr>
      <w:tr w:rsidR="006133DE" w14:paraId="36F523D7" w14:textId="77777777" w:rsidTr="008035C8">
        <w:tc>
          <w:tcPr>
            <w:tcW w:w="567" w:type="dxa"/>
          </w:tcPr>
          <w:p w14:paraId="028E2247" w14:textId="191472AB" w:rsidR="006133DE" w:rsidRPr="00C92C53" w:rsidRDefault="006133DE" w:rsidP="009476AF">
            <w:pPr>
              <w:tabs>
                <w:tab w:val="left" w:pos="1701"/>
              </w:tabs>
              <w:rPr>
                <w:b/>
              </w:rPr>
            </w:pPr>
            <w:r>
              <w:rPr>
                <w:b/>
              </w:rPr>
              <w:t>§ 3</w:t>
            </w:r>
          </w:p>
        </w:tc>
        <w:tc>
          <w:tcPr>
            <w:tcW w:w="7655" w:type="dxa"/>
          </w:tcPr>
          <w:p w14:paraId="21C5A91B" w14:textId="72752F12" w:rsidR="006133DE" w:rsidRDefault="006133DE" w:rsidP="000E6D32">
            <w:pPr>
              <w:outlineLvl w:val="0"/>
              <w:rPr>
                <w:b/>
              </w:rPr>
            </w:pPr>
            <w:r w:rsidRPr="00D47EFF">
              <w:rPr>
                <w:b/>
              </w:rPr>
              <w:t>Justering av protokoll</w:t>
            </w:r>
            <w:r>
              <w:rPr>
                <w:b/>
              </w:rPr>
              <w:br/>
            </w:r>
            <w:r>
              <w:t>Utskottet justerade protokoll nr 2024/25:31.</w:t>
            </w:r>
            <w:r>
              <w:br/>
            </w:r>
          </w:p>
        </w:tc>
      </w:tr>
      <w:tr w:rsidR="005B58CF" w14:paraId="540BD8EC" w14:textId="77777777" w:rsidTr="008035C8">
        <w:tc>
          <w:tcPr>
            <w:tcW w:w="567" w:type="dxa"/>
          </w:tcPr>
          <w:p w14:paraId="67205EC7" w14:textId="6BF8D1F0" w:rsidR="005B58CF" w:rsidRDefault="005B58CF" w:rsidP="009476AF">
            <w:pPr>
              <w:tabs>
                <w:tab w:val="left" w:pos="1701"/>
              </w:tabs>
              <w:rPr>
                <w:b/>
                <w:snapToGrid w:val="0"/>
              </w:rPr>
            </w:pPr>
            <w:r>
              <w:rPr>
                <w:b/>
                <w:snapToGrid w:val="0"/>
              </w:rPr>
              <w:t>§</w:t>
            </w:r>
            <w:r w:rsidR="002C6A89">
              <w:rPr>
                <w:b/>
                <w:snapToGrid w:val="0"/>
              </w:rPr>
              <w:t xml:space="preserve"> 4</w:t>
            </w:r>
          </w:p>
        </w:tc>
        <w:tc>
          <w:tcPr>
            <w:tcW w:w="7655" w:type="dxa"/>
          </w:tcPr>
          <w:p w14:paraId="5FE0F45F" w14:textId="3217B377" w:rsidR="005B58CF" w:rsidRPr="00185592" w:rsidRDefault="00185592" w:rsidP="000E6D32">
            <w:pPr>
              <w:outlineLvl w:val="0"/>
              <w:rPr>
                <w:bCs/>
              </w:rPr>
            </w:pPr>
            <w:r w:rsidRPr="00185592">
              <w:rPr>
                <w:b/>
              </w:rPr>
              <w:t>Kommunala frågor (FiU26)</w:t>
            </w:r>
            <w:r>
              <w:rPr>
                <w:b/>
              </w:rPr>
              <w:br/>
            </w:r>
            <w:r>
              <w:rPr>
                <w:bCs/>
              </w:rPr>
              <w:t>Utskottet fortsatte beredningen av motioner.</w:t>
            </w:r>
            <w:r>
              <w:rPr>
                <w:bCs/>
              </w:rPr>
              <w:br/>
            </w:r>
            <w:r>
              <w:rPr>
                <w:bCs/>
              </w:rPr>
              <w:br/>
              <w:t>Ärendet bordlades.</w:t>
            </w:r>
            <w:r>
              <w:rPr>
                <w:bCs/>
              </w:rPr>
              <w:br/>
            </w:r>
          </w:p>
        </w:tc>
      </w:tr>
      <w:tr w:rsidR="005B58CF" w14:paraId="1D077976" w14:textId="77777777" w:rsidTr="008035C8">
        <w:tc>
          <w:tcPr>
            <w:tcW w:w="567" w:type="dxa"/>
          </w:tcPr>
          <w:p w14:paraId="1F5AE241" w14:textId="26475886" w:rsidR="005B58CF" w:rsidRDefault="005B58CF" w:rsidP="009476AF">
            <w:pPr>
              <w:tabs>
                <w:tab w:val="left" w:pos="1701"/>
              </w:tabs>
              <w:rPr>
                <w:b/>
                <w:snapToGrid w:val="0"/>
              </w:rPr>
            </w:pPr>
            <w:r>
              <w:rPr>
                <w:b/>
                <w:snapToGrid w:val="0"/>
              </w:rPr>
              <w:t>§</w:t>
            </w:r>
            <w:r w:rsidR="002C6A89">
              <w:rPr>
                <w:b/>
                <w:snapToGrid w:val="0"/>
              </w:rPr>
              <w:t xml:space="preserve"> 5</w:t>
            </w:r>
          </w:p>
        </w:tc>
        <w:tc>
          <w:tcPr>
            <w:tcW w:w="7655" w:type="dxa"/>
          </w:tcPr>
          <w:p w14:paraId="2606C8A4" w14:textId="747DC7E8" w:rsidR="00C64385" w:rsidRPr="00C64385" w:rsidRDefault="00C64385" w:rsidP="00C64385">
            <w:pPr>
              <w:widowControl/>
              <w:rPr>
                <w:bCs/>
                <w:color w:val="000000"/>
              </w:rPr>
            </w:pPr>
            <w:r>
              <w:rPr>
                <w:b/>
                <w:color w:val="000000"/>
              </w:rPr>
              <w:t>Åtgärder mot missbruk av alternativa betalningssystem (FiU27)</w:t>
            </w:r>
            <w:r>
              <w:rPr>
                <w:b/>
                <w:color w:val="000000"/>
              </w:rPr>
              <w:br/>
            </w:r>
            <w:r>
              <w:rPr>
                <w:bCs/>
              </w:rPr>
              <w:t>Utskottet fortsatte beredningen av proposition 2024/25:67.</w:t>
            </w:r>
            <w:r>
              <w:rPr>
                <w:bCs/>
              </w:rPr>
              <w:br/>
            </w:r>
            <w:r>
              <w:rPr>
                <w:bCs/>
              </w:rPr>
              <w:br/>
              <w:t>Ärendet bordlades.</w:t>
            </w:r>
          </w:p>
          <w:p w14:paraId="7CA690A1" w14:textId="77777777" w:rsidR="005B58CF" w:rsidRPr="00D47EFF" w:rsidRDefault="005B58CF" w:rsidP="000E6D32">
            <w:pPr>
              <w:outlineLvl w:val="0"/>
              <w:rPr>
                <w:b/>
              </w:rPr>
            </w:pPr>
          </w:p>
        </w:tc>
      </w:tr>
      <w:tr w:rsidR="00764C9C" w14:paraId="799581D0" w14:textId="77777777" w:rsidTr="008035C8">
        <w:tc>
          <w:tcPr>
            <w:tcW w:w="567" w:type="dxa"/>
          </w:tcPr>
          <w:p w14:paraId="5343A362" w14:textId="1036F338" w:rsidR="00764C9C" w:rsidRDefault="00764C9C" w:rsidP="009476AF">
            <w:pPr>
              <w:tabs>
                <w:tab w:val="left" w:pos="1701"/>
              </w:tabs>
              <w:rPr>
                <w:b/>
                <w:snapToGrid w:val="0"/>
              </w:rPr>
            </w:pPr>
            <w:r>
              <w:rPr>
                <w:b/>
                <w:snapToGrid w:val="0"/>
              </w:rPr>
              <w:t>§ 6</w:t>
            </w:r>
          </w:p>
        </w:tc>
        <w:tc>
          <w:tcPr>
            <w:tcW w:w="7655" w:type="dxa"/>
          </w:tcPr>
          <w:p w14:paraId="64DFD259" w14:textId="50C7882F" w:rsidR="00764C9C" w:rsidRPr="00764C9C" w:rsidRDefault="00764C9C" w:rsidP="00C64385">
            <w:pPr>
              <w:widowControl/>
              <w:rPr>
                <w:bCs/>
                <w:color w:val="000000"/>
              </w:rPr>
            </w:pPr>
            <w:r>
              <w:rPr>
                <w:b/>
                <w:color w:val="000000"/>
              </w:rPr>
              <w:t>Sveriges genomförande av Agenda 2030 (FiU17)</w:t>
            </w:r>
            <w:r>
              <w:rPr>
                <w:b/>
                <w:color w:val="000000"/>
              </w:rPr>
              <w:br/>
            </w:r>
            <w:r>
              <w:rPr>
                <w:bCs/>
                <w:color w:val="000000"/>
              </w:rPr>
              <w:t>Utskottet inledde beredningen av skrivelse 2024/25:66 och motioner.</w:t>
            </w:r>
            <w:r>
              <w:rPr>
                <w:bCs/>
                <w:color w:val="000000"/>
              </w:rPr>
              <w:br/>
            </w:r>
            <w:r>
              <w:rPr>
                <w:bCs/>
                <w:color w:val="000000"/>
              </w:rPr>
              <w:br/>
              <w:t>Ärendet bordlades.</w:t>
            </w:r>
            <w:r>
              <w:rPr>
                <w:bCs/>
                <w:color w:val="000000"/>
              </w:rPr>
              <w:br/>
            </w:r>
          </w:p>
        </w:tc>
      </w:tr>
      <w:tr w:rsidR="000E6D32" w14:paraId="448AFCE1" w14:textId="77777777" w:rsidTr="008035C8">
        <w:tc>
          <w:tcPr>
            <w:tcW w:w="567" w:type="dxa"/>
          </w:tcPr>
          <w:p w14:paraId="265C4579" w14:textId="58B60F85" w:rsidR="000E6D32" w:rsidRDefault="000E6D32" w:rsidP="009476AF">
            <w:pPr>
              <w:tabs>
                <w:tab w:val="left" w:pos="1701"/>
              </w:tabs>
              <w:rPr>
                <w:b/>
                <w:snapToGrid w:val="0"/>
              </w:rPr>
            </w:pPr>
            <w:r>
              <w:rPr>
                <w:b/>
                <w:snapToGrid w:val="0"/>
              </w:rPr>
              <w:t>§</w:t>
            </w:r>
            <w:r w:rsidR="002C6A89">
              <w:rPr>
                <w:b/>
                <w:snapToGrid w:val="0"/>
              </w:rPr>
              <w:t xml:space="preserve"> </w:t>
            </w:r>
            <w:r w:rsidR="00764C9C">
              <w:rPr>
                <w:b/>
                <w:snapToGrid w:val="0"/>
              </w:rPr>
              <w:t>7</w:t>
            </w:r>
          </w:p>
        </w:tc>
        <w:tc>
          <w:tcPr>
            <w:tcW w:w="7655" w:type="dxa"/>
          </w:tcPr>
          <w:p w14:paraId="3CE1FBF0" w14:textId="6CBF5131" w:rsidR="000E6D32" w:rsidRPr="002B3CE9" w:rsidRDefault="000E6D32" w:rsidP="009476AF">
            <w:pPr>
              <w:outlineLvl w:val="0"/>
              <w:rPr>
                <w:b/>
                <w:bCs/>
              </w:rPr>
            </w:pPr>
            <w:r>
              <w:rPr>
                <w:b/>
                <w:bCs/>
              </w:rPr>
              <w:t>Övriga frågor</w:t>
            </w:r>
            <w:r w:rsidR="00B1454A">
              <w:rPr>
                <w:b/>
                <w:bCs/>
              </w:rPr>
              <w:br/>
            </w:r>
            <w:r w:rsidR="00B1454A">
              <w:t>C-ledamoten föreslog att utskottet skulle ta ett initiativ om att ge en procent av BNP årligen i ekonomiskt stöd till Ukraina</w:t>
            </w:r>
            <w:r w:rsidR="00764C9C">
              <w:t>, se bilaga 2</w:t>
            </w:r>
            <w:r w:rsidR="00B1454A">
              <w:t>.</w:t>
            </w:r>
            <w:r w:rsidR="00B1454A">
              <w:br/>
            </w:r>
            <w:r w:rsidR="00B1454A">
              <w:br/>
              <w:t>Frågan bordlades.</w:t>
            </w:r>
            <w:r>
              <w:rPr>
                <w:b/>
                <w:bCs/>
              </w:rPr>
              <w:br/>
            </w:r>
          </w:p>
        </w:tc>
      </w:tr>
      <w:tr w:rsidR="002A5D58" w14:paraId="69468561" w14:textId="77777777" w:rsidTr="008035C8">
        <w:tc>
          <w:tcPr>
            <w:tcW w:w="567" w:type="dxa"/>
          </w:tcPr>
          <w:p w14:paraId="61C7046A" w14:textId="185F14C9" w:rsidR="002A5D58" w:rsidRDefault="009476AF" w:rsidP="00A44FE3">
            <w:pPr>
              <w:tabs>
                <w:tab w:val="left" w:pos="1701"/>
              </w:tabs>
              <w:rPr>
                <w:b/>
                <w:snapToGrid w:val="0"/>
              </w:rPr>
            </w:pPr>
            <w:r>
              <w:rPr>
                <w:b/>
                <w:snapToGrid w:val="0"/>
              </w:rPr>
              <w:t xml:space="preserve">§ </w:t>
            </w:r>
            <w:r w:rsidR="00764C9C">
              <w:rPr>
                <w:b/>
                <w:snapToGrid w:val="0"/>
              </w:rPr>
              <w:t>8</w:t>
            </w:r>
          </w:p>
        </w:tc>
        <w:tc>
          <w:tcPr>
            <w:tcW w:w="7655" w:type="dxa"/>
          </w:tcPr>
          <w:p w14:paraId="33C4C109" w14:textId="2E86E27A" w:rsidR="002A5D58" w:rsidRPr="005B58CF" w:rsidRDefault="002A5D58" w:rsidP="00A44FE3">
            <w:pPr>
              <w:outlineLvl w:val="0"/>
              <w:rPr>
                <w:bCs/>
              </w:rPr>
            </w:pPr>
            <w:r>
              <w:rPr>
                <w:b/>
              </w:rPr>
              <w:t>Nästa sammanträde</w:t>
            </w:r>
            <w:r w:rsidR="005B58CF">
              <w:rPr>
                <w:b/>
              </w:rPr>
              <w:br/>
            </w:r>
            <w:r w:rsidR="005B58CF">
              <w:rPr>
                <w:bCs/>
              </w:rPr>
              <w:t>Tisdag 27 februari kl. 10.30</w:t>
            </w:r>
          </w:p>
          <w:p w14:paraId="2B013B23" w14:textId="26739575" w:rsidR="00B33983" w:rsidRPr="00B33983" w:rsidRDefault="00B33983" w:rsidP="004F32F1">
            <w:pPr>
              <w:widowControl/>
              <w:spacing w:after="200" w:line="280" w:lineRule="exact"/>
              <w:rPr>
                <w:bCs/>
              </w:rPr>
            </w:pPr>
          </w:p>
        </w:tc>
      </w:tr>
      <w:tr w:rsidR="002C538C" w14:paraId="3025882C" w14:textId="77777777" w:rsidTr="008035C8">
        <w:tc>
          <w:tcPr>
            <w:tcW w:w="8222" w:type="dxa"/>
            <w:gridSpan w:val="2"/>
          </w:tcPr>
          <w:p w14:paraId="4E614365" w14:textId="77777777" w:rsidR="002349AE" w:rsidRDefault="002349AE" w:rsidP="002C538C">
            <w:pPr>
              <w:outlineLvl w:val="0"/>
            </w:pPr>
          </w:p>
          <w:p w14:paraId="0D79E476" w14:textId="11C0408E" w:rsidR="00185592" w:rsidRDefault="00185592" w:rsidP="002C538C">
            <w:pPr>
              <w:outlineLvl w:val="0"/>
            </w:pPr>
          </w:p>
          <w:p w14:paraId="17793405" w14:textId="1FCD72A5" w:rsidR="00764C9C" w:rsidRDefault="00764C9C" w:rsidP="002C538C">
            <w:pPr>
              <w:outlineLvl w:val="0"/>
            </w:pPr>
          </w:p>
          <w:p w14:paraId="27B3DAB7" w14:textId="39DA6FDA" w:rsidR="00764C9C" w:rsidRDefault="00764C9C" w:rsidP="002C538C">
            <w:pPr>
              <w:outlineLvl w:val="0"/>
            </w:pPr>
          </w:p>
          <w:p w14:paraId="0C01E214" w14:textId="3F4AD19D" w:rsidR="00764C9C" w:rsidRDefault="00764C9C" w:rsidP="002C538C">
            <w:pPr>
              <w:outlineLvl w:val="0"/>
            </w:pPr>
          </w:p>
          <w:p w14:paraId="34583E4A" w14:textId="385A76F3" w:rsidR="00764C9C" w:rsidRDefault="00764C9C" w:rsidP="002C538C">
            <w:pPr>
              <w:outlineLvl w:val="0"/>
            </w:pPr>
          </w:p>
          <w:p w14:paraId="0192087F" w14:textId="5A5C96CC" w:rsidR="00764C9C" w:rsidRDefault="00764C9C" w:rsidP="002C538C">
            <w:pPr>
              <w:outlineLvl w:val="0"/>
            </w:pPr>
          </w:p>
          <w:p w14:paraId="2F50798C" w14:textId="3D53B133" w:rsidR="00C92C53" w:rsidRDefault="00C92C53" w:rsidP="002C538C">
            <w:pPr>
              <w:outlineLvl w:val="0"/>
            </w:pPr>
          </w:p>
          <w:p w14:paraId="16576EC6" w14:textId="33415794" w:rsidR="00C92C53" w:rsidRDefault="00C92C53" w:rsidP="002C538C">
            <w:pPr>
              <w:outlineLvl w:val="0"/>
            </w:pPr>
          </w:p>
          <w:p w14:paraId="1F9F0AFD" w14:textId="77777777" w:rsidR="00E83092" w:rsidRDefault="00E83092" w:rsidP="0047175B">
            <w:pPr>
              <w:outlineLvl w:val="0"/>
            </w:pPr>
          </w:p>
          <w:p w14:paraId="7B13580B" w14:textId="597604B2" w:rsidR="00C92C53" w:rsidRPr="00BD39D1" w:rsidRDefault="00C92C53" w:rsidP="0047175B">
            <w:pPr>
              <w:outlineLvl w:val="0"/>
            </w:pPr>
            <w:r>
              <w:t>Justera</w:t>
            </w:r>
            <w:r w:rsidR="00E83092">
              <w:t>t</w:t>
            </w:r>
            <w:r w:rsidR="002349AE">
              <w:t xml:space="preserve"> </w:t>
            </w:r>
            <w:r w:rsidR="00DC5A2B">
              <w:t>den</w:t>
            </w:r>
            <w:r w:rsidR="000E6D32">
              <w:t xml:space="preserve"> </w:t>
            </w:r>
            <w:r w:rsidR="005B58CF">
              <w:t>27 februari</w:t>
            </w:r>
            <w:r w:rsidR="00DC5A2B">
              <w:t xml:space="preserve"> </w:t>
            </w:r>
            <w:r w:rsidR="009C53E0">
              <w:t xml:space="preserve">2025 </w:t>
            </w:r>
            <w:r w:rsidR="005B58CF">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A1B0C60"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8E6CE8">
        <w:rPr>
          <w:sz w:val="22"/>
          <w:szCs w:val="22"/>
        </w:rPr>
        <w:t>32</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4A881D4" w:rsidR="00EF6F88" w:rsidRPr="000E151F" w:rsidRDefault="00B1454A" w:rsidP="002B2C82">
            <w:pPr>
              <w:spacing w:line="360" w:lineRule="auto"/>
              <w:rPr>
                <w:sz w:val="22"/>
                <w:szCs w:val="22"/>
              </w:rPr>
            </w:pPr>
            <w:r>
              <w:rPr>
                <w:sz w:val="22"/>
                <w:szCs w:val="22"/>
              </w:rPr>
              <w:t>§ 1-8</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88A4D29" w:rsidR="00EF6F88" w:rsidRPr="000E151F" w:rsidRDefault="0071122A"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71122A"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71122A" w:rsidRPr="00A946FF" w:rsidRDefault="0071122A" w:rsidP="0071122A">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767D23C"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71122A" w:rsidRPr="000E151F" w:rsidRDefault="0071122A" w:rsidP="0071122A">
            <w:pPr>
              <w:rPr>
                <w:sz w:val="22"/>
                <w:szCs w:val="22"/>
              </w:rPr>
            </w:pPr>
          </w:p>
        </w:tc>
      </w:tr>
      <w:tr w:rsidR="0071122A"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71122A" w:rsidRPr="00A946FF" w:rsidRDefault="0071122A" w:rsidP="0071122A">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34F8FBCC"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71122A" w:rsidRPr="000E151F" w:rsidRDefault="0071122A" w:rsidP="0071122A">
            <w:pPr>
              <w:rPr>
                <w:sz w:val="22"/>
                <w:szCs w:val="22"/>
              </w:rPr>
            </w:pPr>
          </w:p>
        </w:tc>
      </w:tr>
      <w:tr w:rsidR="0071122A"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71122A" w:rsidRPr="000E151F" w:rsidRDefault="0071122A" w:rsidP="0071122A">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4EE09D32"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71122A" w:rsidRPr="000E151F" w:rsidRDefault="0071122A" w:rsidP="0071122A">
            <w:pPr>
              <w:rPr>
                <w:sz w:val="22"/>
                <w:szCs w:val="22"/>
              </w:rPr>
            </w:pPr>
          </w:p>
        </w:tc>
      </w:tr>
      <w:tr w:rsidR="0071122A"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71122A" w:rsidRDefault="0071122A" w:rsidP="0071122A">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9FB6A12"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71122A" w:rsidRPr="000E151F" w:rsidRDefault="0071122A" w:rsidP="0071122A">
            <w:pPr>
              <w:rPr>
                <w:sz w:val="22"/>
                <w:szCs w:val="22"/>
              </w:rPr>
            </w:pPr>
          </w:p>
        </w:tc>
      </w:tr>
      <w:tr w:rsidR="0071122A"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71122A" w:rsidRDefault="0071122A" w:rsidP="0071122A">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5D210563"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71122A" w:rsidRPr="000E151F" w:rsidRDefault="0071122A" w:rsidP="0071122A">
            <w:pPr>
              <w:rPr>
                <w:sz w:val="22"/>
                <w:szCs w:val="22"/>
              </w:rPr>
            </w:pPr>
          </w:p>
        </w:tc>
      </w:tr>
      <w:tr w:rsidR="0071122A"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71122A" w:rsidRDefault="0071122A" w:rsidP="0071122A">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6D8806E"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71122A" w:rsidRPr="000E151F" w:rsidRDefault="0071122A" w:rsidP="0071122A">
            <w:pPr>
              <w:rPr>
                <w:sz w:val="22"/>
                <w:szCs w:val="22"/>
              </w:rPr>
            </w:pPr>
          </w:p>
        </w:tc>
      </w:tr>
      <w:tr w:rsidR="0071122A"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71122A" w:rsidRDefault="0071122A" w:rsidP="0071122A">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4AC3D127"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71122A" w:rsidRPr="000E151F" w:rsidRDefault="0071122A" w:rsidP="0071122A">
            <w:pPr>
              <w:rPr>
                <w:sz w:val="22"/>
                <w:szCs w:val="22"/>
              </w:rPr>
            </w:pPr>
          </w:p>
        </w:tc>
      </w:tr>
      <w:tr w:rsidR="0071122A"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71122A" w:rsidRDefault="0071122A" w:rsidP="0071122A">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553BB329"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71122A" w:rsidRPr="000E151F" w:rsidRDefault="0071122A" w:rsidP="0071122A">
            <w:pPr>
              <w:rPr>
                <w:sz w:val="22"/>
                <w:szCs w:val="22"/>
              </w:rPr>
            </w:pPr>
          </w:p>
        </w:tc>
      </w:tr>
      <w:tr w:rsidR="0071122A"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71122A" w:rsidRDefault="0071122A" w:rsidP="0071122A">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6E551E9B"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71122A" w:rsidRPr="000E151F" w:rsidRDefault="0071122A" w:rsidP="0071122A">
            <w:pPr>
              <w:rPr>
                <w:sz w:val="22"/>
                <w:szCs w:val="22"/>
              </w:rPr>
            </w:pPr>
          </w:p>
        </w:tc>
      </w:tr>
      <w:tr w:rsidR="0071122A"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71122A" w:rsidRPr="000E151F" w:rsidRDefault="0071122A" w:rsidP="0071122A">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52842408"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71122A" w:rsidRPr="000E151F" w:rsidRDefault="0071122A" w:rsidP="0071122A">
            <w:pPr>
              <w:rPr>
                <w:sz w:val="22"/>
                <w:szCs w:val="22"/>
              </w:rPr>
            </w:pPr>
          </w:p>
        </w:tc>
      </w:tr>
      <w:tr w:rsidR="0071122A"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71122A" w:rsidRPr="000E151F" w:rsidRDefault="0071122A" w:rsidP="0071122A">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69392EA" w:rsidR="0071122A" w:rsidRPr="000E151F" w:rsidRDefault="0071122A" w:rsidP="0071122A">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71122A" w:rsidRPr="000E151F" w:rsidRDefault="0071122A" w:rsidP="0071122A">
            <w:pPr>
              <w:rPr>
                <w:sz w:val="22"/>
                <w:szCs w:val="22"/>
              </w:rPr>
            </w:pPr>
          </w:p>
        </w:tc>
      </w:tr>
      <w:tr w:rsidR="0071122A"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71122A" w:rsidRPr="000E151F" w:rsidRDefault="0071122A" w:rsidP="0071122A">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3B42FB55"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71122A" w:rsidRPr="000E151F" w:rsidRDefault="0071122A" w:rsidP="0071122A">
            <w:pPr>
              <w:rPr>
                <w:sz w:val="22"/>
                <w:szCs w:val="22"/>
              </w:rPr>
            </w:pPr>
          </w:p>
        </w:tc>
      </w:tr>
      <w:tr w:rsidR="0071122A"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71122A" w:rsidRPr="000E151F" w:rsidRDefault="0071122A" w:rsidP="0071122A">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13B0C379"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71122A" w:rsidRPr="000E151F" w:rsidRDefault="0071122A" w:rsidP="0071122A">
            <w:pPr>
              <w:rPr>
                <w:sz w:val="22"/>
                <w:szCs w:val="22"/>
              </w:rPr>
            </w:pPr>
          </w:p>
        </w:tc>
      </w:tr>
      <w:tr w:rsidR="0071122A"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71122A" w:rsidRPr="000E151F" w:rsidRDefault="0071122A" w:rsidP="0071122A">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5F5C64CA" w:rsidR="0071122A" w:rsidRPr="000E151F" w:rsidRDefault="0071122A" w:rsidP="0071122A">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71122A" w:rsidRPr="000E151F" w:rsidRDefault="0071122A" w:rsidP="0071122A">
            <w:pPr>
              <w:rPr>
                <w:sz w:val="22"/>
                <w:szCs w:val="22"/>
              </w:rPr>
            </w:pPr>
          </w:p>
        </w:tc>
      </w:tr>
      <w:tr w:rsidR="0071122A"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71122A" w:rsidRDefault="0071122A" w:rsidP="0071122A">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7DA0399F"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71122A" w:rsidRPr="000E151F" w:rsidRDefault="0071122A" w:rsidP="0071122A">
            <w:pPr>
              <w:rPr>
                <w:sz w:val="22"/>
                <w:szCs w:val="22"/>
              </w:rPr>
            </w:pPr>
          </w:p>
        </w:tc>
      </w:tr>
      <w:tr w:rsidR="0071122A"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71122A" w:rsidRPr="000E151F" w:rsidRDefault="0071122A" w:rsidP="0071122A">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06CF7231" w:rsidR="0071122A" w:rsidRPr="000E151F" w:rsidRDefault="0071122A" w:rsidP="0071122A">
            <w:pPr>
              <w:rPr>
                <w:sz w:val="22"/>
                <w:szCs w:val="22"/>
              </w:rPr>
            </w:pPr>
            <w:r w:rsidRPr="00D6602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71122A" w:rsidRPr="000E151F" w:rsidRDefault="0071122A" w:rsidP="0071122A">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71122A" w:rsidRPr="000E151F" w:rsidRDefault="0071122A" w:rsidP="0071122A">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71122A" w:rsidRPr="000E151F" w:rsidRDefault="0071122A" w:rsidP="0071122A">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71122A" w:rsidRPr="000E151F" w:rsidRDefault="0071122A" w:rsidP="0071122A">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16780CAD" w:rsidR="000E2953" w:rsidRPr="000E151F" w:rsidRDefault="0071122A"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7FBB9635" w:rsidR="000E2953" w:rsidRPr="000E151F" w:rsidRDefault="0071122A"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0FAD7F3A" w:rsidR="000E2953" w:rsidRPr="000E151F" w:rsidRDefault="0071122A"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4F6FF57C" w:rsidR="000E2953" w:rsidRDefault="000E2953" w:rsidP="000E2953">
            <w:pPr>
              <w:tabs>
                <w:tab w:val="left" w:pos="1701"/>
              </w:tabs>
              <w:rPr>
                <w:snapToGrid w:val="0"/>
                <w:sz w:val="22"/>
                <w:szCs w:val="22"/>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168B1175" w:rsidR="000E2953" w:rsidRPr="000E151F" w:rsidRDefault="0071122A"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6A9FB577" w:rsidR="000E2953" w:rsidRPr="000E151F" w:rsidRDefault="000E2953" w:rsidP="000E2953">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9C2D5E">
        <w:tc>
          <w:tcPr>
            <w:tcW w:w="4395" w:type="dxa"/>
            <w:tcBorders>
              <w:top w:val="single" w:sz="6" w:space="0" w:color="auto"/>
              <w:left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right w:val="single" w:sz="6" w:space="0" w:color="auto"/>
            </w:tcBorders>
          </w:tcPr>
          <w:p w14:paraId="38C47DB6" w14:textId="77777777" w:rsidR="000E2953" w:rsidRPr="000E151F" w:rsidRDefault="000E2953" w:rsidP="000E2953">
            <w:pPr>
              <w:rPr>
                <w:sz w:val="22"/>
                <w:szCs w:val="22"/>
              </w:rPr>
            </w:pPr>
          </w:p>
        </w:tc>
      </w:tr>
      <w:tr w:rsidR="009C2D5E" w:rsidRPr="000E151F" w14:paraId="72FFC0EF" w14:textId="77777777" w:rsidTr="009C2D5E">
        <w:trPr>
          <w:trHeight w:val="34"/>
        </w:trPr>
        <w:tc>
          <w:tcPr>
            <w:tcW w:w="4395" w:type="dxa"/>
            <w:tcBorders>
              <w:left w:val="single" w:sz="6" w:space="0" w:color="auto"/>
              <w:bottom w:val="single" w:sz="6" w:space="0" w:color="auto"/>
              <w:right w:val="single" w:sz="6" w:space="0" w:color="auto"/>
            </w:tcBorders>
          </w:tcPr>
          <w:p w14:paraId="2D1DF8D8" w14:textId="2B602A24" w:rsidR="009C2D5E" w:rsidRDefault="009C2D5E" w:rsidP="000E2953">
            <w:pPr>
              <w:tabs>
                <w:tab w:val="left" w:pos="497"/>
              </w:tabs>
              <w:rPr>
                <w:snapToGrid w:val="0"/>
                <w:sz w:val="22"/>
                <w:szCs w:val="22"/>
              </w:rPr>
            </w:pPr>
            <w:r>
              <w:rPr>
                <w:snapToGrid w:val="0"/>
                <w:sz w:val="22"/>
                <w:szCs w:val="22"/>
              </w:rPr>
              <w:t>Samuel Gonzalez Westling (V)</w:t>
            </w:r>
          </w:p>
        </w:tc>
        <w:tc>
          <w:tcPr>
            <w:tcW w:w="488" w:type="dxa"/>
            <w:tcBorders>
              <w:left w:val="single" w:sz="6" w:space="0" w:color="auto"/>
              <w:bottom w:val="single" w:sz="6" w:space="0" w:color="auto"/>
              <w:right w:val="single" w:sz="6" w:space="0" w:color="auto"/>
            </w:tcBorders>
          </w:tcPr>
          <w:p w14:paraId="71E03388" w14:textId="77777777" w:rsidR="009C2D5E" w:rsidRPr="000E151F" w:rsidRDefault="009C2D5E" w:rsidP="000E2953">
            <w:pPr>
              <w:rPr>
                <w:sz w:val="22"/>
                <w:szCs w:val="22"/>
              </w:rPr>
            </w:pPr>
          </w:p>
        </w:tc>
        <w:tc>
          <w:tcPr>
            <w:tcW w:w="507" w:type="dxa"/>
            <w:tcBorders>
              <w:left w:val="single" w:sz="6" w:space="0" w:color="auto"/>
              <w:bottom w:val="single" w:sz="6" w:space="0" w:color="auto"/>
              <w:right w:val="single" w:sz="6" w:space="0" w:color="auto"/>
            </w:tcBorders>
          </w:tcPr>
          <w:p w14:paraId="4125EA08" w14:textId="77777777" w:rsidR="009C2D5E" w:rsidRPr="000E151F" w:rsidRDefault="009C2D5E" w:rsidP="000E2953">
            <w:pPr>
              <w:rPr>
                <w:sz w:val="22"/>
                <w:szCs w:val="22"/>
              </w:rPr>
            </w:pPr>
          </w:p>
        </w:tc>
        <w:tc>
          <w:tcPr>
            <w:tcW w:w="395" w:type="dxa"/>
            <w:tcBorders>
              <w:left w:val="single" w:sz="6" w:space="0" w:color="auto"/>
              <w:bottom w:val="single" w:sz="6" w:space="0" w:color="auto"/>
              <w:right w:val="single" w:sz="6" w:space="0" w:color="auto"/>
            </w:tcBorders>
          </w:tcPr>
          <w:p w14:paraId="66901809" w14:textId="77777777" w:rsidR="009C2D5E" w:rsidRPr="000E151F" w:rsidRDefault="009C2D5E" w:rsidP="000E2953">
            <w:pPr>
              <w:rPr>
                <w:sz w:val="22"/>
                <w:szCs w:val="22"/>
              </w:rPr>
            </w:pPr>
          </w:p>
        </w:tc>
        <w:tc>
          <w:tcPr>
            <w:tcW w:w="396" w:type="dxa"/>
            <w:tcBorders>
              <w:left w:val="single" w:sz="6" w:space="0" w:color="auto"/>
              <w:bottom w:val="single" w:sz="6" w:space="0" w:color="auto"/>
              <w:right w:val="single" w:sz="6" w:space="0" w:color="auto"/>
            </w:tcBorders>
          </w:tcPr>
          <w:p w14:paraId="40F6F706" w14:textId="77777777" w:rsidR="009C2D5E" w:rsidRPr="000E151F" w:rsidRDefault="009C2D5E" w:rsidP="000E2953">
            <w:pPr>
              <w:rPr>
                <w:sz w:val="22"/>
                <w:szCs w:val="22"/>
              </w:rPr>
            </w:pPr>
          </w:p>
        </w:tc>
        <w:tc>
          <w:tcPr>
            <w:tcW w:w="395" w:type="dxa"/>
            <w:tcBorders>
              <w:left w:val="single" w:sz="6" w:space="0" w:color="auto"/>
              <w:bottom w:val="single" w:sz="6" w:space="0" w:color="auto"/>
              <w:right w:val="single" w:sz="6" w:space="0" w:color="auto"/>
            </w:tcBorders>
          </w:tcPr>
          <w:p w14:paraId="5D6F6E48" w14:textId="77777777" w:rsidR="009C2D5E" w:rsidRPr="000E151F" w:rsidRDefault="009C2D5E" w:rsidP="000E2953">
            <w:pPr>
              <w:rPr>
                <w:sz w:val="22"/>
                <w:szCs w:val="22"/>
              </w:rPr>
            </w:pPr>
          </w:p>
        </w:tc>
        <w:tc>
          <w:tcPr>
            <w:tcW w:w="396" w:type="dxa"/>
            <w:tcBorders>
              <w:left w:val="single" w:sz="6" w:space="0" w:color="auto"/>
              <w:bottom w:val="single" w:sz="6" w:space="0" w:color="auto"/>
              <w:right w:val="single" w:sz="6" w:space="0" w:color="auto"/>
            </w:tcBorders>
          </w:tcPr>
          <w:p w14:paraId="16E6967A" w14:textId="77777777" w:rsidR="009C2D5E" w:rsidRPr="000E151F" w:rsidRDefault="009C2D5E" w:rsidP="000E2953">
            <w:pPr>
              <w:rPr>
                <w:sz w:val="22"/>
                <w:szCs w:val="22"/>
              </w:rPr>
            </w:pPr>
          </w:p>
        </w:tc>
        <w:tc>
          <w:tcPr>
            <w:tcW w:w="395" w:type="dxa"/>
            <w:tcBorders>
              <w:left w:val="single" w:sz="6" w:space="0" w:color="auto"/>
              <w:bottom w:val="single" w:sz="6" w:space="0" w:color="auto"/>
              <w:right w:val="single" w:sz="6" w:space="0" w:color="auto"/>
            </w:tcBorders>
          </w:tcPr>
          <w:p w14:paraId="27278364" w14:textId="77777777" w:rsidR="009C2D5E" w:rsidRPr="000E151F" w:rsidRDefault="009C2D5E" w:rsidP="000E2953">
            <w:pPr>
              <w:rPr>
                <w:sz w:val="22"/>
                <w:szCs w:val="22"/>
              </w:rPr>
            </w:pPr>
          </w:p>
        </w:tc>
        <w:tc>
          <w:tcPr>
            <w:tcW w:w="396" w:type="dxa"/>
            <w:tcBorders>
              <w:left w:val="single" w:sz="6" w:space="0" w:color="auto"/>
              <w:bottom w:val="single" w:sz="6" w:space="0" w:color="auto"/>
              <w:right w:val="single" w:sz="6" w:space="0" w:color="auto"/>
            </w:tcBorders>
          </w:tcPr>
          <w:p w14:paraId="31E8483B" w14:textId="77777777" w:rsidR="009C2D5E" w:rsidRPr="000E151F" w:rsidRDefault="009C2D5E" w:rsidP="000E2953">
            <w:pPr>
              <w:rPr>
                <w:sz w:val="22"/>
                <w:szCs w:val="22"/>
              </w:rPr>
            </w:pPr>
          </w:p>
        </w:tc>
        <w:tc>
          <w:tcPr>
            <w:tcW w:w="395" w:type="dxa"/>
            <w:tcBorders>
              <w:left w:val="single" w:sz="6" w:space="0" w:color="auto"/>
              <w:bottom w:val="single" w:sz="6" w:space="0" w:color="auto"/>
              <w:right w:val="single" w:sz="6" w:space="0" w:color="auto"/>
            </w:tcBorders>
          </w:tcPr>
          <w:p w14:paraId="3727BC0D" w14:textId="77777777" w:rsidR="009C2D5E" w:rsidRPr="000E151F" w:rsidRDefault="009C2D5E" w:rsidP="000E2953">
            <w:pPr>
              <w:rPr>
                <w:sz w:val="22"/>
                <w:szCs w:val="22"/>
              </w:rPr>
            </w:pPr>
          </w:p>
        </w:tc>
        <w:tc>
          <w:tcPr>
            <w:tcW w:w="396" w:type="dxa"/>
            <w:tcBorders>
              <w:left w:val="single" w:sz="6" w:space="0" w:color="auto"/>
              <w:bottom w:val="single" w:sz="6" w:space="0" w:color="auto"/>
              <w:right w:val="single" w:sz="6" w:space="0" w:color="auto"/>
            </w:tcBorders>
          </w:tcPr>
          <w:p w14:paraId="0A66168B" w14:textId="77777777" w:rsidR="009C2D5E" w:rsidRPr="000E151F" w:rsidRDefault="009C2D5E" w:rsidP="000E2953">
            <w:pPr>
              <w:rPr>
                <w:sz w:val="22"/>
                <w:szCs w:val="22"/>
              </w:rPr>
            </w:pPr>
          </w:p>
        </w:tc>
        <w:tc>
          <w:tcPr>
            <w:tcW w:w="395" w:type="dxa"/>
            <w:tcBorders>
              <w:left w:val="single" w:sz="6" w:space="0" w:color="auto"/>
              <w:bottom w:val="single" w:sz="6" w:space="0" w:color="auto"/>
              <w:right w:val="single" w:sz="6" w:space="0" w:color="auto"/>
            </w:tcBorders>
          </w:tcPr>
          <w:p w14:paraId="097B817B" w14:textId="77777777" w:rsidR="009C2D5E" w:rsidRPr="000E151F" w:rsidRDefault="009C2D5E" w:rsidP="000E2953">
            <w:pPr>
              <w:rPr>
                <w:sz w:val="22"/>
                <w:szCs w:val="22"/>
              </w:rPr>
            </w:pPr>
          </w:p>
        </w:tc>
        <w:tc>
          <w:tcPr>
            <w:tcW w:w="333" w:type="dxa"/>
            <w:tcBorders>
              <w:left w:val="single" w:sz="6" w:space="0" w:color="auto"/>
              <w:bottom w:val="single" w:sz="6" w:space="0" w:color="auto"/>
              <w:right w:val="single" w:sz="6" w:space="0" w:color="auto"/>
            </w:tcBorders>
          </w:tcPr>
          <w:p w14:paraId="6222FAE3" w14:textId="77777777" w:rsidR="009C2D5E" w:rsidRPr="000E151F" w:rsidRDefault="009C2D5E" w:rsidP="000E2953">
            <w:pPr>
              <w:rPr>
                <w:sz w:val="22"/>
                <w:szCs w:val="22"/>
              </w:rPr>
            </w:pPr>
          </w:p>
        </w:tc>
      </w:tr>
      <w:tr w:rsidR="000E2953" w:rsidRPr="000E151F" w14:paraId="0E581049" w14:textId="77777777" w:rsidTr="009C2D5E">
        <w:trPr>
          <w:trHeight w:val="34"/>
        </w:trPr>
        <w:tc>
          <w:tcPr>
            <w:tcW w:w="4395" w:type="dxa"/>
            <w:tcBorders>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029695A" w:rsidR="003A581E" w:rsidRPr="000E151F" w:rsidRDefault="0071122A"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31A9168C" w:rsidR="004C6601" w:rsidRDefault="004C6601" w:rsidP="00EF6F88">
      <w:pPr>
        <w:pStyle w:val="Sidhuvud"/>
        <w:tabs>
          <w:tab w:val="clear" w:pos="4536"/>
          <w:tab w:val="left" w:pos="3402"/>
          <w:tab w:val="left" w:pos="5529"/>
        </w:tabs>
        <w:ind w:left="-851"/>
        <w:rPr>
          <w:spacing w:val="2"/>
          <w:sz w:val="18"/>
        </w:rPr>
      </w:pPr>
    </w:p>
    <w:p w14:paraId="3ED2D9E4" w14:textId="39FDE249" w:rsidR="004B4C96" w:rsidRDefault="004B4C96" w:rsidP="00EF6F88">
      <w:pPr>
        <w:pStyle w:val="Sidhuvud"/>
        <w:tabs>
          <w:tab w:val="clear" w:pos="4536"/>
          <w:tab w:val="left" w:pos="3402"/>
          <w:tab w:val="left" w:pos="5529"/>
        </w:tabs>
        <w:ind w:left="-851"/>
        <w:rPr>
          <w:spacing w:val="2"/>
          <w:sz w:val="18"/>
        </w:rPr>
      </w:pPr>
    </w:p>
    <w:p w14:paraId="5BDED7EB" w14:textId="0F0E4491" w:rsidR="004B4C96" w:rsidRDefault="004B4C96" w:rsidP="00EF6F88">
      <w:pPr>
        <w:pStyle w:val="Sidhuvud"/>
        <w:tabs>
          <w:tab w:val="clear" w:pos="4536"/>
          <w:tab w:val="left" w:pos="3402"/>
          <w:tab w:val="left" w:pos="5529"/>
        </w:tabs>
        <w:ind w:left="-851"/>
        <w:rPr>
          <w:spacing w:val="2"/>
          <w:sz w:val="18"/>
        </w:rPr>
      </w:pPr>
    </w:p>
    <w:p w14:paraId="5C621A8D" w14:textId="032A98FE" w:rsidR="004B4C96" w:rsidRDefault="004B4C96" w:rsidP="004B4C96">
      <w:pPr>
        <w:pStyle w:val="Sidhuvud"/>
        <w:tabs>
          <w:tab w:val="clear" w:pos="4536"/>
          <w:tab w:val="left" w:pos="3402"/>
          <w:tab w:val="left" w:pos="5529"/>
        </w:tabs>
        <w:ind w:left="-851"/>
        <w:rPr>
          <w:sz w:val="22"/>
        </w:rPr>
      </w:pPr>
      <w:r>
        <w:rPr>
          <w:sz w:val="22"/>
        </w:rPr>
        <w:lastRenderedPageBreak/>
        <w:tab/>
      </w:r>
      <w:r>
        <w:rPr>
          <w:sz w:val="22"/>
        </w:rPr>
        <w:tab/>
        <w:t xml:space="preserve">  Bilaga 2</w:t>
      </w:r>
      <w:r w:rsidRPr="00282678">
        <w:rPr>
          <w:sz w:val="22"/>
        </w:rPr>
        <w:t xml:space="preserve"> </w:t>
      </w:r>
      <w:r>
        <w:rPr>
          <w:sz w:val="22"/>
        </w:rPr>
        <w:t xml:space="preserve">till protokoll </w:t>
      </w:r>
      <w:r>
        <w:rPr>
          <w:sz w:val="22"/>
          <w:szCs w:val="22"/>
        </w:rPr>
        <w:t>2024/25</w:t>
      </w:r>
      <w:r w:rsidRPr="00282678">
        <w:rPr>
          <w:sz w:val="22"/>
          <w:szCs w:val="22"/>
        </w:rPr>
        <w:t>:</w:t>
      </w:r>
      <w:r>
        <w:rPr>
          <w:sz w:val="22"/>
          <w:szCs w:val="22"/>
        </w:rPr>
        <w:t>32</w:t>
      </w:r>
    </w:p>
    <w:p w14:paraId="31691B42" w14:textId="7184DEB8" w:rsidR="004B4C96" w:rsidRDefault="004B4C96" w:rsidP="00EF6F88">
      <w:pPr>
        <w:pStyle w:val="Sidhuvud"/>
        <w:tabs>
          <w:tab w:val="clear" w:pos="4536"/>
          <w:tab w:val="left" w:pos="3402"/>
          <w:tab w:val="left" w:pos="5529"/>
        </w:tabs>
        <w:ind w:left="-851"/>
        <w:rPr>
          <w:spacing w:val="2"/>
          <w:sz w:val="18"/>
        </w:rPr>
      </w:pPr>
    </w:p>
    <w:p w14:paraId="11612F62" w14:textId="586383DD" w:rsidR="009104E3" w:rsidRDefault="009104E3" w:rsidP="00EF6F88">
      <w:pPr>
        <w:pStyle w:val="Sidhuvud"/>
        <w:tabs>
          <w:tab w:val="clear" w:pos="4536"/>
          <w:tab w:val="left" w:pos="3402"/>
          <w:tab w:val="left" w:pos="5529"/>
        </w:tabs>
        <w:ind w:left="-851"/>
        <w:rPr>
          <w:spacing w:val="2"/>
          <w:sz w:val="18"/>
        </w:rPr>
      </w:pPr>
    </w:p>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009104E3" w:rsidRPr="0096297D" w14:paraId="09857633" w14:textId="77777777" w:rsidTr="007469D6">
        <w:trPr>
          <w:trHeight w:hRule="exact" w:val="369"/>
        </w:trPr>
        <w:tc>
          <w:tcPr>
            <w:tcW w:w="3828" w:type="dxa"/>
          </w:tcPr>
          <w:p w14:paraId="69A12275" w14:textId="77777777" w:rsidR="009104E3" w:rsidRPr="0096297D" w:rsidRDefault="009104E3" w:rsidP="007469D6"/>
        </w:tc>
        <w:tc>
          <w:tcPr>
            <w:tcW w:w="3402" w:type="dxa"/>
          </w:tcPr>
          <w:p w14:paraId="65B3CF5F" w14:textId="77777777" w:rsidR="009104E3" w:rsidRPr="0096297D" w:rsidRDefault="009104E3" w:rsidP="007469D6"/>
        </w:tc>
        <w:tc>
          <w:tcPr>
            <w:tcW w:w="2409" w:type="dxa"/>
          </w:tcPr>
          <w:p w14:paraId="3E276CCB" w14:textId="77777777" w:rsidR="009104E3" w:rsidRPr="0096297D" w:rsidRDefault="009104E3" w:rsidP="007469D6"/>
        </w:tc>
      </w:tr>
      <w:tr w:rsidR="009104E3" w:rsidRPr="0096297D" w14:paraId="3BB69412" w14:textId="77777777" w:rsidTr="007469D6">
        <w:trPr>
          <w:trHeight w:hRule="exact" w:val="369"/>
        </w:trPr>
        <w:tc>
          <w:tcPr>
            <w:tcW w:w="3828" w:type="dxa"/>
          </w:tcPr>
          <w:p w14:paraId="60143CD2" w14:textId="77777777" w:rsidR="009104E3" w:rsidRPr="0096297D" w:rsidRDefault="009104E3" w:rsidP="007469D6">
            <w:bookmarkStart w:id="0" w:name="Diarienummer" w:colFirst="2" w:colLast="2"/>
            <w:bookmarkStart w:id="1" w:name="Datum" w:colFirst="0" w:colLast="0"/>
            <w:r>
              <w:t xml:space="preserve"> 2025-02-20</w:t>
            </w:r>
          </w:p>
        </w:tc>
        <w:tc>
          <w:tcPr>
            <w:tcW w:w="3402" w:type="dxa"/>
          </w:tcPr>
          <w:p w14:paraId="036E2A45" w14:textId="77777777" w:rsidR="009104E3" w:rsidRPr="0096297D" w:rsidRDefault="009104E3" w:rsidP="007469D6">
            <w:pPr>
              <w:jc w:val="right"/>
            </w:pPr>
          </w:p>
        </w:tc>
        <w:tc>
          <w:tcPr>
            <w:tcW w:w="2409" w:type="dxa"/>
          </w:tcPr>
          <w:p w14:paraId="345854B6" w14:textId="77777777" w:rsidR="009104E3" w:rsidRPr="0096297D" w:rsidRDefault="009104E3" w:rsidP="007469D6"/>
        </w:tc>
      </w:tr>
    </w:tbl>
    <w:p w14:paraId="665B5B17" w14:textId="77777777" w:rsidR="009104E3" w:rsidRDefault="009104E3" w:rsidP="009104E3">
      <w:pPr>
        <w:tabs>
          <w:tab w:val="left" w:pos="1074"/>
        </w:tabs>
      </w:pPr>
      <w:bookmarkStart w:id="2" w:name="Start"/>
      <w:bookmarkEnd w:id="0"/>
      <w:bookmarkEnd w:id="1"/>
      <w:bookmarkEnd w:id="2"/>
    </w:p>
    <w:p w14:paraId="59C2786A" w14:textId="77777777" w:rsidR="009104E3" w:rsidRDefault="009104E3" w:rsidP="009104E3">
      <w:pPr>
        <w:tabs>
          <w:tab w:val="left" w:pos="1074"/>
        </w:tabs>
      </w:pPr>
    </w:p>
    <w:p w14:paraId="14926C67" w14:textId="77777777" w:rsidR="009104E3" w:rsidRPr="0096297D" w:rsidRDefault="009104E3" w:rsidP="009104E3">
      <w:pPr>
        <w:rPr>
          <w:b/>
          <w:bCs/>
          <w:sz w:val="28"/>
          <w:szCs w:val="28"/>
        </w:rPr>
      </w:pPr>
      <w:r>
        <w:rPr>
          <w:b/>
          <w:bCs/>
          <w:sz w:val="28"/>
          <w:szCs w:val="28"/>
        </w:rPr>
        <w:t xml:space="preserve">Utskottsinitiativ: </w:t>
      </w:r>
      <w:r w:rsidRPr="001008D5">
        <w:rPr>
          <w:b/>
          <w:bCs/>
          <w:sz w:val="28"/>
          <w:szCs w:val="28"/>
        </w:rPr>
        <w:t>Ge en procent av BNP årligen i ekonomiskt stöd till Ukraina</w:t>
      </w:r>
    </w:p>
    <w:p w14:paraId="5055627D" w14:textId="77777777" w:rsidR="009104E3" w:rsidRDefault="009104E3" w:rsidP="009104E3"/>
    <w:p w14:paraId="76B042A7" w14:textId="77777777" w:rsidR="009104E3" w:rsidRPr="0096297D" w:rsidRDefault="009104E3" w:rsidP="009104E3">
      <w:pPr>
        <w:rPr>
          <w:szCs w:val="24"/>
        </w:rPr>
      </w:pPr>
      <w:r w:rsidRPr="0096297D">
        <w:rPr>
          <w:szCs w:val="24"/>
        </w:rPr>
        <w:t xml:space="preserve">Med anledning av det rådande säkerhetsläget i Europa är behovet av ett ökat stöd till Ukraina större än någonsin. Regeringen påvisar i sina ändringsbudgetar för ekonomiskt stöd uttryck för en tydlig vilja om att värna om Ukrainas rätt till frihet. Vi står självklart bakom det ökade stödet. </w:t>
      </w:r>
    </w:p>
    <w:p w14:paraId="62F9FA6D" w14:textId="77777777" w:rsidR="009104E3" w:rsidRDefault="009104E3" w:rsidP="009104E3">
      <w:pPr>
        <w:rPr>
          <w:szCs w:val="24"/>
        </w:rPr>
      </w:pPr>
    </w:p>
    <w:p w14:paraId="2B0907E2" w14:textId="77777777" w:rsidR="009104E3" w:rsidRPr="0096297D" w:rsidRDefault="009104E3" w:rsidP="009104E3">
      <w:pPr>
        <w:rPr>
          <w:szCs w:val="24"/>
        </w:rPr>
      </w:pPr>
      <w:r w:rsidRPr="0096297D">
        <w:rPr>
          <w:szCs w:val="24"/>
        </w:rPr>
        <w:t>Men vi behöver göra än mer. Det enda alternativet för svensk och europeisk säkerhet är att Ukraina och inte Ryssland står som vinnare i kriget. I detta läge måste Sverige och våra europeiska allierade stärka Ukrainas hand, vi måste göra det tillräckligt för att undvika en fred på Vladimir Putins villkor.</w:t>
      </w:r>
    </w:p>
    <w:p w14:paraId="14802C3E" w14:textId="77777777" w:rsidR="009104E3" w:rsidRDefault="009104E3" w:rsidP="009104E3">
      <w:pPr>
        <w:rPr>
          <w:szCs w:val="24"/>
        </w:rPr>
      </w:pPr>
    </w:p>
    <w:p w14:paraId="142DF069" w14:textId="77777777" w:rsidR="009104E3" w:rsidRPr="0096297D" w:rsidRDefault="009104E3" w:rsidP="009104E3">
      <w:pPr>
        <w:rPr>
          <w:szCs w:val="24"/>
        </w:rPr>
      </w:pPr>
      <w:r w:rsidRPr="0096297D">
        <w:rPr>
          <w:szCs w:val="24"/>
        </w:rPr>
        <w:t xml:space="preserve">Sverige har exceptionellt goda statsfinanser, en stark försvarsindustri och en opinion med ett bergfast stöd till Ukraina. Det svenska säkerhetsintresset är avhängigt Ukrainas frihet från Ryssland. Trots det ligger Sverige bakom de baltiska och nordiska länderna i storlek av stöd i förhållande till BNP. </w:t>
      </w:r>
    </w:p>
    <w:p w14:paraId="416CB43A" w14:textId="77777777" w:rsidR="009104E3" w:rsidRDefault="009104E3" w:rsidP="009104E3">
      <w:pPr>
        <w:rPr>
          <w:szCs w:val="24"/>
        </w:rPr>
      </w:pPr>
    </w:p>
    <w:p w14:paraId="024AE4DF" w14:textId="77777777" w:rsidR="009104E3" w:rsidRPr="0096297D" w:rsidRDefault="009104E3" w:rsidP="009104E3">
      <w:pPr>
        <w:rPr>
          <w:szCs w:val="24"/>
        </w:rPr>
      </w:pPr>
      <w:r w:rsidRPr="0096297D">
        <w:rPr>
          <w:szCs w:val="24"/>
        </w:rPr>
        <w:t xml:space="preserve">Regeringen har satt budgetramen för det ekonomiska stödet på 75 miljarder mellan 2024–2026, vilket motsvarar en procent av vår BNP fördelat över tre år. </w:t>
      </w:r>
    </w:p>
    <w:p w14:paraId="0E3B03A6" w14:textId="77777777" w:rsidR="009104E3" w:rsidRDefault="009104E3" w:rsidP="009104E3">
      <w:pPr>
        <w:rPr>
          <w:szCs w:val="24"/>
        </w:rPr>
      </w:pPr>
    </w:p>
    <w:p w14:paraId="0907B979" w14:textId="77777777" w:rsidR="009104E3" w:rsidRPr="0096297D" w:rsidRDefault="009104E3" w:rsidP="009104E3">
      <w:pPr>
        <w:rPr>
          <w:szCs w:val="24"/>
        </w:rPr>
      </w:pPr>
      <w:r w:rsidRPr="0096297D">
        <w:rPr>
          <w:szCs w:val="24"/>
        </w:rPr>
        <w:t>Det nya läget innebär att Sverige kan och bör tredubbla det ekonomiska stödet till Ukraina till över en procent av vår BNP 2025, motsvarande mer än 75 miljarder kronor i år. Detta måste ske nu, utan fördröjning.  Sverige måste gå före i handling, så att vi kan vi uppmana EU:s länder att samtidigt satsa lika mycket. Som experter för Finanspolitiska Rådet nyligen konstaterat skulle ett stöd på en procent för hela EU motsvara drygt 2 000 miljarder kronor, nära dubbelt så mycket som USA:s stöd sedan den fullskaliga invasionen inleddes.</w:t>
      </w:r>
    </w:p>
    <w:p w14:paraId="086309FD" w14:textId="77777777" w:rsidR="009104E3" w:rsidRDefault="009104E3" w:rsidP="009104E3">
      <w:pPr>
        <w:rPr>
          <w:szCs w:val="24"/>
        </w:rPr>
      </w:pPr>
    </w:p>
    <w:p w14:paraId="5A82D6C5" w14:textId="77777777" w:rsidR="009104E3" w:rsidRPr="0096297D" w:rsidRDefault="009104E3" w:rsidP="009104E3">
      <w:pPr>
        <w:rPr>
          <w:szCs w:val="24"/>
        </w:rPr>
      </w:pPr>
      <w:r w:rsidRPr="0096297D">
        <w:rPr>
          <w:szCs w:val="24"/>
        </w:rPr>
        <w:t xml:space="preserve">Sverige behöver återta en aktiv ledarskapsroll för att värna Ukrainas frihet och självständighet. USA och Ryssland ska inte själva kunna göra upp och lämna Sverige och EU utanför samtalen. Därmed behövs ett ökat ekonomiskt stöd läggas på bordet för att få en delaktig roll i kampen för Ukrainas frihet. Världen står inför ett säkerhetspolitiskt historiskt läge. Vi får inte stå på fel sida historien. Sverige har genom goda statsfinanser möjlighet att öka det ekonomiska stödet till Ukraina.  Sverige bör ta ett större ledarskap och direkt tredubbla det ekonomiska stödet till Ukraina med 75 miljarder per år, inte över tre år. </w:t>
      </w:r>
    </w:p>
    <w:p w14:paraId="687635AE" w14:textId="77777777" w:rsidR="009104E3" w:rsidRDefault="009104E3" w:rsidP="009104E3">
      <w:pPr>
        <w:rPr>
          <w:szCs w:val="24"/>
        </w:rPr>
      </w:pPr>
    </w:p>
    <w:p w14:paraId="19F6468E" w14:textId="77777777" w:rsidR="009104E3" w:rsidRPr="0096297D" w:rsidRDefault="009104E3" w:rsidP="009104E3">
      <w:pPr>
        <w:rPr>
          <w:b/>
          <w:bCs/>
          <w:szCs w:val="24"/>
        </w:rPr>
      </w:pPr>
      <w:r w:rsidRPr="0096297D">
        <w:rPr>
          <w:b/>
          <w:bCs/>
          <w:szCs w:val="24"/>
        </w:rPr>
        <w:t>Förslag på tillkännagivande</w:t>
      </w:r>
    </w:p>
    <w:p w14:paraId="17FD701C" w14:textId="77777777" w:rsidR="009104E3" w:rsidRDefault="009104E3" w:rsidP="009104E3">
      <w:pPr>
        <w:rPr>
          <w:szCs w:val="24"/>
        </w:rPr>
      </w:pPr>
      <w:r w:rsidRPr="0096297D">
        <w:rPr>
          <w:szCs w:val="24"/>
        </w:rPr>
        <w:t>Regeringen bör skyndsamt återkomma till riksdagen med förslag om att utöka det ekonomiska stödet till Ukraina till en procent av BNP i år, motsvarande minst 75 miljarder kronor för 2025.</w:t>
      </w:r>
    </w:p>
    <w:p w14:paraId="70C29053" w14:textId="77777777" w:rsidR="009104E3" w:rsidRDefault="009104E3" w:rsidP="009104E3">
      <w:pPr>
        <w:rPr>
          <w:szCs w:val="24"/>
        </w:rPr>
      </w:pPr>
    </w:p>
    <w:p w14:paraId="7327BC28" w14:textId="77777777" w:rsidR="009104E3" w:rsidRDefault="009104E3" w:rsidP="009104E3">
      <w:pPr>
        <w:rPr>
          <w:szCs w:val="24"/>
        </w:rPr>
      </w:pPr>
    </w:p>
    <w:p w14:paraId="566A3C0C" w14:textId="77777777" w:rsidR="009104E3" w:rsidRPr="0096297D" w:rsidRDefault="009104E3" w:rsidP="009104E3">
      <w:pPr>
        <w:rPr>
          <w:szCs w:val="24"/>
        </w:rPr>
      </w:pPr>
      <w:r>
        <w:rPr>
          <w:szCs w:val="24"/>
        </w:rPr>
        <w:t>Martin Ådahl (C)</w:t>
      </w:r>
    </w:p>
    <w:p w14:paraId="7CC69723" w14:textId="77777777" w:rsidR="009104E3" w:rsidRDefault="009104E3" w:rsidP="00EF6F88">
      <w:pPr>
        <w:pStyle w:val="Sidhuvud"/>
        <w:tabs>
          <w:tab w:val="clear" w:pos="4536"/>
          <w:tab w:val="left" w:pos="3402"/>
          <w:tab w:val="left" w:pos="5529"/>
        </w:tabs>
        <w:ind w:left="-851"/>
        <w:rPr>
          <w:spacing w:val="2"/>
          <w:sz w:val="18"/>
        </w:rPr>
      </w:pPr>
    </w:p>
    <w:sectPr w:rsidR="009104E3"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3"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91E60"/>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8559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C6A89"/>
    <w:rsid w:val="002D2AB5"/>
    <w:rsid w:val="002D7BA8"/>
    <w:rsid w:val="002E2C0C"/>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0D9"/>
    <w:rsid w:val="0042098E"/>
    <w:rsid w:val="00430C08"/>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B4C96"/>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B58CF"/>
    <w:rsid w:val="005C1541"/>
    <w:rsid w:val="005C61EB"/>
    <w:rsid w:val="005E28B9"/>
    <w:rsid w:val="005E2FA7"/>
    <w:rsid w:val="005E439C"/>
    <w:rsid w:val="005E70F9"/>
    <w:rsid w:val="006133DE"/>
    <w:rsid w:val="00617AB2"/>
    <w:rsid w:val="00627839"/>
    <w:rsid w:val="006375F0"/>
    <w:rsid w:val="00643E28"/>
    <w:rsid w:val="006457B3"/>
    <w:rsid w:val="006572A3"/>
    <w:rsid w:val="00667E9B"/>
    <w:rsid w:val="00674AF0"/>
    <w:rsid w:val="00685BB7"/>
    <w:rsid w:val="006921D0"/>
    <w:rsid w:val="00692522"/>
    <w:rsid w:val="006A0738"/>
    <w:rsid w:val="006A1A13"/>
    <w:rsid w:val="006B4EC6"/>
    <w:rsid w:val="006B7B0C"/>
    <w:rsid w:val="006C1499"/>
    <w:rsid w:val="006C21FA"/>
    <w:rsid w:val="006D0D77"/>
    <w:rsid w:val="006D3126"/>
    <w:rsid w:val="006D3360"/>
    <w:rsid w:val="006D5482"/>
    <w:rsid w:val="006E04F7"/>
    <w:rsid w:val="00701F1D"/>
    <w:rsid w:val="007055E3"/>
    <w:rsid w:val="0071122A"/>
    <w:rsid w:val="00723D66"/>
    <w:rsid w:val="007243F5"/>
    <w:rsid w:val="0073741E"/>
    <w:rsid w:val="00743A44"/>
    <w:rsid w:val="00750FF0"/>
    <w:rsid w:val="00751AFD"/>
    <w:rsid w:val="00755F03"/>
    <w:rsid w:val="00761D68"/>
    <w:rsid w:val="00764C9C"/>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E6CE8"/>
    <w:rsid w:val="008F4D68"/>
    <w:rsid w:val="008F5A68"/>
    <w:rsid w:val="00902D30"/>
    <w:rsid w:val="00905D9C"/>
    <w:rsid w:val="00906C2D"/>
    <w:rsid w:val="009102F7"/>
    <w:rsid w:val="009104E3"/>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C2D5E"/>
    <w:rsid w:val="009C53E0"/>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1454A"/>
    <w:rsid w:val="00B33983"/>
    <w:rsid w:val="00B36495"/>
    <w:rsid w:val="00B44E5B"/>
    <w:rsid w:val="00B523F7"/>
    <w:rsid w:val="00B54410"/>
    <w:rsid w:val="00B547D0"/>
    <w:rsid w:val="00B55F04"/>
    <w:rsid w:val="00B86CB0"/>
    <w:rsid w:val="00B9203B"/>
    <w:rsid w:val="00BB6541"/>
    <w:rsid w:val="00BB6AE7"/>
    <w:rsid w:val="00BC2283"/>
    <w:rsid w:val="00BC2DCD"/>
    <w:rsid w:val="00BC7FDA"/>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385"/>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15D1F"/>
    <w:rsid w:val="00D20E5C"/>
    <w:rsid w:val="00D21638"/>
    <w:rsid w:val="00D31100"/>
    <w:rsid w:val="00D32E1A"/>
    <w:rsid w:val="00D34D00"/>
    <w:rsid w:val="00D37D24"/>
    <w:rsid w:val="00D4656A"/>
    <w:rsid w:val="00D46648"/>
    <w:rsid w:val="00D470BA"/>
    <w:rsid w:val="00D47EFF"/>
    <w:rsid w:val="00D518B5"/>
    <w:rsid w:val="00D74308"/>
    <w:rsid w:val="00D84F88"/>
    <w:rsid w:val="00D86209"/>
    <w:rsid w:val="00DA1CE8"/>
    <w:rsid w:val="00DA30F0"/>
    <w:rsid w:val="00DB1740"/>
    <w:rsid w:val="00DB1AB2"/>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83092"/>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806</Words>
  <Characters>5189</Characters>
  <Application>Microsoft Office Word</Application>
  <DocSecurity>0</DocSecurity>
  <Lines>1037</Lines>
  <Paragraphs>166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20</cp:revision>
  <cp:lastPrinted>2018-10-02T11:13:00Z</cp:lastPrinted>
  <dcterms:created xsi:type="dcterms:W3CDTF">2025-02-17T08:19:00Z</dcterms:created>
  <dcterms:modified xsi:type="dcterms:W3CDTF">2025-02-27T11:11:00Z</dcterms:modified>
</cp:coreProperties>
</file>