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3.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charts/chart4.xml" ContentType="application/vnd.openxmlformats-officedocument.drawingml.chart+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hart8.xml" ContentType="application/vnd.openxmlformats-officedocument.drawingml.chart+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olors11.xml" ContentType="application/vnd.ms-office.chartcolorstyle+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6="http://schemas.microsoft.com/office/drawing/2014/main" xmlns:c="http://schemas.openxmlformats.org/drawingml/2006/chart"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6C5821" w:rsidR="00FC43F6" w:rsidP="006C5821" w:rsidRDefault="007A4018" w14:paraId="4A08479A" w14:textId="59C2FF69">
      <w:pPr>
        <w:pStyle w:val="Rubrik1numrerat"/>
      </w:pPr>
      <w:bookmarkStart w:name="_Toc106800475" w:id="0"/>
      <w:bookmarkStart w:name="_Toc197351619" w:id="1"/>
      <w:r w:rsidRPr="006C5821">
        <w:t>Sammanfattning</w:t>
      </w:r>
      <w:bookmarkEnd w:id="1"/>
    </w:p>
    <w:p w:rsidR="00093A1E" w:rsidP="00EC7099" w:rsidRDefault="000F194A" w14:paraId="7FEC69E4" w14:textId="2FF02646">
      <w:pPr>
        <w:pStyle w:val="Normalutanindragellerluft"/>
      </w:pPr>
      <w:r>
        <w:rPr>
          <w:lang w:eastAsia="sv-SE"/>
        </w:rPr>
        <w:t>V</w:t>
      </w:r>
      <w:r w:rsidR="00F507F5">
        <w:rPr>
          <w:lang w:eastAsia="sv-SE"/>
        </w:rPr>
        <w:t xml:space="preserve">ärldsekonomin </w:t>
      </w:r>
      <w:r>
        <w:rPr>
          <w:lang w:eastAsia="sv-SE"/>
        </w:rPr>
        <w:t xml:space="preserve">präglas </w:t>
      </w:r>
      <w:r w:rsidR="00F507F5">
        <w:rPr>
          <w:lang w:eastAsia="sv-SE"/>
        </w:rPr>
        <w:t xml:space="preserve">av en extrem osäkerhet. </w:t>
      </w:r>
      <w:r w:rsidR="006416A0">
        <w:t>Det tillsamman</w:t>
      </w:r>
      <w:r w:rsidR="004156DF">
        <w:t>s</w:t>
      </w:r>
      <w:r w:rsidR="006416A0">
        <w:t xml:space="preserve"> med att</w:t>
      </w:r>
      <w:r w:rsidR="007A3C42">
        <w:t xml:space="preserve"> inflationen kommit tillbaka </w:t>
      </w:r>
      <w:r w:rsidRPr="00EF6D66" w:rsidR="007A3C42">
        <w:t xml:space="preserve">har </w:t>
      </w:r>
      <w:r w:rsidR="006416A0">
        <w:t xml:space="preserve">gjort att </w:t>
      </w:r>
      <w:r w:rsidR="00861417">
        <w:t xml:space="preserve">de svenska </w:t>
      </w:r>
      <w:r w:rsidRPr="00EF6D66" w:rsidR="007A3C42">
        <w:t>hushållens syn på ekonomin vänt ned</w:t>
      </w:r>
      <w:r w:rsidR="00861417">
        <w:t>åt</w:t>
      </w:r>
      <w:r w:rsidR="007A3C42">
        <w:t xml:space="preserve">. </w:t>
      </w:r>
      <w:r w:rsidRPr="00091B70" w:rsidR="00563899">
        <w:t xml:space="preserve">Reallönesänkningarna plus regeringens passiva och ineffektiva finanspolitik har resulterat i en svag utveckling för hushållens konsumtion och investeringarna i näringslivet. </w:t>
      </w:r>
      <w:r w:rsidR="00563899">
        <w:t>Den dåliga utvecklingen av investeringarna syns inte minst inom bygg- och bostadsmarknaden</w:t>
      </w:r>
      <w:r w:rsidR="004156DF">
        <w:t>,</w:t>
      </w:r>
      <w:r w:rsidR="006416A0">
        <w:t xml:space="preserve"> och den</w:t>
      </w:r>
      <w:r w:rsidRPr="00091B70" w:rsidR="00563899">
        <w:t xml:space="preserve"> </w:t>
      </w:r>
      <w:r w:rsidR="00563899">
        <w:t>dämpade</w:t>
      </w:r>
      <w:r w:rsidRPr="00091B70" w:rsidR="00563899">
        <w:t xml:space="preserve"> ekonomiska utvecklingen syns tydligt på arbetsmarknaden.</w:t>
      </w:r>
    </w:p>
    <w:p w:rsidR="007D46BC" w:rsidP="00EC7099" w:rsidRDefault="000F194A" w14:paraId="6147DF7A" w14:textId="15201986">
      <w:r>
        <w:t xml:space="preserve">Den höga arbetslösheten är ett politiskt misslyckande. </w:t>
      </w:r>
      <w:r w:rsidR="003F57DD">
        <w:t xml:space="preserve">Sedan regeringen tillträdde har </w:t>
      </w:r>
      <w:r>
        <w:t>den dessutom</w:t>
      </w:r>
      <w:r w:rsidR="003F57DD">
        <w:t xml:space="preserve"> ökat trendmässigt. </w:t>
      </w:r>
      <w:r w:rsidR="007D46BC">
        <w:t>Den svenska arbetslösheten är numera näst högst inom hela EU</w:t>
      </w:r>
      <w:r w:rsidR="00594F51">
        <w:t>;</w:t>
      </w:r>
      <w:r w:rsidR="007D46BC">
        <w:t xml:space="preserve"> bara Spanien har en högre arbetslöshet. </w:t>
      </w:r>
    </w:p>
    <w:p w:rsidRPr="007D46BC" w:rsidR="00390254" w:rsidP="00EC7099" w:rsidRDefault="00390254" w14:paraId="1E61C7CF" w14:textId="32ED32C2">
      <w:r w:rsidRPr="00223767">
        <w:rPr>
          <w:lang w:eastAsia="sv-SE"/>
        </w:rPr>
        <w:t>Inflationsuppgången under 2022 och 2023 var framför allt utbuds- och vinstdriven. Företagen utnyttjade inflationsimpulserna efter pandemin och Rysslands anfallskrig mot Ukraina till breda prishöjningar på varor och tjänster. Detta har resulterat i kraftigt stigande vinstandelar i näringslivet.</w:t>
      </w:r>
      <w:r>
        <w:rPr>
          <w:lang w:eastAsia="sv-SE"/>
        </w:rPr>
        <w:t xml:space="preserve"> </w:t>
      </w:r>
      <w:r w:rsidRPr="00223767">
        <w:rPr>
          <w:lang w:eastAsia="sv-SE"/>
        </w:rPr>
        <w:t xml:space="preserve">Det ligger nära till hands att tro att den höga vinstandelen har sin grund i bristande konkurrens inom en rad olika branscher i det svenska näringslivet. </w:t>
      </w:r>
      <w:r w:rsidR="006855DC">
        <w:rPr>
          <w:lang w:eastAsia="sv-SE"/>
        </w:rPr>
        <w:t>Exempelvis</w:t>
      </w:r>
      <w:r w:rsidRPr="00223767">
        <w:rPr>
          <w:lang w:eastAsia="sv-SE"/>
        </w:rPr>
        <w:t xml:space="preserve"> dagligvaruhandeln kännetecknas av en mycket hög grad av marknadskoncentration</w:t>
      </w:r>
      <w:r w:rsidR="00811C88">
        <w:rPr>
          <w:lang w:eastAsia="sv-SE"/>
        </w:rPr>
        <w:t xml:space="preserve">. </w:t>
      </w:r>
      <w:r w:rsidR="00BA3B0A">
        <w:rPr>
          <w:lang w:eastAsia="sv-SE"/>
        </w:rPr>
        <w:t xml:space="preserve">Det är framför allt </w:t>
      </w:r>
      <w:r w:rsidRPr="00223767" w:rsidR="00BA3B0A">
        <w:rPr>
          <w:lang w:eastAsia="sv-SE"/>
        </w:rPr>
        <w:t xml:space="preserve">stigande priser på livsmedel </w:t>
      </w:r>
      <w:r w:rsidR="00BA3B0A">
        <w:rPr>
          <w:lang w:eastAsia="sv-SE"/>
        </w:rPr>
        <w:t xml:space="preserve">som bidragit </w:t>
      </w:r>
      <w:r w:rsidRPr="00223767" w:rsidR="00BA3B0A">
        <w:rPr>
          <w:lang w:eastAsia="sv-SE"/>
        </w:rPr>
        <w:t>till den ökade inflationstakten</w:t>
      </w:r>
      <w:r w:rsidR="00BA3B0A">
        <w:rPr>
          <w:lang w:eastAsia="sv-SE"/>
        </w:rPr>
        <w:t xml:space="preserve"> de senaste månaderna</w:t>
      </w:r>
      <w:r w:rsidRPr="00223767" w:rsidR="00BA3B0A">
        <w:rPr>
          <w:lang w:eastAsia="sv-SE"/>
        </w:rPr>
        <w:t>.</w:t>
      </w:r>
      <w:r w:rsidR="00BA3B0A">
        <w:rPr>
          <w:lang w:eastAsia="sv-SE"/>
        </w:rPr>
        <w:t xml:space="preserve"> </w:t>
      </w:r>
      <w:r w:rsidRPr="00223767">
        <w:rPr>
          <w:lang w:eastAsia="sv-SE"/>
        </w:rPr>
        <w:t xml:space="preserve">Den europeiska </w:t>
      </w:r>
      <w:r w:rsidRPr="00223767">
        <w:rPr>
          <w:lang w:eastAsia="sv-SE"/>
        </w:rPr>
        <w:lastRenderedPageBreak/>
        <w:t>elmarknaden är också synnerligen dysfunktionell, med en marginalprissättning som driver upp elkostnaderna för svenska hushåll. Den svenska bankmarknaden domineras</w:t>
      </w:r>
      <w:r w:rsidR="000F194A">
        <w:rPr>
          <w:lang w:eastAsia="sv-SE"/>
        </w:rPr>
        <w:t xml:space="preserve"> </w:t>
      </w:r>
      <w:r w:rsidRPr="00223767">
        <w:rPr>
          <w:lang w:eastAsia="sv-SE"/>
        </w:rPr>
        <w:t>av de fyra storbankerna (inkluderat Nordea). Bristen på konkurrens visar sig bl.a. i att bankernas inlåningsmarginaler exploderat.</w:t>
      </w:r>
    </w:p>
    <w:p w:rsidR="00051758" w:rsidP="00EC7099" w:rsidRDefault="00051758" w14:paraId="0F80C9D2" w14:textId="21E2A133">
      <w:pPr>
        <w:rPr>
          <w:lang w:eastAsia="sv-SE"/>
        </w:rPr>
      </w:pPr>
      <w:r w:rsidRPr="006127F0">
        <w:rPr>
          <w:lang w:eastAsia="sv-SE"/>
        </w:rPr>
        <w:t xml:space="preserve">Regeringen har sedan den tillträdde hösten 2022 drivit linjen att </w:t>
      </w:r>
      <w:r>
        <w:rPr>
          <w:lang w:eastAsia="sv-SE"/>
        </w:rPr>
        <w:t>det bästa de</w:t>
      </w:r>
      <w:r w:rsidR="00594F51">
        <w:rPr>
          <w:lang w:eastAsia="sv-SE"/>
        </w:rPr>
        <w:t>n</w:t>
      </w:r>
      <w:r>
        <w:rPr>
          <w:lang w:eastAsia="sv-SE"/>
        </w:rPr>
        <w:t xml:space="preserve"> kan göra </w:t>
      </w:r>
      <w:r w:rsidRPr="006127F0">
        <w:rPr>
          <w:lang w:eastAsia="sv-SE"/>
        </w:rPr>
        <w:t xml:space="preserve">för att bekämpa inflationen och underlätta för hushållen i kostnadskrisen är </w:t>
      </w:r>
      <w:r>
        <w:rPr>
          <w:lang w:eastAsia="sv-SE"/>
        </w:rPr>
        <w:t>– ingenting</w:t>
      </w:r>
      <w:r w:rsidRPr="006127F0">
        <w:rPr>
          <w:lang w:eastAsia="sv-SE"/>
        </w:rPr>
        <w:t xml:space="preserve">. </w:t>
      </w:r>
      <w:r>
        <w:rPr>
          <w:lang w:eastAsia="sv-SE"/>
        </w:rPr>
        <w:t>Ändå övergick man från att göra ingenting till att kraftigt sänka skatter för de allra rikaste. R</w:t>
      </w:r>
      <w:r w:rsidR="007A3C42">
        <w:rPr>
          <w:lang w:eastAsia="sv-SE"/>
        </w:rPr>
        <w:t xml:space="preserve">egeringens tillväxtfientliga skattepolitik </w:t>
      </w:r>
      <w:r>
        <w:rPr>
          <w:lang w:eastAsia="sv-SE"/>
        </w:rPr>
        <w:t xml:space="preserve">varken </w:t>
      </w:r>
      <w:r w:rsidR="00594F51">
        <w:rPr>
          <w:lang w:eastAsia="sv-SE"/>
        </w:rPr>
        <w:t xml:space="preserve">hjälper </w:t>
      </w:r>
      <w:r w:rsidR="007A3C42">
        <w:rPr>
          <w:lang w:eastAsia="sv-SE"/>
        </w:rPr>
        <w:t>de hushåll som drabbats</w:t>
      </w:r>
      <w:r>
        <w:rPr>
          <w:lang w:eastAsia="sv-SE"/>
        </w:rPr>
        <w:t xml:space="preserve"> </w:t>
      </w:r>
      <w:r w:rsidR="007A3C42">
        <w:rPr>
          <w:lang w:eastAsia="sv-SE"/>
        </w:rPr>
        <w:t>av kostnadskrisen eller sätter fart på hjulen i svensk ekonomi</w:t>
      </w:r>
      <w:r>
        <w:rPr>
          <w:lang w:eastAsia="sv-SE"/>
        </w:rPr>
        <w:t>.</w:t>
      </w:r>
      <w:r w:rsidR="007A3C42">
        <w:rPr>
          <w:lang w:eastAsia="sv-SE"/>
        </w:rPr>
        <w:t xml:space="preserve"> </w:t>
      </w:r>
    </w:p>
    <w:p w:rsidR="007A3C42" w:rsidP="00EC7099" w:rsidRDefault="00051758" w14:paraId="7FF843C7" w14:textId="58F3F4EC">
      <w:pPr>
        <w:rPr>
          <w:lang w:eastAsia="sv-SE"/>
        </w:rPr>
      </w:pPr>
      <w:r>
        <w:t>Vänsterpartiet föreslår i</w:t>
      </w:r>
      <w:r w:rsidR="000F194A">
        <w:t xml:space="preserve"> denna vårmotion</w:t>
      </w:r>
      <w:r>
        <w:t xml:space="preserve"> en satsning på beredskapsjobb i låg</w:t>
      </w:r>
      <w:r w:rsidR="007E7058">
        <w:softHyphen/>
      </w:r>
      <w:r>
        <w:t>konjunkturen</w:t>
      </w:r>
      <w:r w:rsidR="007A3C42">
        <w:rPr>
          <w:lang w:eastAsia="sv-SE"/>
        </w:rPr>
        <w:t xml:space="preserve">. </w:t>
      </w:r>
      <w:r w:rsidR="007A3C42">
        <w:t xml:space="preserve">Projekten ska bidra till att stärka samhällets robusthet och resiliens. Det kan t.ex. handla om att bygga ut och förstärka infrastruktur, rusta </w:t>
      </w:r>
      <w:r w:rsidR="00004971">
        <w:t>va</w:t>
      </w:r>
      <w:r w:rsidR="007A3C42">
        <w:t>-system, renovera skyddsrum eller stärka energisystemet eller annan samhällskritisk verksamhet. Det handlar också om att möjliggöra för kommuner och regioner att bygga ut och bibehålla vårdinfrastruktur</w:t>
      </w:r>
      <w:r>
        <w:t>.</w:t>
      </w:r>
      <w:r w:rsidR="007A3C42">
        <w:rPr>
          <w:lang w:eastAsia="sv-SE"/>
        </w:rPr>
        <w:t xml:space="preserve"> </w:t>
      </w:r>
      <w:r w:rsidR="007A3C42">
        <w:t>För att projekte</w:t>
      </w:r>
      <w:r w:rsidR="000F194A">
        <w:t>n</w:t>
      </w:r>
      <w:r w:rsidR="007A3C42">
        <w:t xml:space="preserve"> ska omfattas krävs att verksamheten ska ägas och drivas i offentlig regi.</w:t>
      </w:r>
    </w:p>
    <w:p w:rsidR="007A3C42" w:rsidP="00EC7099" w:rsidRDefault="007A3C42" w14:paraId="4C5E50B8" w14:textId="16E4661D">
      <w:pPr>
        <w:rPr>
          <w:lang w:eastAsia="sv-SE"/>
        </w:rPr>
      </w:pPr>
      <w:r>
        <w:rPr>
          <w:lang w:eastAsia="sv-SE"/>
        </w:rPr>
        <w:t xml:space="preserve">För att skydda hushållen i krisen föreslår </w:t>
      </w:r>
      <w:r w:rsidR="00051758">
        <w:rPr>
          <w:lang w:eastAsia="sv-SE"/>
        </w:rPr>
        <w:t xml:space="preserve">vidare </w:t>
      </w:r>
      <w:r>
        <w:rPr>
          <w:lang w:eastAsia="sv-SE"/>
        </w:rPr>
        <w:t xml:space="preserve">Vänsterpartiet två extra barnbidrag och två extra bostadsbidrag i sommar. </w:t>
      </w:r>
    </w:p>
    <w:p w:rsidR="007A3C42" w:rsidP="00EC7099" w:rsidRDefault="00811C88" w14:paraId="4BB2802E" w14:textId="5769E0AF">
      <w:r>
        <w:t>I denna motion lyfter Vänsterpartiet även en rad förslag för att reglera den illa fungerande mat-, bank</w:t>
      </w:r>
      <w:r w:rsidR="00B150AE">
        <w:t>-</w:t>
      </w:r>
      <w:r>
        <w:t xml:space="preserve"> och elmarknaden. </w:t>
      </w:r>
      <w:r w:rsidR="00497489">
        <w:t>T</w:t>
      </w:r>
      <w:r>
        <w:t xml:space="preserve">illsammans måste </w:t>
      </w:r>
      <w:r w:rsidR="00497489">
        <w:t>vi</w:t>
      </w:r>
      <w:r w:rsidR="00386934">
        <w:t xml:space="preserve"> </w:t>
      </w:r>
      <w:r>
        <w:t>stoppa rånet av hushållen.</w:t>
      </w:r>
    </w:p>
    <w:p w:rsidR="007A3C42" w:rsidP="00EC7099" w:rsidRDefault="00051758" w14:paraId="4A521D50" w14:textId="51B71464">
      <w:r>
        <w:rPr>
          <w:lang w:eastAsia="sv-SE"/>
        </w:rPr>
        <w:t>Med anledning av regeringens planerade lånefinansierade utbyggnad av försvaret</w:t>
      </w:r>
      <w:r w:rsidR="007A3C42">
        <w:rPr>
          <w:lang w:eastAsia="sv-SE"/>
        </w:rPr>
        <w:t xml:space="preserve"> kräver Vänsterpartiet att löpande utgifter till försvarsuppbyggnad ska finansieras</w:t>
      </w:r>
      <w:r w:rsidR="00497489">
        <w:rPr>
          <w:lang w:eastAsia="sv-SE"/>
        </w:rPr>
        <w:t>.</w:t>
      </w:r>
      <w:r w:rsidR="007A3C42">
        <w:rPr>
          <w:lang w:eastAsia="sv-SE"/>
        </w:rPr>
        <w:t xml:space="preserve"> </w:t>
      </w:r>
      <w:r w:rsidR="00497489">
        <w:rPr>
          <w:lang w:eastAsia="sv-SE"/>
        </w:rPr>
        <w:t>S</w:t>
      </w:r>
      <w:r w:rsidR="007A3C42">
        <w:rPr>
          <w:lang w:eastAsia="sv-SE"/>
        </w:rPr>
        <w:t xml:space="preserve">kattesänkningar </w:t>
      </w:r>
      <w:r w:rsidR="00497489">
        <w:rPr>
          <w:lang w:eastAsia="sv-SE"/>
        </w:rPr>
        <w:t xml:space="preserve">får </w:t>
      </w:r>
      <w:r w:rsidR="007A3C42">
        <w:rPr>
          <w:lang w:eastAsia="sv-SE"/>
        </w:rPr>
        <w:t xml:space="preserve">aldrig lånefinansieras. </w:t>
      </w:r>
      <w:r>
        <w:rPr>
          <w:lang w:eastAsia="sv-SE"/>
        </w:rPr>
        <w:t>V</w:t>
      </w:r>
      <w:r w:rsidR="007A3C42">
        <w:rPr>
          <w:lang w:eastAsia="sv-SE"/>
        </w:rPr>
        <w:t xml:space="preserve">i </w:t>
      </w:r>
      <w:r w:rsidR="00591977">
        <w:rPr>
          <w:lang w:eastAsia="sv-SE"/>
        </w:rPr>
        <w:t>föreslår i</w:t>
      </w:r>
      <w:r w:rsidR="00FE119F">
        <w:rPr>
          <w:lang w:eastAsia="sv-SE"/>
        </w:rPr>
        <w:t> </w:t>
      </w:r>
      <w:r w:rsidR="00591977">
        <w:rPr>
          <w:lang w:eastAsia="sv-SE"/>
        </w:rPr>
        <w:t xml:space="preserve">stället </w:t>
      </w:r>
      <w:r w:rsidR="007A3C42">
        <w:rPr>
          <w:lang w:eastAsia="sv-SE"/>
        </w:rPr>
        <w:t xml:space="preserve">en försvarsskatt på kapital och de högsta inkomsterna för att finansiera de ökande löpande kostnaderna inom försvaret. </w:t>
      </w:r>
      <w:bookmarkStart w:name="_Hlk196481207" w:id="2"/>
      <w:r w:rsidR="007A3C42">
        <w:rPr>
          <w:lang w:eastAsia="sv-SE"/>
        </w:rPr>
        <w:t xml:space="preserve">En eventuell lånefinansiering </w:t>
      </w:r>
      <w:r w:rsidR="00591977">
        <w:rPr>
          <w:lang w:eastAsia="sv-SE"/>
        </w:rPr>
        <w:t>bör i</w:t>
      </w:r>
      <w:r w:rsidR="00FE119F">
        <w:rPr>
          <w:lang w:eastAsia="sv-SE"/>
        </w:rPr>
        <w:t> </w:t>
      </w:r>
      <w:r w:rsidR="00591977">
        <w:rPr>
          <w:lang w:eastAsia="sv-SE"/>
        </w:rPr>
        <w:t>stället omfatta viktiga investeringar i totalförsvaret, såsom järnväg och elnät</w:t>
      </w:r>
      <w:r w:rsidR="00844B71">
        <w:rPr>
          <w:lang w:eastAsia="sv-SE"/>
        </w:rPr>
        <w:t>,</w:t>
      </w:r>
      <w:r w:rsidR="00591977">
        <w:rPr>
          <w:lang w:eastAsia="sv-SE"/>
        </w:rPr>
        <w:t xml:space="preserve"> och </w:t>
      </w:r>
      <w:r w:rsidR="007A3C42">
        <w:rPr>
          <w:lang w:eastAsia="sv-SE"/>
        </w:rPr>
        <w:t>måste förhandlas mellan partierna</w:t>
      </w:r>
      <w:r w:rsidR="00203453">
        <w:rPr>
          <w:lang w:eastAsia="sv-SE"/>
        </w:rPr>
        <w:t xml:space="preserve"> </w:t>
      </w:r>
      <w:r w:rsidRPr="00203453" w:rsidR="00203453">
        <w:rPr>
          <w:lang w:eastAsia="sv-SE"/>
        </w:rPr>
        <w:t>för en långsiktigt stabil säkerhetspolitik</w:t>
      </w:r>
      <w:r w:rsidR="007A3C42">
        <w:rPr>
          <w:lang w:eastAsia="sv-SE"/>
        </w:rPr>
        <w:t>.</w:t>
      </w:r>
      <w:bookmarkEnd w:id="2"/>
    </w:p>
    <w:p w:rsidR="00A92DA0" w:rsidP="00EC7099" w:rsidRDefault="007A3C42" w14:paraId="3B36130F" w14:textId="4935788B">
      <w:r>
        <w:rPr>
          <w:lang w:eastAsia="sv-SE"/>
        </w:rPr>
        <w:t>Vänsterpartiet menar även att regeringen bör dra tillbaka det ansvarslösa förslaget om kärnkraftsfinansiering och i</w:t>
      </w:r>
      <w:r w:rsidR="00DF552C">
        <w:rPr>
          <w:lang w:eastAsia="sv-SE"/>
        </w:rPr>
        <w:t> </w:t>
      </w:r>
      <w:r>
        <w:rPr>
          <w:lang w:eastAsia="sv-SE"/>
        </w:rPr>
        <w:t>stället</w:t>
      </w:r>
      <w:r>
        <w:t xml:space="preserve"> gå vidare med en ny energiöverenskommelse som innehåller samtliga kraftslag.</w:t>
      </w:r>
    </w:p>
    <w:p w:rsidR="00A92DA0" w:rsidRDefault="00A92DA0" w14:paraId="4D39258A" w14:textId="77777777">
      <w:pPr>
        <w:tabs>
          <w:tab w:val="clear" w:pos="284"/>
          <w:tab w:val="clear" w:pos="567"/>
          <w:tab w:val="clear" w:pos="851"/>
          <w:tab w:val="clear" w:pos="1134"/>
          <w:tab w:val="clear" w:pos="1701"/>
          <w:tab w:val="clear" w:pos="2268"/>
          <w:tab w:val="clear" w:pos="4536"/>
          <w:tab w:val="clear" w:pos="9072"/>
        </w:tabs>
        <w:spacing w:after="240" w:line="240" w:lineRule="auto"/>
      </w:pPr>
      <w:r>
        <w:br w:type="page"/>
      </w:r>
    </w:p>
    <w:bookmarkStart w:name="_Toc197351620" w:displacedByCustomXml="next" w:id="3"/>
    <w:sdt>
      <w:sdtPr>
        <w:id w:val="1498770637"/>
        <w:docPartObj>
          <w:docPartGallery w:val="Table of Contents"/>
          <w:docPartUnique/>
        </w:docPartObj>
      </w:sdtPr>
      <w:sdtEndPr>
        <w:rPr>
          <w:rFonts w:asciiTheme="minorHAnsi" w:hAnsiTheme="minorHAnsi" w:eastAsiaTheme="minorHAnsi" w:cstheme="minorBidi"/>
          <w:b/>
          <w:bCs/>
          <w:sz w:val="24"/>
          <w:szCs w:val="24"/>
          <w:lang w:eastAsia="en-US"/>
          <w14:numSpacing w14:val="proportional"/>
        </w:rPr>
      </w:sdtEndPr>
      <w:sdtContent>
        <w:p w:rsidRPr="006C5821" w:rsidR="00F90197" w:rsidP="006C5821" w:rsidRDefault="00F90197" w14:paraId="7ECB3690" w14:textId="7FE39587">
          <w:pPr>
            <w:pStyle w:val="Rubrik1numrerat"/>
            <w:spacing w:after="300"/>
          </w:pPr>
          <w:r w:rsidRPr="006C5821">
            <w:t>Innehåll</w:t>
          </w:r>
          <w:r w:rsidR="00FA5E76">
            <w:t>sförteckning</w:t>
          </w:r>
          <w:bookmarkEnd w:id="3"/>
        </w:p>
        <w:p w:rsidR="00942F56" w:rsidRDefault="00942F56" w14:paraId="631F8816" w14:textId="390CB844">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1 Sammanfattning</w:t>
          </w:r>
          <w:r>
            <w:rPr>
              <w:noProof/>
            </w:rPr>
            <w:tab/>
          </w:r>
          <w:r>
            <w:rPr>
              <w:noProof/>
            </w:rPr>
            <w:fldChar w:fldCharType="begin"/>
          </w:r>
          <w:r>
            <w:rPr>
              <w:noProof/>
            </w:rPr>
            <w:instrText xml:space="preserve"> PAGEREF _Toc197351619 \h </w:instrText>
          </w:r>
          <w:r>
            <w:rPr>
              <w:noProof/>
            </w:rPr>
          </w:r>
          <w:r>
            <w:rPr>
              <w:noProof/>
            </w:rPr>
            <w:fldChar w:fldCharType="separate"/>
          </w:r>
          <w:r w:rsidR="00BE223F">
            <w:rPr>
              <w:noProof/>
            </w:rPr>
            <w:t>1</w:t>
          </w:r>
          <w:r>
            <w:rPr>
              <w:noProof/>
            </w:rPr>
            <w:fldChar w:fldCharType="end"/>
          </w:r>
        </w:p>
        <w:p w:rsidR="00942F56" w:rsidRDefault="00942F56" w14:paraId="4BB4AECD" w14:textId="545245DB">
          <w:pPr>
            <w:pStyle w:val="Innehll1"/>
            <w:tabs>
              <w:tab w:val="right" w:leader="dot" w:pos="8494"/>
            </w:tabs>
            <w:rPr>
              <w:rFonts w:eastAsiaTheme="minorEastAsia"/>
              <w:noProof/>
              <w:kern w:val="0"/>
              <w:sz w:val="22"/>
              <w:szCs w:val="22"/>
              <w:lang w:eastAsia="sv-SE"/>
              <w14:numSpacing w14:val="default"/>
            </w:rPr>
          </w:pPr>
          <w:r>
            <w:rPr>
              <w:noProof/>
            </w:rPr>
            <w:t>2 Innehållsförteckning</w:t>
          </w:r>
          <w:r>
            <w:rPr>
              <w:noProof/>
            </w:rPr>
            <w:tab/>
          </w:r>
          <w:r>
            <w:rPr>
              <w:noProof/>
            </w:rPr>
            <w:fldChar w:fldCharType="begin"/>
          </w:r>
          <w:r>
            <w:rPr>
              <w:noProof/>
            </w:rPr>
            <w:instrText xml:space="preserve"> PAGEREF _Toc197351620 \h </w:instrText>
          </w:r>
          <w:r>
            <w:rPr>
              <w:noProof/>
            </w:rPr>
          </w:r>
          <w:r>
            <w:rPr>
              <w:noProof/>
            </w:rPr>
            <w:fldChar w:fldCharType="separate"/>
          </w:r>
          <w:r w:rsidR="00BE223F">
            <w:rPr>
              <w:noProof/>
            </w:rPr>
            <w:t>3</w:t>
          </w:r>
          <w:r>
            <w:rPr>
              <w:noProof/>
            </w:rPr>
            <w:fldChar w:fldCharType="end"/>
          </w:r>
        </w:p>
        <w:p w:rsidR="00942F56" w:rsidRDefault="00942F56" w14:paraId="6DA2BD25" w14:textId="32BA7765">
          <w:pPr>
            <w:pStyle w:val="Innehll1"/>
            <w:tabs>
              <w:tab w:val="right" w:leader="dot" w:pos="8494"/>
            </w:tabs>
            <w:rPr>
              <w:rFonts w:eastAsiaTheme="minorEastAsia"/>
              <w:noProof/>
              <w:kern w:val="0"/>
              <w:sz w:val="22"/>
              <w:szCs w:val="22"/>
              <w:lang w:eastAsia="sv-SE"/>
              <w14:numSpacing w14:val="default"/>
            </w:rPr>
          </w:pPr>
          <w:r>
            <w:rPr>
              <w:noProof/>
            </w:rPr>
            <w:t>3 Förslag till riksdagsbeslut</w:t>
          </w:r>
          <w:r>
            <w:rPr>
              <w:noProof/>
            </w:rPr>
            <w:tab/>
          </w:r>
          <w:r>
            <w:rPr>
              <w:noProof/>
            </w:rPr>
            <w:fldChar w:fldCharType="begin"/>
          </w:r>
          <w:r>
            <w:rPr>
              <w:noProof/>
            </w:rPr>
            <w:instrText xml:space="preserve"> PAGEREF _Toc197351621 \h </w:instrText>
          </w:r>
          <w:r>
            <w:rPr>
              <w:noProof/>
            </w:rPr>
          </w:r>
          <w:r>
            <w:rPr>
              <w:noProof/>
            </w:rPr>
            <w:fldChar w:fldCharType="separate"/>
          </w:r>
          <w:r w:rsidR="00BE223F">
            <w:rPr>
              <w:noProof/>
            </w:rPr>
            <w:t>4</w:t>
          </w:r>
          <w:r>
            <w:rPr>
              <w:noProof/>
            </w:rPr>
            <w:fldChar w:fldCharType="end"/>
          </w:r>
        </w:p>
        <w:p w:rsidR="00942F56" w:rsidRDefault="00942F56" w14:paraId="173F2A02" w14:textId="611343CE">
          <w:pPr>
            <w:pStyle w:val="Innehll1"/>
            <w:tabs>
              <w:tab w:val="right" w:leader="dot" w:pos="8494"/>
            </w:tabs>
            <w:rPr>
              <w:rFonts w:eastAsiaTheme="minorEastAsia"/>
              <w:noProof/>
              <w:kern w:val="0"/>
              <w:sz w:val="22"/>
              <w:szCs w:val="22"/>
              <w:lang w:eastAsia="sv-SE"/>
              <w14:numSpacing w14:val="default"/>
            </w:rPr>
          </w:pPr>
          <w:r>
            <w:rPr>
              <w:noProof/>
            </w:rPr>
            <w:t>4 Det ekonomiska läget</w:t>
          </w:r>
          <w:r>
            <w:rPr>
              <w:noProof/>
            </w:rPr>
            <w:tab/>
          </w:r>
          <w:r>
            <w:rPr>
              <w:noProof/>
            </w:rPr>
            <w:fldChar w:fldCharType="begin"/>
          </w:r>
          <w:r>
            <w:rPr>
              <w:noProof/>
            </w:rPr>
            <w:instrText xml:space="preserve"> PAGEREF _Toc197351622 \h </w:instrText>
          </w:r>
          <w:r>
            <w:rPr>
              <w:noProof/>
            </w:rPr>
          </w:r>
          <w:r>
            <w:rPr>
              <w:noProof/>
            </w:rPr>
            <w:fldChar w:fldCharType="separate"/>
          </w:r>
          <w:r w:rsidR="00BE223F">
            <w:rPr>
              <w:noProof/>
            </w:rPr>
            <w:t>4</w:t>
          </w:r>
          <w:r>
            <w:rPr>
              <w:noProof/>
            </w:rPr>
            <w:fldChar w:fldCharType="end"/>
          </w:r>
        </w:p>
        <w:p w:rsidR="00942F56" w:rsidRDefault="00942F56" w14:paraId="6D3B420D" w14:textId="6522EF31">
          <w:pPr>
            <w:pStyle w:val="Innehll2"/>
            <w:tabs>
              <w:tab w:val="right" w:leader="dot" w:pos="8494"/>
            </w:tabs>
            <w:rPr>
              <w:rFonts w:eastAsiaTheme="minorEastAsia"/>
              <w:noProof/>
              <w:kern w:val="0"/>
              <w:sz w:val="22"/>
              <w:szCs w:val="22"/>
              <w:lang w:eastAsia="sv-SE"/>
              <w14:numSpacing w14:val="default"/>
            </w:rPr>
          </w:pPr>
          <w:r>
            <w:rPr>
              <w:noProof/>
            </w:rPr>
            <w:t>4.1 Lågkonjunktur och osäkerhet</w:t>
          </w:r>
          <w:r>
            <w:rPr>
              <w:noProof/>
            </w:rPr>
            <w:tab/>
          </w:r>
          <w:r>
            <w:rPr>
              <w:noProof/>
            </w:rPr>
            <w:fldChar w:fldCharType="begin"/>
          </w:r>
          <w:r>
            <w:rPr>
              <w:noProof/>
            </w:rPr>
            <w:instrText xml:space="preserve"> PAGEREF _Toc197351623 \h </w:instrText>
          </w:r>
          <w:r>
            <w:rPr>
              <w:noProof/>
            </w:rPr>
          </w:r>
          <w:r>
            <w:rPr>
              <w:noProof/>
            </w:rPr>
            <w:fldChar w:fldCharType="separate"/>
          </w:r>
          <w:r w:rsidR="00BE223F">
            <w:rPr>
              <w:noProof/>
            </w:rPr>
            <w:t>4</w:t>
          </w:r>
          <w:r>
            <w:rPr>
              <w:noProof/>
            </w:rPr>
            <w:fldChar w:fldCharType="end"/>
          </w:r>
        </w:p>
        <w:p w:rsidR="00942F56" w:rsidRDefault="00942F56" w14:paraId="1561D6D3" w14:textId="74F255A0">
          <w:pPr>
            <w:pStyle w:val="Innehll2"/>
            <w:tabs>
              <w:tab w:val="right" w:leader="dot" w:pos="8494"/>
            </w:tabs>
            <w:rPr>
              <w:rFonts w:eastAsiaTheme="minorEastAsia"/>
              <w:noProof/>
              <w:kern w:val="0"/>
              <w:sz w:val="22"/>
              <w:szCs w:val="22"/>
              <w:lang w:eastAsia="sv-SE"/>
              <w14:numSpacing w14:val="default"/>
            </w:rPr>
          </w:pPr>
          <w:r>
            <w:rPr>
              <w:noProof/>
            </w:rPr>
            <w:t>4.2 Regeringen har misslyckats med jobben</w:t>
          </w:r>
          <w:r>
            <w:rPr>
              <w:noProof/>
            </w:rPr>
            <w:tab/>
          </w:r>
          <w:r>
            <w:rPr>
              <w:noProof/>
            </w:rPr>
            <w:fldChar w:fldCharType="begin"/>
          </w:r>
          <w:r>
            <w:rPr>
              <w:noProof/>
            </w:rPr>
            <w:instrText xml:space="preserve"> PAGEREF _Toc197351624 \h </w:instrText>
          </w:r>
          <w:r>
            <w:rPr>
              <w:noProof/>
            </w:rPr>
          </w:r>
          <w:r>
            <w:rPr>
              <w:noProof/>
            </w:rPr>
            <w:fldChar w:fldCharType="separate"/>
          </w:r>
          <w:r w:rsidR="00BE223F">
            <w:rPr>
              <w:noProof/>
            </w:rPr>
            <w:t>6</w:t>
          </w:r>
          <w:r>
            <w:rPr>
              <w:noProof/>
            </w:rPr>
            <w:fldChar w:fldCharType="end"/>
          </w:r>
        </w:p>
        <w:p w:rsidR="00942F56" w:rsidRDefault="00942F56" w14:paraId="657B17EB" w14:textId="1A8D388F">
          <w:pPr>
            <w:pStyle w:val="Innehll2"/>
            <w:tabs>
              <w:tab w:val="right" w:leader="dot" w:pos="8494"/>
            </w:tabs>
            <w:rPr>
              <w:rFonts w:eastAsiaTheme="minorEastAsia"/>
              <w:noProof/>
              <w:kern w:val="0"/>
              <w:sz w:val="22"/>
              <w:szCs w:val="22"/>
              <w:lang w:eastAsia="sv-SE"/>
              <w14:numSpacing w14:val="default"/>
            </w:rPr>
          </w:pPr>
          <w:r>
            <w:rPr>
              <w:noProof/>
            </w:rPr>
            <w:t>4.3 Inflationens återkomst?</w:t>
          </w:r>
          <w:r>
            <w:rPr>
              <w:noProof/>
            </w:rPr>
            <w:tab/>
          </w:r>
          <w:r>
            <w:rPr>
              <w:noProof/>
            </w:rPr>
            <w:fldChar w:fldCharType="begin"/>
          </w:r>
          <w:r>
            <w:rPr>
              <w:noProof/>
            </w:rPr>
            <w:instrText xml:space="preserve"> PAGEREF _Toc197351625 \h </w:instrText>
          </w:r>
          <w:r>
            <w:rPr>
              <w:noProof/>
            </w:rPr>
          </w:r>
          <w:r>
            <w:rPr>
              <w:noProof/>
            </w:rPr>
            <w:fldChar w:fldCharType="separate"/>
          </w:r>
          <w:r w:rsidR="00BE223F">
            <w:rPr>
              <w:noProof/>
            </w:rPr>
            <w:t>8</w:t>
          </w:r>
          <w:r>
            <w:rPr>
              <w:noProof/>
            </w:rPr>
            <w:fldChar w:fldCharType="end"/>
          </w:r>
        </w:p>
        <w:p w:rsidR="00942F56" w:rsidRDefault="00942F56" w14:paraId="3E518636" w14:textId="6C096C1A">
          <w:pPr>
            <w:pStyle w:val="Innehll1"/>
            <w:tabs>
              <w:tab w:val="right" w:leader="dot" w:pos="8494"/>
            </w:tabs>
            <w:rPr>
              <w:rFonts w:eastAsiaTheme="minorEastAsia"/>
              <w:noProof/>
              <w:kern w:val="0"/>
              <w:sz w:val="22"/>
              <w:szCs w:val="22"/>
              <w:lang w:eastAsia="sv-SE"/>
              <w14:numSpacing w14:val="default"/>
            </w:rPr>
          </w:pPr>
          <w:r>
            <w:rPr>
              <w:noProof/>
            </w:rPr>
            <w:t>5 Försvaret och kärnkraften – två beslut med långtgående finanspolitiska effekter</w:t>
          </w:r>
          <w:r>
            <w:rPr>
              <w:noProof/>
            </w:rPr>
            <w:tab/>
          </w:r>
          <w:r>
            <w:rPr>
              <w:noProof/>
            </w:rPr>
            <w:fldChar w:fldCharType="begin"/>
          </w:r>
          <w:r>
            <w:rPr>
              <w:noProof/>
            </w:rPr>
            <w:instrText xml:space="preserve"> PAGEREF _Toc197351626 \h </w:instrText>
          </w:r>
          <w:r>
            <w:rPr>
              <w:noProof/>
            </w:rPr>
          </w:r>
          <w:r>
            <w:rPr>
              <w:noProof/>
            </w:rPr>
            <w:fldChar w:fldCharType="separate"/>
          </w:r>
          <w:r w:rsidR="00BE223F">
            <w:rPr>
              <w:noProof/>
            </w:rPr>
            <w:t>10</w:t>
          </w:r>
          <w:r>
            <w:rPr>
              <w:noProof/>
            </w:rPr>
            <w:fldChar w:fldCharType="end"/>
          </w:r>
        </w:p>
        <w:p w:rsidR="00942F56" w:rsidRDefault="00942F56" w14:paraId="58969869" w14:textId="4BE1EC39">
          <w:pPr>
            <w:pStyle w:val="Innehll2"/>
            <w:tabs>
              <w:tab w:val="right" w:leader="dot" w:pos="8494"/>
            </w:tabs>
            <w:rPr>
              <w:rFonts w:eastAsiaTheme="minorEastAsia"/>
              <w:noProof/>
              <w:kern w:val="0"/>
              <w:sz w:val="22"/>
              <w:szCs w:val="22"/>
              <w:lang w:eastAsia="sv-SE"/>
              <w14:numSpacing w14:val="default"/>
            </w:rPr>
          </w:pPr>
          <w:r>
            <w:rPr>
              <w:noProof/>
            </w:rPr>
            <w:t>5.1 Försvarsfinansieringen</w:t>
          </w:r>
          <w:r>
            <w:rPr>
              <w:noProof/>
            </w:rPr>
            <w:tab/>
          </w:r>
          <w:r>
            <w:rPr>
              <w:noProof/>
            </w:rPr>
            <w:fldChar w:fldCharType="begin"/>
          </w:r>
          <w:r>
            <w:rPr>
              <w:noProof/>
            </w:rPr>
            <w:instrText xml:space="preserve"> PAGEREF _Toc197351627 \h </w:instrText>
          </w:r>
          <w:r>
            <w:rPr>
              <w:noProof/>
            </w:rPr>
          </w:r>
          <w:r>
            <w:rPr>
              <w:noProof/>
            </w:rPr>
            <w:fldChar w:fldCharType="separate"/>
          </w:r>
          <w:r w:rsidR="00BE223F">
            <w:rPr>
              <w:noProof/>
            </w:rPr>
            <w:t>10</w:t>
          </w:r>
          <w:r>
            <w:rPr>
              <w:noProof/>
            </w:rPr>
            <w:fldChar w:fldCharType="end"/>
          </w:r>
        </w:p>
        <w:p w:rsidR="00942F56" w:rsidRDefault="00942F56" w14:paraId="2461E956" w14:textId="155CEA01">
          <w:pPr>
            <w:pStyle w:val="Innehll2"/>
            <w:tabs>
              <w:tab w:val="right" w:leader="dot" w:pos="8494"/>
            </w:tabs>
            <w:rPr>
              <w:rFonts w:eastAsiaTheme="minorEastAsia"/>
              <w:noProof/>
              <w:kern w:val="0"/>
              <w:sz w:val="22"/>
              <w:szCs w:val="22"/>
              <w:lang w:eastAsia="sv-SE"/>
              <w14:numSpacing w14:val="default"/>
            </w:rPr>
          </w:pPr>
          <w:r>
            <w:rPr>
              <w:noProof/>
            </w:rPr>
            <w:t>5.2 Kärnkraftsutbyggnaden</w:t>
          </w:r>
          <w:r>
            <w:rPr>
              <w:noProof/>
            </w:rPr>
            <w:tab/>
          </w:r>
          <w:r>
            <w:rPr>
              <w:noProof/>
            </w:rPr>
            <w:fldChar w:fldCharType="begin"/>
          </w:r>
          <w:r>
            <w:rPr>
              <w:noProof/>
            </w:rPr>
            <w:instrText xml:space="preserve"> PAGEREF _Toc197351628 \h </w:instrText>
          </w:r>
          <w:r>
            <w:rPr>
              <w:noProof/>
            </w:rPr>
          </w:r>
          <w:r>
            <w:rPr>
              <w:noProof/>
            </w:rPr>
            <w:fldChar w:fldCharType="separate"/>
          </w:r>
          <w:r w:rsidR="00BE223F">
            <w:rPr>
              <w:noProof/>
            </w:rPr>
            <w:t>12</w:t>
          </w:r>
          <w:r>
            <w:rPr>
              <w:noProof/>
            </w:rPr>
            <w:fldChar w:fldCharType="end"/>
          </w:r>
        </w:p>
        <w:p w:rsidR="00942F56" w:rsidRDefault="00942F56" w14:paraId="5B413F03" w14:textId="4D86E479">
          <w:pPr>
            <w:pStyle w:val="Innehll2"/>
            <w:tabs>
              <w:tab w:val="right" w:leader="dot" w:pos="8494"/>
            </w:tabs>
            <w:rPr>
              <w:rFonts w:eastAsiaTheme="minorEastAsia"/>
              <w:noProof/>
              <w:kern w:val="0"/>
              <w:sz w:val="22"/>
              <w:szCs w:val="22"/>
              <w:lang w:eastAsia="sv-SE"/>
              <w14:numSpacing w14:val="default"/>
            </w:rPr>
          </w:pPr>
          <w:r>
            <w:rPr>
              <w:noProof/>
            </w:rPr>
            <w:t>5.3 En ansvarslös finanspolitik</w:t>
          </w:r>
          <w:r>
            <w:rPr>
              <w:noProof/>
            </w:rPr>
            <w:tab/>
          </w:r>
          <w:r>
            <w:rPr>
              <w:noProof/>
            </w:rPr>
            <w:fldChar w:fldCharType="begin"/>
          </w:r>
          <w:r>
            <w:rPr>
              <w:noProof/>
            </w:rPr>
            <w:instrText xml:space="preserve"> PAGEREF _Toc197351629 \h </w:instrText>
          </w:r>
          <w:r>
            <w:rPr>
              <w:noProof/>
            </w:rPr>
          </w:r>
          <w:r>
            <w:rPr>
              <w:noProof/>
            </w:rPr>
            <w:fldChar w:fldCharType="separate"/>
          </w:r>
          <w:r w:rsidR="00BE223F">
            <w:rPr>
              <w:noProof/>
            </w:rPr>
            <w:t>14</w:t>
          </w:r>
          <w:r>
            <w:rPr>
              <w:noProof/>
            </w:rPr>
            <w:fldChar w:fldCharType="end"/>
          </w:r>
        </w:p>
        <w:p w:rsidR="00942F56" w:rsidRDefault="00942F56" w14:paraId="711B4DD3" w14:textId="20A0AEA3">
          <w:pPr>
            <w:pStyle w:val="Innehll1"/>
            <w:tabs>
              <w:tab w:val="right" w:leader="dot" w:pos="8494"/>
            </w:tabs>
            <w:rPr>
              <w:rFonts w:eastAsiaTheme="minorEastAsia"/>
              <w:noProof/>
              <w:kern w:val="0"/>
              <w:sz w:val="22"/>
              <w:szCs w:val="22"/>
              <w:lang w:eastAsia="sv-SE"/>
              <w14:numSpacing w14:val="default"/>
            </w:rPr>
          </w:pPr>
          <w:r>
            <w:rPr>
              <w:noProof/>
            </w:rPr>
            <w:t>6 Stoppa rånet av hushållen!</w:t>
          </w:r>
          <w:r>
            <w:rPr>
              <w:noProof/>
            </w:rPr>
            <w:tab/>
          </w:r>
          <w:r>
            <w:rPr>
              <w:noProof/>
            </w:rPr>
            <w:fldChar w:fldCharType="begin"/>
          </w:r>
          <w:r>
            <w:rPr>
              <w:noProof/>
            </w:rPr>
            <w:instrText xml:space="preserve"> PAGEREF _Toc197351630 \h </w:instrText>
          </w:r>
          <w:r>
            <w:rPr>
              <w:noProof/>
            </w:rPr>
          </w:r>
          <w:r>
            <w:rPr>
              <w:noProof/>
            </w:rPr>
            <w:fldChar w:fldCharType="separate"/>
          </w:r>
          <w:r w:rsidR="00BE223F">
            <w:rPr>
              <w:noProof/>
            </w:rPr>
            <w:t>15</w:t>
          </w:r>
          <w:r>
            <w:rPr>
              <w:noProof/>
            </w:rPr>
            <w:fldChar w:fldCharType="end"/>
          </w:r>
        </w:p>
        <w:p w:rsidR="00942F56" w:rsidRDefault="00942F56" w14:paraId="3F857B88" w14:textId="0C47675D">
          <w:pPr>
            <w:pStyle w:val="Innehll2"/>
            <w:tabs>
              <w:tab w:val="right" w:leader="dot" w:pos="8494"/>
            </w:tabs>
            <w:rPr>
              <w:rFonts w:eastAsiaTheme="minorEastAsia"/>
              <w:noProof/>
              <w:kern w:val="0"/>
              <w:sz w:val="22"/>
              <w:szCs w:val="22"/>
              <w:lang w:eastAsia="sv-SE"/>
              <w14:numSpacing w14:val="default"/>
            </w:rPr>
          </w:pPr>
          <w:r>
            <w:rPr>
              <w:noProof/>
            </w:rPr>
            <w:t>6.1 Ta kontroll över de skenande matpriserna</w:t>
          </w:r>
          <w:r>
            <w:rPr>
              <w:noProof/>
            </w:rPr>
            <w:tab/>
          </w:r>
          <w:r>
            <w:rPr>
              <w:noProof/>
            </w:rPr>
            <w:fldChar w:fldCharType="begin"/>
          </w:r>
          <w:r>
            <w:rPr>
              <w:noProof/>
            </w:rPr>
            <w:instrText xml:space="preserve"> PAGEREF _Toc197351631 \h </w:instrText>
          </w:r>
          <w:r>
            <w:rPr>
              <w:noProof/>
            </w:rPr>
          </w:r>
          <w:r>
            <w:rPr>
              <w:noProof/>
            </w:rPr>
            <w:fldChar w:fldCharType="separate"/>
          </w:r>
          <w:r w:rsidR="00BE223F">
            <w:rPr>
              <w:noProof/>
            </w:rPr>
            <w:t>16</w:t>
          </w:r>
          <w:r>
            <w:rPr>
              <w:noProof/>
            </w:rPr>
            <w:fldChar w:fldCharType="end"/>
          </w:r>
        </w:p>
        <w:p w:rsidR="00942F56" w:rsidRDefault="00942F56" w14:paraId="7EE0EF30" w14:textId="1B339BF9">
          <w:pPr>
            <w:pStyle w:val="Innehll2"/>
            <w:tabs>
              <w:tab w:val="right" w:leader="dot" w:pos="8494"/>
            </w:tabs>
            <w:rPr>
              <w:rFonts w:eastAsiaTheme="minorEastAsia"/>
              <w:noProof/>
              <w:kern w:val="0"/>
              <w:sz w:val="22"/>
              <w:szCs w:val="22"/>
              <w:lang w:eastAsia="sv-SE"/>
              <w14:numSpacing w14:val="default"/>
            </w:rPr>
          </w:pPr>
          <w:r>
            <w:rPr>
              <w:noProof/>
            </w:rPr>
            <w:t>6.2 Använd SBAB för att pressa storbankerna</w:t>
          </w:r>
          <w:r>
            <w:rPr>
              <w:noProof/>
            </w:rPr>
            <w:tab/>
          </w:r>
          <w:r>
            <w:rPr>
              <w:noProof/>
            </w:rPr>
            <w:fldChar w:fldCharType="begin"/>
          </w:r>
          <w:r>
            <w:rPr>
              <w:noProof/>
            </w:rPr>
            <w:instrText xml:space="preserve"> PAGEREF _Toc197351632 \h </w:instrText>
          </w:r>
          <w:r>
            <w:rPr>
              <w:noProof/>
            </w:rPr>
          </w:r>
          <w:r>
            <w:rPr>
              <w:noProof/>
            </w:rPr>
            <w:fldChar w:fldCharType="separate"/>
          </w:r>
          <w:r w:rsidR="00BE223F">
            <w:rPr>
              <w:noProof/>
            </w:rPr>
            <w:t>18</w:t>
          </w:r>
          <w:r>
            <w:rPr>
              <w:noProof/>
            </w:rPr>
            <w:fldChar w:fldCharType="end"/>
          </w:r>
        </w:p>
        <w:p w:rsidR="00942F56" w:rsidRDefault="00942F56" w14:paraId="1644FC07" w14:textId="043FBB4D">
          <w:pPr>
            <w:pStyle w:val="Innehll2"/>
            <w:tabs>
              <w:tab w:val="right" w:leader="dot" w:pos="8494"/>
            </w:tabs>
            <w:rPr>
              <w:rFonts w:eastAsiaTheme="minorEastAsia"/>
              <w:noProof/>
              <w:kern w:val="0"/>
              <w:sz w:val="22"/>
              <w:szCs w:val="22"/>
              <w:lang w:eastAsia="sv-SE"/>
              <w14:numSpacing w14:val="default"/>
            </w:rPr>
          </w:pPr>
          <w:r>
            <w:rPr>
              <w:noProof/>
            </w:rPr>
            <w:t>6.3 Inför Sverigepriser på el</w:t>
          </w:r>
          <w:r>
            <w:rPr>
              <w:noProof/>
            </w:rPr>
            <w:tab/>
          </w:r>
          <w:r>
            <w:rPr>
              <w:noProof/>
            </w:rPr>
            <w:fldChar w:fldCharType="begin"/>
          </w:r>
          <w:r>
            <w:rPr>
              <w:noProof/>
            </w:rPr>
            <w:instrText xml:space="preserve"> PAGEREF _Toc197351633 \h </w:instrText>
          </w:r>
          <w:r>
            <w:rPr>
              <w:noProof/>
            </w:rPr>
          </w:r>
          <w:r>
            <w:rPr>
              <w:noProof/>
            </w:rPr>
            <w:fldChar w:fldCharType="separate"/>
          </w:r>
          <w:r w:rsidR="00BE223F">
            <w:rPr>
              <w:noProof/>
            </w:rPr>
            <w:t>19</w:t>
          </w:r>
          <w:r>
            <w:rPr>
              <w:noProof/>
            </w:rPr>
            <w:fldChar w:fldCharType="end"/>
          </w:r>
        </w:p>
        <w:p w:rsidR="00942F56" w:rsidRDefault="00942F56" w14:paraId="6F85481F" w14:textId="725B3D3C">
          <w:pPr>
            <w:pStyle w:val="Innehll2"/>
            <w:tabs>
              <w:tab w:val="right" w:leader="dot" w:pos="8494"/>
            </w:tabs>
            <w:rPr>
              <w:rFonts w:eastAsiaTheme="minorEastAsia"/>
              <w:noProof/>
              <w:kern w:val="0"/>
              <w:sz w:val="22"/>
              <w:szCs w:val="22"/>
              <w:lang w:eastAsia="sv-SE"/>
              <w14:numSpacing w14:val="default"/>
            </w:rPr>
          </w:pPr>
          <w:r>
            <w:rPr>
              <w:noProof/>
            </w:rPr>
            <w:t>6.4 Ta tillbaka kontrollen över elnäten</w:t>
          </w:r>
          <w:r>
            <w:rPr>
              <w:noProof/>
            </w:rPr>
            <w:tab/>
          </w:r>
          <w:r>
            <w:rPr>
              <w:noProof/>
            </w:rPr>
            <w:fldChar w:fldCharType="begin"/>
          </w:r>
          <w:r>
            <w:rPr>
              <w:noProof/>
            </w:rPr>
            <w:instrText xml:space="preserve"> PAGEREF _Toc197351634 \h </w:instrText>
          </w:r>
          <w:r>
            <w:rPr>
              <w:noProof/>
            </w:rPr>
          </w:r>
          <w:r>
            <w:rPr>
              <w:noProof/>
            </w:rPr>
            <w:fldChar w:fldCharType="separate"/>
          </w:r>
          <w:r w:rsidR="00BE223F">
            <w:rPr>
              <w:noProof/>
            </w:rPr>
            <w:t>20</w:t>
          </w:r>
          <w:r>
            <w:rPr>
              <w:noProof/>
            </w:rPr>
            <w:fldChar w:fldCharType="end"/>
          </w:r>
        </w:p>
        <w:p w:rsidR="00942F56" w:rsidRDefault="00942F56" w14:paraId="672CB436" w14:textId="5B1A02D2">
          <w:pPr>
            <w:pStyle w:val="Innehll1"/>
            <w:tabs>
              <w:tab w:val="right" w:leader="dot" w:pos="8494"/>
            </w:tabs>
            <w:rPr>
              <w:rFonts w:eastAsiaTheme="minorEastAsia"/>
              <w:noProof/>
              <w:kern w:val="0"/>
              <w:sz w:val="22"/>
              <w:szCs w:val="22"/>
              <w:lang w:eastAsia="sv-SE"/>
              <w14:numSpacing w14:val="default"/>
            </w:rPr>
          </w:pPr>
          <w:r>
            <w:rPr>
              <w:noProof/>
            </w:rPr>
            <w:t>7 Rusta hushållen i krisen</w:t>
          </w:r>
          <w:r>
            <w:rPr>
              <w:noProof/>
            </w:rPr>
            <w:tab/>
          </w:r>
          <w:r>
            <w:rPr>
              <w:noProof/>
            </w:rPr>
            <w:fldChar w:fldCharType="begin"/>
          </w:r>
          <w:r>
            <w:rPr>
              <w:noProof/>
            </w:rPr>
            <w:instrText xml:space="preserve"> PAGEREF _Toc197351635 \h </w:instrText>
          </w:r>
          <w:r>
            <w:rPr>
              <w:noProof/>
            </w:rPr>
          </w:r>
          <w:r>
            <w:rPr>
              <w:noProof/>
            </w:rPr>
            <w:fldChar w:fldCharType="separate"/>
          </w:r>
          <w:r w:rsidR="00BE223F">
            <w:rPr>
              <w:noProof/>
            </w:rPr>
            <w:t>20</w:t>
          </w:r>
          <w:r>
            <w:rPr>
              <w:noProof/>
            </w:rPr>
            <w:fldChar w:fldCharType="end"/>
          </w:r>
        </w:p>
        <w:p w:rsidR="00942F56" w:rsidRDefault="00942F56" w14:paraId="390A6BA3" w14:textId="4B2292C9">
          <w:pPr>
            <w:pStyle w:val="Innehll2"/>
            <w:tabs>
              <w:tab w:val="right" w:leader="dot" w:pos="8494"/>
            </w:tabs>
            <w:rPr>
              <w:rFonts w:eastAsiaTheme="minorEastAsia"/>
              <w:noProof/>
              <w:kern w:val="0"/>
              <w:sz w:val="22"/>
              <w:szCs w:val="22"/>
              <w:lang w:eastAsia="sv-SE"/>
              <w14:numSpacing w14:val="default"/>
            </w:rPr>
          </w:pPr>
          <w:r>
            <w:rPr>
              <w:noProof/>
            </w:rPr>
            <w:t>7.1 Regeringen förvärrar för hushållen</w:t>
          </w:r>
          <w:r>
            <w:rPr>
              <w:noProof/>
            </w:rPr>
            <w:tab/>
          </w:r>
          <w:r>
            <w:rPr>
              <w:noProof/>
            </w:rPr>
            <w:fldChar w:fldCharType="begin"/>
          </w:r>
          <w:r>
            <w:rPr>
              <w:noProof/>
            </w:rPr>
            <w:instrText xml:space="preserve"> PAGEREF _Toc197351636 \h </w:instrText>
          </w:r>
          <w:r>
            <w:rPr>
              <w:noProof/>
            </w:rPr>
          </w:r>
          <w:r>
            <w:rPr>
              <w:noProof/>
            </w:rPr>
            <w:fldChar w:fldCharType="separate"/>
          </w:r>
          <w:r w:rsidR="00BE223F">
            <w:rPr>
              <w:noProof/>
            </w:rPr>
            <w:t>22</w:t>
          </w:r>
          <w:r>
            <w:rPr>
              <w:noProof/>
            </w:rPr>
            <w:fldChar w:fldCharType="end"/>
          </w:r>
        </w:p>
        <w:p w:rsidR="00942F56" w:rsidRDefault="00942F56" w14:paraId="5FD014E5" w14:textId="4AE1F69B">
          <w:pPr>
            <w:pStyle w:val="Innehll2"/>
            <w:tabs>
              <w:tab w:val="right" w:leader="dot" w:pos="8494"/>
            </w:tabs>
            <w:rPr>
              <w:rFonts w:eastAsiaTheme="minorEastAsia"/>
              <w:noProof/>
              <w:kern w:val="0"/>
              <w:sz w:val="22"/>
              <w:szCs w:val="22"/>
              <w:lang w:eastAsia="sv-SE"/>
              <w14:numSpacing w14:val="default"/>
            </w:rPr>
          </w:pPr>
          <w:r>
            <w:rPr>
              <w:noProof/>
            </w:rPr>
            <w:t>7.2 Vänsterpartiets stöd till de mest utsatta hushållen</w:t>
          </w:r>
          <w:r>
            <w:rPr>
              <w:noProof/>
            </w:rPr>
            <w:tab/>
          </w:r>
          <w:r>
            <w:rPr>
              <w:noProof/>
            </w:rPr>
            <w:fldChar w:fldCharType="begin"/>
          </w:r>
          <w:r>
            <w:rPr>
              <w:noProof/>
            </w:rPr>
            <w:instrText xml:space="preserve"> PAGEREF _Toc197351637 \h </w:instrText>
          </w:r>
          <w:r>
            <w:rPr>
              <w:noProof/>
            </w:rPr>
          </w:r>
          <w:r>
            <w:rPr>
              <w:noProof/>
            </w:rPr>
            <w:fldChar w:fldCharType="separate"/>
          </w:r>
          <w:r w:rsidR="00BE223F">
            <w:rPr>
              <w:noProof/>
            </w:rPr>
            <w:t>23</w:t>
          </w:r>
          <w:r>
            <w:rPr>
              <w:noProof/>
            </w:rPr>
            <w:fldChar w:fldCharType="end"/>
          </w:r>
        </w:p>
        <w:p w:rsidR="00942F56" w:rsidRDefault="00942F56" w14:paraId="4CBE765F" w14:textId="78E91C16">
          <w:pPr>
            <w:pStyle w:val="Innehll1"/>
            <w:tabs>
              <w:tab w:val="right" w:leader="dot" w:pos="8494"/>
            </w:tabs>
            <w:rPr>
              <w:rFonts w:eastAsiaTheme="minorEastAsia"/>
              <w:noProof/>
              <w:kern w:val="0"/>
              <w:sz w:val="22"/>
              <w:szCs w:val="22"/>
              <w:lang w:eastAsia="sv-SE"/>
              <w14:numSpacing w14:val="default"/>
            </w:rPr>
          </w:pPr>
          <w:r>
            <w:rPr>
              <w:noProof/>
            </w:rPr>
            <w:t>8 Ett robust samhälle för ett starkt totalförsvar</w:t>
          </w:r>
          <w:r>
            <w:rPr>
              <w:noProof/>
            </w:rPr>
            <w:tab/>
          </w:r>
          <w:r>
            <w:rPr>
              <w:noProof/>
            </w:rPr>
            <w:fldChar w:fldCharType="begin"/>
          </w:r>
          <w:r>
            <w:rPr>
              <w:noProof/>
            </w:rPr>
            <w:instrText xml:space="preserve"> PAGEREF _Toc197351638 \h </w:instrText>
          </w:r>
          <w:r>
            <w:rPr>
              <w:noProof/>
            </w:rPr>
          </w:r>
          <w:r>
            <w:rPr>
              <w:noProof/>
            </w:rPr>
            <w:fldChar w:fldCharType="separate"/>
          </w:r>
          <w:r w:rsidR="00BE223F">
            <w:rPr>
              <w:noProof/>
            </w:rPr>
            <w:t>24</w:t>
          </w:r>
          <w:r>
            <w:rPr>
              <w:noProof/>
            </w:rPr>
            <w:fldChar w:fldCharType="end"/>
          </w:r>
        </w:p>
        <w:p w:rsidR="00942F56" w:rsidRDefault="00942F56" w14:paraId="41D00AE8" w14:textId="48B5BF6E">
          <w:pPr>
            <w:pStyle w:val="Innehll1"/>
            <w:tabs>
              <w:tab w:val="right" w:leader="dot" w:pos="8494"/>
            </w:tabs>
            <w:rPr>
              <w:rFonts w:eastAsiaTheme="minorEastAsia"/>
              <w:noProof/>
              <w:kern w:val="0"/>
              <w:sz w:val="22"/>
              <w:szCs w:val="22"/>
              <w:lang w:eastAsia="sv-SE"/>
              <w14:numSpacing w14:val="default"/>
            </w:rPr>
          </w:pPr>
          <w:r>
            <w:rPr>
              <w:noProof/>
            </w:rPr>
            <w:t>9 Bygg Sverige starkt</w:t>
          </w:r>
          <w:r>
            <w:rPr>
              <w:noProof/>
            </w:rPr>
            <w:tab/>
          </w:r>
          <w:r>
            <w:rPr>
              <w:noProof/>
            </w:rPr>
            <w:fldChar w:fldCharType="begin"/>
          </w:r>
          <w:r>
            <w:rPr>
              <w:noProof/>
            </w:rPr>
            <w:instrText xml:space="preserve"> PAGEREF _Toc197351639 \h </w:instrText>
          </w:r>
          <w:r>
            <w:rPr>
              <w:noProof/>
            </w:rPr>
          </w:r>
          <w:r>
            <w:rPr>
              <w:noProof/>
            </w:rPr>
            <w:fldChar w:fldCharType="separate"/>
          </w:r>
          <w:r w:rsidR="00BE223F">
            <w:rPr>
              <w:noProof/>
            </w:rPr>
            <w:t>26</w:t>
          </w:r>
          <w:r>
            <w:rPr>
              <w:noProof/>
            </w:rPr>
            <w:fldChar w:fldCharType="end"/>
          </w:r>
        </w:p>
        <w:p w:rsidR="00942F56" w:rsidRDefault="00942F56" w14:paraId="653F2B70" w14:textId="153001C2">
          <w:pPr>
            <w:pStyle w:val="Innehll2"/>
            <w:tabs>
              <w:tab w:val="right" w:leader="dot" w:pos="8494"/>
            </w:tabs>
            <w:rPr>
              <w:rFonts w:eastAsiaTheme="minorEastAsia"/>
              <w:noProof/>
              <w:kern w:val="0"/>
              <w:sz w:val="22"/>
              <w:szCs w:val="22"/>
              <w:lang w:eastAsia="sv-SE"/>
              <w14:numSpacing w14:val="default"/>
            </w:rPr>
          </w:pPr>
          <w:r>
            <w:rPr>
              <w:noProof/>
            </w:rPr>
            <w:t>9.1 Behov av omfattande investeringar i kommunal och regional infrastruktur</w:t>
          </w:r>
          <w:r>
            <w:rPr>
              <w:noProof/>
            </w:rPr>
            <w:tab/>
          </w:r>
          <w:r>
            <w:rPr>
              <w:noProof/>
            </w:rPr>
            <w:fldChar w:fldCharType="begin"/>
          </w:r>
          <w:r>
            <w:rPr>
              <w:noProof/>
            </w:rPr>
            <w:instrText xml:space="preserve"> PAGEREF _Toc197351640 \h </w:instrText>
          </w:r>
          <w:r>
            <w:rPr>
              <w:noProof/>
            </w:rPr>
          </w:r>
          <w:r>
            <w:rPr>
              <w:noProof/>
            </w:rPr>
            <w:fldChar w:fldCharType="separate"/>
          </w:r>
          <w:r w:rsidR="00BE223F">
            <w:rPr>
              <w:noProof/>
            </w:rPr>
            <w:t>26</w:t>
          </w:r>
          <w:r>
            <w:rPr>
              <w:noProof/>
            </w:rPr>
            <w:fldChar w:fldCharType="end"/>
          </w:r>
        </w:p>
        <w:p w:rsidR="00942F56" w:rsidRDefault="00942F56" w14:paraId="43725AA1" w14:textId="02E0D016">
          <w:pPr>
            <w:pStyle w:val="Innehll2"/>
            <w:tabs>
              <w:tab w:val="right" w:leader="dot" w:pos="8494"/>
            </w:tabs>
            <w:rPr>
              <w:rFonts w:eastAsiaTheme="minorEastAsia"/>
              <w:noProof/>
              <w:kern w:val="0"/>
              <w:sz w:val="22"/>
              <w:szCs w:val="22"/>
              <w:lang w:eastAsia="sv-SE"/>
              <w14:numSpacing w14:val="default"/>
            </w:rPr>
          </w:pPr>
          <w:r>
            <w:rPr>
              <w:noProof/>
            </w:rPr>
            <w:t>9.2 Välfärden är samhällets bottenplatta</w:t>
          </w:r>
          <w:r>
            <w:rPr>
              <w:noProof/>
            </w:rPr>
            <w:tab/>
          </w:r>
          <w:r>
            <w:rPr>
              <w:noProof/>
            </w:rPr>
            <w:fldChar w:fldCharType="begin"/>
          </w:r>
          <w:r>
            <w:rPr>
              <w:noProof/>
            </w:rPr>
            <w:instrText xml:space="preserve"> PAGEREF _Toc197351641 \h </w:instrText>
          </w:r>
          <w:r>
            <w:rPr>
              <w:noProof/>
            </w:rPr>
          </w:r>
          <w:r>
            <w:rPr>
              <w:noProof/>
            </w:rPr>
            <w:fldChar w:fldCharType="separate"/>
          </w:r>
          <w:r w:rsidR="00BE223F">
            <w:rPr>
              <w:noProof/>
            </w:rPr>
            <w:t>27</w:t>
          </w:r>
          <w:r>
            <w:rPr>
              <w:noProof/>
            </w:rPr>
            <w:fldChar w:fldCharType="end"/>
          </w:r>
        </w:p>
        <w:p w:rsidR="00942F56" w:rsidRDefault="00942F56" w14:paraId="150B9E65" w14:textId="3D4BAFB7">
          <w:pPr>
            <w:pStyle w:val="Innehll2"/>
            <w:tabs>
              <w:tab w:val="right" w:leader="dot" w:pos="8494"/>
            </w:tabs>
            <w:rPr>
              <w:rFonts w:eastAsiaTheme="minorEastAsia"/>
              <w:noProof/>
              <w:kern w:val="0"/>
              <w:sz w:val="22"/>
              <w:szCs w:val="22"/>
              <w:lang w:eastAsia="sv-SE"/>
              <w14:numSpacing w14:val="default"/>
            </w:rPr>
          </w:pPr>
          <w:r>
            <w:rPr>
              <w:noProof/>
            </w:rPr>
            <w:t>9.3 Kunskapslyft ur krisen</w:t>
          </w:r>
          <w:r>
            <w:rPr>
              <w:noProof/>
            </w:rPr>
            <w:tab/>
          </w:r>
          <w:r>
            <w:rPr>
              <w:noProof/>
            </w:rPr>
            <w:fldChar w:fldCharType="begin"/>
          </w:r>
          <w:r>
            <w:rPr>
              <w:noProof/>
            </w:rPr>
            <w:instrText xml:space="preserve"> PAGEREF _Toc197351642 \h </w:instrText>
          </w:r>
          <w:r>
            <w:rPr>
              <w:noProof/>
            </w:rPr>
          </w:r>
          <w:r>
            <w:rPr>
              <w:noProof/>
            </w:rPr>
            <w:fldChar w:fldCharType="separate"/>
          </w:r>
          <w:r w:rsidR="00BE223F">
            <w:rPr>
              <w:noProof/>
            </w:rPr>
            <w:t>29</w:t>
          </w:r>
          <w:r>
            <w:rPr>
              <w:noProof/>
            </w:rPr>
            <w:fldChar w:fldCharType="end"/>
          </w:r>
        </w:p>
        <w:p w:rsidR="00942F56" w:rsidRDefault="00942F56" w14:paraId="79C83C3D" w14:textId="03CEFF30">
          <w:pPr>
            <w:pStyle w:val="Innehll1"/>
            <w:tabs>
              <w:tab w:val="right" w:leader="dot" w:pos="8494"/>
            </w:tabs>
            <w:rPr>
              <w:rFonts w:eastAsiaTheme="minorEastAsia"/>
              <w:noProof/>
              <w:kern w:val="0"/>
              <w:sz w:val="22"/>
              <w:szCs w:val="22"/>
              <w:lang w:eastAsia="sv-SE"/>
              <w14:numSpacing w14:val="default"/>
            </w:rPr>
          </w:pPr>
          <w:r>
            <w:rPr>
              <w:noProof/>
            </w:rPr>
            <w:t>10 Förslag på budgetåtgärder för 2025</w:t>
          </w:r>
          <w:r>
            <w:rPr>
              <w:noProof/>
            </w:rPr>
            <w:tab/>
          </w:r>
          <w:r>
            <w:rPr>
              <w:noProof/>
            </w:rPr>
            <w:fldChar w:fldCharType="begin"/>
          </w:r>
          <w:r>
            <w:rPr>
              <w:noProof/>
            </w:rPr>
            <w:instrText xml:space="preserve"> PAGEREF _Toc197351643 \h </w:instrText>
          </w:r>
          <w:r>
            <w:rPr>
              <w:noProof/>
            </w:rPr>
          </w:r>
          <w:r>
            <w:rPr>
              <w:noProof/>
            </w:rPr>
            <w:fldChar w:fldCharType="separate"/>
          </w:r>
          <w:r w:rsidR="00BE223F">
            <w:rPr>
              <w:noProof/>
            </w:rPr>
            <w:t>30</w:t>
          </w:r>
          <w:r>
            <w:rPr>
              <w:noProof/>
            </w:rPr>
            <w:fldChar w:fldCharType="end"/>
          </w:r>
        </w:p>
        <w:p w:rsidR="00F90197" w:rsidRDefault="00942F56" w14:paraId="54F91E6F" w14:textId="11BBEF2B">
          <w:r>
            <w:fldChar w:fldCharType="end"/>
          </w:r>
        </w:p>
      </w:sdtContent>
    </w:sdt>
    <w:p w:rsidR="006C5821" w:rsidP="00FA5E76" w:rsidRDefault="006C5821" w14:paraId="3470BAC0" w14:textId="77777777">
      <w:pPr>
        <w:pStyle w:val="Normalutanindragellerluft"/>
      </w:pPr>
      <w:r>
        <w:br w:type="page"/>
      </w:r>
    </w:p>
    <w:bookmarkStart w:name="_Toc197351621" w:id="4"/>
    <w:p w:rsidRPr="006C5821" w:rsidR="00AF30DD" w:rsidP="006C5821" w:rsidRDefault="00714E95" w14:paraId="3AAFC96B" w14:textId="4351CEA0">
      <w:pPr>
        <w:pStyle w:val="Rubrik1numrerat"/>
      </w:pPr>
      <w:sdt>
        <w:sdtPr>
          <w:alias w:val="CC_Boilerplate_4"/>
          <w:tag w:val="CC_Boilerplate_4"/>
          <w:id w:val="-1644581176"/>
          <w:lock w:val="sdtContentLocked"/>
          <w:placeholder>
            <w:docPart w:val="51CF7332CC7E436BB70648784DB05DC4"/>
          </w:placeholder>
          <w:text/>
        </w:sdtPr>
        <w:sdtEndPr/>
        <w:sdtContent>
          <w:r w:rsidRPr="006C5821" w:rsidR="00AF30DD">
            <w:t>Förslag till riksdagsbeslut</w:t>
          </w:r>
        </w:sdtContent>
      </w:sdt>
      <w:bookmarkEnd w:id="0"/>
      <w:bookmarkEnd w:id="4"/>
    </w:p>
    <w:sdt>
      <w:sdtPr>
        <w:alias w:val="Yrkande 1"/>
        <w:tag w:val="040fd2f0-4dc4-4b9b-ae1d-b64d2ace4626"/>
        <w:id w:val="1673683583"/>
        <w:lock w:val="sdtLocked"/>
      </w:sdtPr>
      <w:sdtEndPr/>
      <w:sdtContent>
        <w:p w:rsidR="00B32C6D" w:rsidRDefault="0039164A" w14:paraId="16ADF1B1" w14:textId="77777777">
          <w:pPr>
            <w:pStyle w:val="Frslagstext"/>
            <w:numPr>
              <w:ilvl w:val="0"/>
              <w:numId w:val="0"/>
            </w:numPr>
          </w:pPr>
          <w:r>
            <w:t>Riksdagen godkänner de riktlinjer för den ekonomiska politiken och budgetpolitiken som föreslås i motionen.</w:t>
          </w:r>
        </w:p>
      </w:sdtContent>
    </w:sdt>
    <w:bookmarkStart w:name="MotionsStart" w:displacedByCustomXml="next" w:id="5"/>
    <w:bookmarkEnd w:displacedByCustomXml="next" w:id="5"/>
    <w:bookmarkStart w:name="_Toc197351622" w:displacedByCustomXml="next" w:id="6"/>
    <w:bookmarkStart w:name="_Toc106800476" w:displacedByCustomXml="next" w:id="7"/>
    <w:sdt>
      <w:sdtPr>
        <w:alias w:val="CC_Motivering_Rubrik"/>
        <w:tag w:val="CC_Motivering_Rubrik"/>
        <w:id w:val="1433397530"/>
        <w:lock w:val="sdtLocked"/>
        <w:placeholder>
          <w:docPart w:val="074BA5AAFD204DAFB7580E8ED6202402"/>
        </w:placeholder>
        <w:text/>
      </w:sdtPr>
      <w:sdtEndPr/>
      <w:sdtContent>
        <w:p w:rsidRPr="006C5821" w:rsidR="006D79C9" w:rsidP="006C5821" w:rsidRDefault="00EB20F8" w14:paraId="113FDB6C" w14:textId="08D6596C">
          <w:pPr>
            <w:pStyle w:val="Rubrik1numrerat"/>
          </w:pPr>
          <w:r w:rsidRPr="006C5821">
            <w:t>Det ekonomiska läget</w:t>
          </w:r>
        </w:p>
      </w:sdtContent>
    </w:sdt>
    <w:bookmarkEnd w:displacedByCustomXml="prev" w:id="6"/>
    <w:bookmarkEnd w:displacedByCustomXml="prev" w:id="7"/>
    <w:p w:rsidRPr="006C5821" w:rsidR="00ED1F15" w:rsidP="00FA5E76" w:rsidRDefault="00BD3261" w14:paraId="4E2C99D7" w14:textId="5438C024">
      <w:pPr>
        <w:pStyle w:val="Rubrik2numrerat"/>
        <w:spacing w:before="440"/>
      </w:pPr>
      <w:bookmarkStart w:name="_Toc197351623" w:id="8"/>
      <w:r w:rsidRPr="006C5821">
        <w:t>Lågkonjunktur och osäkerhet</w:t>
      </w:r>
      <w:bookmarkEnd w:id="8"/>
    </w:p>
    <w:p w:rsidRPr="003E67AC" w:rsidR="00ED1F15" w:rsidP="00EC7099" w:rsidRDefault="00ED1F15" w14:paraId="52C10E13" w14:textId="2411D5F8">
      <w:pPr>
        <w:pStyle w:val="Normalutanindragellerluft"/>
        <w:rPr>
          <w:lang w:eastAsia="sv-SE"/>
        </w:rPr>
      </w:pPr>
      <w:r w:rsidRPr="003E67AC">
        <w:rPr>
          <w:lang w:eastAsia="sv-SE"/>
        </w:rPr>
        <w:t>Världsekonomin präglas för närvarande av en extrem osäkerhet. Den nya amerikanska administrationen började med att införa tullar mot Kina, Mexi</w:t>
      </w:r>
      <w:r w:rsidR="008C3866">
        <w:rPr>
          <w:lang w:eastAsia="sv-SE"/>
        </w:rPr>
        <w:t>k</w:t>
      </w:r>
      <w:r w:rsidRPr="003E67AC">
        <w:rPr>
          <w:lang w:eastAsia="sv-SE"/>
        </w:rPr>
        <w:t xml:space="preserve">o och Kanada samt på aluminium och stål från hela omvärlden. Den </w:t>
      </w:r>
      <w:r w:rsidRPr="003E67AC" w:rsidR="007E41DE">
        <w:rPr>
          <w:lang w:eastAsia="sv-SE"/>
        </w:rPr>
        <w:t>2</w:t>
      </w:r>
      <w:r w:rsidRPr="003E67AC">
        <w:rPr>
          <w:lang w:eastAsia="sv-SE"/>
        </w:rPr>
        <w:t xml:space="preserve"> april gick så Trumpadministrationen vidare med generella tullar mot en lång rad länder. Import från EU beläggs med 20</w:t>
      </w:r>
      <w:r w:rsidR="007E7058">
        <w:rPr>
          <w:lang w:eastAsia="sv-SE"/>
        </w:rPr>
        <w:noBreakHyphen/>
      </w:r>
      <w:r w:rsidRPr="003E67AC">
        <w:rPr>
          <w:lang w:eastAsia="sv-SE"/>
        </w:rPr>
        <w:t xml:space="preserve">procentiga tullar och Kina med 34 procent. </w:t>
      </w:r>
      <w:r w:rsidRPr="003E67AC" w:rsidR="00165549">
        <w:rPr>
          <w:lang w:eastAsia="sv-SE"/>
        </w:rPr>
        <w:t xml:space="preserve">Därefter har tullarna mot Kina höjts ytterligare, medan tullarna mot EU sänkts till 10 </w:t>
      </w:r>
      <w:r w:rsidRPr="003E67AC" w:rsidR="00CB44B5">
        <w:rPr>
          <w:lang w:eastAsia="sv-SE"/>
        </w:rPr>
        <w:t>procent under en 90-dagarsperiod då förhandlingar förväntas äga rum. Sammantaget har den amerikanska administrationens olika utspel på handelsområdet påtagligt försämrat förtroendet bland hushåll och företag i hela världen.</w:t>
      </w:r>
      <w:r w:rsidRPr="003E67AC">
        <w:rPr>
          <w:lang w:eastAsia="sv-SE"/>
        </w:rPr>
        <w:t xml:space="preserve"> </w:t>
      </w:r>
    </w:p>
    <w:p w:rsidRPr="003E67AC" w:rsidR="00ED1F15" w:rsidP="00EC7099" w:rsidRDefault="00ED1F15" w14:paraId="7D56AA36" w14:textId="5B4A62FC">
      <w:pPr>
        <w:rPr>
          <w:lang w:eastAsia="sv-SE"/>
        </w:rPr>
      </w:pPr>
      <w:r w:rsidRPr="003E67AC">
        <w:rPr>
          <w:lang w:eastAsia="sv-SE"/>
        </w:rPr>
        <w:t>Sverige</w:t>
      </w:r>
      <w:r w:rsidRPr="003E67AC" w:rsidR="00341474">
        <w:rPr>
          <w:lang w:eastAsia="sv-SE"/>
        </w:rPr>
        <w:t>s</w:t>
      </w:r>
      <w:r w:rsidRPr="003E67AC">
        <w:rPr>
          <w:lang w:eastAsia="sv-SE"/>
        </w:rPr>
        <w:t xml:space="preserve"> ekonomi har utvecklats svagt under de senaste åren. (Sveriges BNP-tillväxt har klart understigit tillväxten i såväl USA som Europa </w:t>
      </w:r>
      <w:r w:rsidR="00B000A5">
        <w:rPr>
          <w:lang w:eastAsia="sv-SE"/>
        </w:rPr>
        <w:t>[</w:t>
      </w:r>
      <w:r w:rsidRPr="003E67AC">
        <w:rPr>
          <w:lang w:eastAsia="sv-SE"/>
        </w:rPr>
        <w:t>EU-snittet</w:t>
      </w:r>
      <w:r w:rsidR="00B000A5">
        <w:rPr>
          <w:lang w:eastAsia="sv-SE"/>
        </w:rPr>
        <w:t>]</w:t>
      </w:r>
      <w:r w:rsidR="00C6018A">
        <w:rPr>
          <w:lang w:eastAsia="sv-SE"/>
        </w:rPr>
        <w:t>.</w:t>
      </w:r>
      <w:r w:rsidRPr="003E67AC">
        <w:rPr>
          <w:lang w:eastAsia="sv-SE"/>
        </w:rPr>
        <w:t>) De senaste två kvartalen har dock BNP växt i hygglig takt, men tillväxten väntas sjunka under det första halvåret 2025 när både investeringarna och hushållens konsumtion ökar lång</w:t>
      </w:r>
      <w:r w:rsidR="007E7058">
        <w:rPr>
          <w:lang w:eastAsia="sv-SE"/>
        </w:rPr>
        <w:softHyphen/>
      </w:r>
      <w:r w:rsidRPr="003E67AC">
        <w:rPr>
          <w:lang w:eastAsia="sv-SE"/>
        </w:rPr>
        <w:t xml:space="preserve">sammare. </w:t>
      </w:r>
    </w:p>
    <w:p w:rsidRPr="003E67AC" w:rsidR="00ED1F15" w:rsidP="0022557B" w:rsidRDefault="00ED1F15" w14:paraId="7D6DCA1C" w14:textId="2912AB0D">
      <w:pPr>
        <w:pStyle w:val="Tabellrubrik"/>
        <w:spacing w:before="300"/>
      </w:pPr>
      <w:r w:rsidRPr="003E67AC">
        <w:lastRenderedPageBreak/>
        <w:t xml:space="preserve">Figur </w:t>
      </w:r>
      <w:r w:rsidRPr="003E67AC" w:rsidR="004F1979">
        <w:t>1</w:t>
      </w:r>
      <w:r w:rsidRPr="003E67AC">
        <w:t xml:space="preserve"> Sveriges BNP, 2021K1–2024K4</w:t>
      </w:r>
    </w:p>
    <w:p w:rsidRPr="003E67AC" w:rsidR="00ED1F15" w:rsidP="00763226" w:rsidRDefault="00ED1F15" w14:paraId="214EC6CA" w14:textId="608E4B14">
      <w:pPr>
        <w:pStyle w:val="Tabellunderrubrik"/>
      </w:pPr>
      <w:r w:rsidRPr="003E67AC">
        <w:t>Procentuell förändring, fasta priser, säsongsrensade kvartalsvärde</w:t>
      </w:r>
      <w:r w:rsidR="00C6018A">
        <w:t>n</w:t>
      </w:r>
    </w:p>
    <w:p w:rsidRPr="003E67AC" w:rsidR="00ED1F15" w:rsidP="00ED1F15" w:rsidRDefault="00ED1F15" w14:paraId="6A0B3E04" w14:textId="072ACF78">
      <w:pPr>
        <w:pStyle w:val="Tabellunderrubrik"/>
        <w:rPr>
          <w:lang w:eastAsia="sv-SE"/>
        </w:rPr>
      </w:pPr>
      <w:r w:rsidRPr="003E67AC">
        <w:rPr>
          <w:noProof/>
          <w14:numSpacing w14:val="default"/>
        </w:rPr>
        <w:drawing>
          <wp:inline distT="0" distB="0" distL="0" distR="0" wp14:anchorId="411AD3C5" wp14:editId="5A66DFC1">
            <wp:extent cx="5400000" cy="3240000"/>
            <wp:effectExtent l="0" t="0" r="10795" b="17780"/>
            <wp:docPr id="7" name="Diagram 7" descr="">
              <a:extLst xmlns:a="http://schemas.openxmlformats.org/drawingml/2006/main">
                <a:ext uri="{FF2B5EF4-FFF2-40B4-BE49-F238E27FC236}">
                  <a16:creationId xmlns:a16="http://schemas.microsoft.com/office/drawing/2014/main" id="{C671C178-2E3D-4D31-94EF-FB2854FF8442}"/>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Pr="003E67AC" w:rsidR="00ED1F15" w:rsidP="0022557B" w:rsidRDefault="00ED1F15" w14:paraId="1065E778" w14:textId="4DE3389F">
      <w:pPr>
        <w:pStyle w:val="Klla"/>
        <w:spacing w:before="40"/>
      </w:pPr>
      <w:r w:rsidRPr="003E67AC">
        <w:t>Källa: SCB</w:t>
      </w:r>
      <w:r w:rsidR="00C6018A">
        <w:t>.</w:t>
      </w:r>
    </w:p>
    <w:p w:rsidRPr="003E67AC" w:rsidR="00ED1F15" w:rsidP="00EC7099" w:rsidRDefault="00ED1F15" w14:paraId="44355D40" w14:textId="5D5B1D07">
      <w:pPr>
        <w:pStyle w:val="Normalutanindragellerluft"/>
        <w:spacing w:before="150"/>
      </w:pPr>
      <w:r w:rsidRPr="003E67AC">
        <w:t>Hushållens syn på både Sveriges ekonomi och den egna ekonomin håller tillbaka hushållens konsumtion. I figuren nedan visa</w:t>
      </w:r>
      <w:r w:rsidR="003910E9">
        <w:t>s</w:t>
      </w:r>
      <w:r w:rsidRPr="003E67AC">
        <w:t xml:space="preserve"> hushållens syn på dels Sveriges ekonomi</w:t>
      </w:r>
      <w:r w:rsidRPr="003E67AC" w:rsidR="00722770">
        <w:t>,</w:t>
      </w:r>
      <w:r w:rsidRPr="003E67AC">
        <w:t xml:space="preserve"> dels den egna ekonomin. Som framgår av figuren sjönk hushållens syn på ekonomin dramatiskt under 2022 under inflationskrisen. Därefter förbättrades stämningsläget under större delen av 2024 i takt med minskad inflation och sänkta räntor. När nu osäkerheten i omvärlden har ökat och inflationen kommit tillbaka har hushållens syn på ekonomin vänt ned</w:t>
      </w:r>
      <w:r w:rsidRPr="003E67AC" w:rsidR="00F94BA0">
        <w:t>åt</w:t>
      </w:r>
      <w:r w:rsidRPr="003E67AC">
        <w:t xml:space="preserve"> igen. </w:t>
      </w:r>
    </w:p>
    <w:p w:rsidRPr="003E67AC" w:rsidR="00ED1F15" w:rsidP="0022557B" w:rsidRDefault="00ED1F15" w14:paraId="3B1F09EC" w14:textId="3A003B0B">
      <w:pPr>
        <w:pStyle w:val="Tabellrubrik"/>
        <w:spacing w:before="300"/>
      </w:pPr>
      <w:r w:rsidRPr="003E67AC">
        <w:t xml:space="preserve">Figur </w:t>
      </w:r>
      <w:r w:rsidRPr="003E67AC" w:rsidR="004F1979">
        <w:t>2</w:t>
      </w:r>
      <w:r w:rsidRPr="003E67AC">
        <w:t xml:space="preserve"> Hushållens konfidensindikatorer</w:t>
      </w:r>
    </w:p>
    <w:p w:rsidRPr="003E67AC" w:rsidR="00ED1F15" w:rsidP="00ED1F15" w:rsidRDefault="00ED1F15" w14:paraId="619C8EFB" w14:textId="44416756">
      <w:pPr>
        <w:pStyle w:val="Tabellunderrubrik"/>
      </w:pPr>
      <w:r w:rsidRPr="003E67AC">
        <w:t>Index medelvärde = 100</w:t>
      </w:r>
    </w:p>
    <w:p w:rsidRPr="003E67AC" w:rsidR="00ED1F15" w:rsidP="00ED1F15" w:rsidRDefault="00ED1F15" w14:paraId="1C263306" w14:textId="38D3F166">
      <w:pPr>
        <w:pStyle w:val="Tabellunderrubrik"/>
      </w:pPr>
      <w:r w:rsidRPr="003E67AC">
        <w:rPr>
          <w:noProof/>
        </w:rPr>
        <w:drawing>
          <wp:inline distT="0" distB="0" distL="0" distR="0" wp14:anchorId="7FD4CC5F" wp14:editId="7BB92229">
            <wp:extent cx="5400000" cy="3180240"/>
            <wp:effectExtent l="0" t="0" r="10795" b="1270"/>
            <wp:docPr id="8" name="Diagram 8" descr="">
              <a:extLst xmlns:a="http://schemas.openxmlformats.org/drawingml/2006/main">
                <a:ext uri="{FF2B5EF4-FFF2-40B4-BE49-F238E27FC236}">
                  <a16:creationId xmlns:a16="http://schemas.microsoft.com/office/drawing/2014/main" id="{C92B5653-CFA2-4AB6-830F-B5E85FD0456C}"/>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Pr="003E67AC" w:rsidR="00ED1F15" w:rsidP="0022557B" w:rsidRDefault="00ED1F15" w14:paraId="35E0A195" w14:textId="774CCFE5">
      <w:pPr>
        <w:pStyle w:val="Klla"/>
        <w:spacing w:before="40"/>
      </w:pPr>
      <w:r w:rsidRPr="003E67AC">
        <w:t>Källa: Konjunkturinstitutet</w:t>
      </w:r>
      <w:r w:rsidR="000240FD">
        <w:t>.</w:t>
      </w:r>
    </w:p>
    <w:p w:rsidRPr="003E67AC" w:rsidR="00ED1F15" w:rsidP="00EC7099" w:rsidRDefault="00091B70" w14:paraId="48B23AF6" w14:textId="4FC439DC">
      <w:pPr>
        <w:pStyle w:val="Normalutanindragellerluft"/>
        <w:spacing w:before="150"/>
      </w:pPr>
      <w:r w:rsidRPr="003E67AC">
        <w:lastRenderedPageBreak/>
        <w:t>Att hushållen är känsliga för ökad inflation och stigande räntor är begripligt. Reallöne</w:t>
      </w:r>
      <w:r w:rsidR="007E7058">
        <w:softHyphen/>
      </w:r>
      <w:r w:rsidRPr="003E67AC">
        <w:t xml:space="preserve">sänkningarna 2022 och 2023 raderade ut nio års reallöneökningar (se figur </w:t>
      </w:r>
      <w:r w:rsidRPr="003E67AC" w:rsidR="004A1773">
        <w:t>3</w:t>
      </w:r>
      <w:r w:rsidRPr="003E67AC">
        <w:t xml:space="preserve"> nedan).</w:t>
      </w:r>
    </w:p>
    <w:p w:rsidRPr="003E67AC" w:rsidR="00091B70" w:rsidP="0022557B" w:rsidRDefault="00091B70" w14:paraId="1FC9187D" w14:textId="506760A8">
      <w:pPr>
        <w:pStyle w:val="Tabellrubrik"/>
        <w:spacing w:before="300"/>
      </w:pPr>
      <w:r w:rsidRPr="003E67AC">
        <w:t xml:space="preserve">Figur </w:t>
      </w:r>
      <w:r w:rsidRPr="003E67AC" w:rsidR="004F1979">
        <w:t>3</w:t>
      </w:r>
      <w:r w:rsidRPr="003E67AC">
        <w:t xml:space="preserve"> Reallöner,</w:t>
      </w:r>
      <w:r w:rsidRPr="003E67AC" w:rsidR="006D623D">
        <w:t xml:space="preserve"> </w:t>
      </w:r>
      <w:r w:rsidRPr="003E67AC">
        <w:t>1994–2024</w:t>
      </w:r>
    </w:p>
    <w:p w:rsidRPr="003E67AC" w:rsidR="00091B70" w:rsidP="00091B70" w:rsidRDefault="00091B70" w14:paraId="5BD9C040" w14:textId="03CAAA18">
      <w:pPr>
        <w:pStyle w:val="Tabellunderrubrik"/>
      </w:pPr>
      <w:r w:rsidRPr="003E67AC">
        <w:t>Index 1995 = 100</w:t>
      </w:r>
    </w:p>
    <w:p w:rsidRPr="003E67AC" w:rsidR="00091B70" w:rsidP="00091B70" w:rsidRDefault="00091B70" w14:paraId="10EC0368" w14:textId="000B332F">
      <w:pPr>
        <w:pStyle w:val="Tabellunderrubrik"/>
      </w:pPr>
      <w:r w:rsidRPr="003E67AC">
        <w:rPr>
          <w:noProof/>
          <w14:numSpacing w14:val="default"/>
        </w:rPr>
        <w:drawing>
          <wp:inline distT="0" distB="0" distL="0" distR="0" wp14:anchorId="1D5677D1" wp14:editId="7A3D8523">
            <wp:extent cx="5400000" cy="3240000"/>
            <wp:effectExtent l="0" t="0" r="10795" b="17780"/>
            <wp:docPr id="9" name="Diagram 9" descr="">
              <a:extLst xmlns:a="http://schemas.openxmlformats.org/drawingml/2006/main">
                <a:ext uri="{FF2B5EF4-FFF2-40B4-BE49-F238E27FC236}">
                  <a16:creationId xmlns:a16="http://schemas.microsoft.com/office/drawing/2014/main" id="{99CB2E64-EE47-4FF3-AFA2-E92D333E0DEC}"/>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Pr="003E67AC" w:rsidR="00091B70" w:rsidP="0022557B" w:rsidRDefault="00091B70" w14:paraId="48B73B5C" w14:textId="6A48AF0E">
      <w:pPr>
        <w:pStyle w:val="Klla"/>
        <w:spacing w:before="40"/>
      </w:pPr>
      <w:r w:rsidRPr="003E67AC">
        <w:t>Källa: Medlingsinstitutet</w:t>
      </w:r>
      <w:r w:rsidR="0010500E">
        <w:t>.</w:t>
      </w:r>
    </w:p>
    <w:p w:rsidRPr="003E67AC" w:rsidR="003C2551" w:rsidP="00EC7099" w:rsidRDefault="00312D30" w14:paraId="20A072E3" w14:textId="402BEA14">
      <w:pPr>
        <w:pStyle w:val="Normalutanindragellerluft"/>
        <w:spacing w:before="150"/>
      </w:pPr>
      <w:r w:rsidRPr="003E67AC">
        <w:t xml:space="preserve">Sveriges kommuner och regioner har haft ett antal tuffa år. Stigande kostnader för varor, tjänster och inte minst avtalspensioner har satt hård press på framför allt regionernas ekonomi. När sedan regeringen valt att inte skjuta till de medel som behövs för att täcka kostnadsökningarna har många regioner tvingats till nedskärningar inom sjukvården. För 2025 och 2026 stärks dock kommunsektorns ekonomi påtagligt. Kommunernas kostnader för tjänstepensionerna minskar med 25 miljarder kronor 2025 och </w:t>
      </w:r>
      <w:r w:rsidR="003E78D2">
        <w:t xml:space="preserve">med </w:t>
      </w:r>
      <w:r w:rsidRPr="003E67AC">
        <w:t xml:space="preserve">ytterligare 7 miljarder kronor 2026. Skatteunderlaget väntas också utvecklas hyggligt under 2025 och 2026. Detta leder till en kraftig förbättring av kommunernas resultat. </w:t>
      </w:r>
    </w:p>
    <w:p w:rsidRPr="003E67AC" w:rsidR="0043305C" w:rsidP="00EC7099" w:rsidRDefault="0043305C" w14:paraId="7EE5131E" w14:textId="3968A816">
      <w:r w:rsidRPr="003E67AC">
        <w:t xml:space="preserve">De förbättrade resultaten beror också till stor del på genomförda besparingar och skattehöjningar. </w:t>
      </w:r>
      <w:r w:rsidRPr="003E67AC" w:rsidR="00361E96">
        <w:t>K</w:t>
      </w:r>
      <w:r w:rsidRPr="003E67AC">
        <w:t>ommunerna</w:t>
      </w:r>
      <w:r w:rsidRPr="003E67AC" w:rsidR="00361E96">
        <w:t xml:space="preserve">, och i synnerhet regionerna, </w:t>
      </w:r>
      <w:r w:rsidRPr="003E67AC">
        <w:t xml:space="preserve">har flera år av besparingar och nedskärningar bakom sig, </w:t>
      </w:r>
      <w:r w:rsidRPr="003E67AC" w:rsidR="00361E96">
        <w:t xml:space="preserve">varpå </w:t>
      </w:r>
      <w:r w:rsidRPr="003E67AC">
        <w:t xml:space="preserve">det nu </w:t>
      </w:r>
      <w:r w:rsidRPr="003E67AC" w:rsidR="00361E96">
        <w:t xml:space="preserve">är </w:t>
      </w:r>
      <w:r w:rsidRPr="003E67AC">
        <w:t>viktigt att de ges resurser att bygga upp sina verksamheter igen.</w:t>
      </w:r>
    </w:p>
    <w:p w:rsidRPr="003E67AC" w:rsidR="00091B70" w:rsidP="006C5821" w:rsidRDefault="00091B70" w14:paraId="6A558E34" w14:textId="389AF678">
      <w:pPr>
        <w:pStyle w:val="Rubrik2numrerat"/>
      </w:pPr>
      <w:bookmarkStart w:name="_Toc197351624" w:id="9"/>
      <w:r w:rsidRPr="003E67AC">
        <w:t>Regeringen har misslyckats med jobben</w:t>
      </w:r>
      <w:bookmarkEnd w:id="9"/>
    </w:p>
    <w:p w:rsidRPr="003E67AC" w:rsidR="008855C4" w:rsidP="00EC7099" w:rsidRDefault="00091B70" w14:paraId="62C7F040" w14:textId="293C1DAC">
      <w:pPr>
        <w:pStyle w:val="Normalutanindragellerluft"/>
      </w:pPr>
      <w:r w:rsidRPr="003E67AC">
        <w:t>Reallönesänkningarna, plus regeringens passiva och ineffektiva finanspolitik</w:t>
      </w:r>
      <w:r w:rsidRPr="003E67AC" w:rsidR="008E0062">
        <w:t>,</w:t>
      </w:r>
      <w:r w:rsidRPr="003E67AC">
        <w:t xml:space="preserve"> har resulterat i en svag utveckling för framför allt hushållens konsumtion och investering</w:t>
      </w:r>
      <w:r w:rsidR="00276B17">
        <w:softHyphen/>
      </w:r>
      <w:r w:rsidRPr="003E67AC">
        <w:t xml:space="preserve">arna i näringslivet. </w:t>
      </w:r>
      <w:r w:rsidRPr="003E67AC" w:rsidR="008855C4">
        <w:t xml:space="preserve">Den </w:t>
      </w:r>
      <w:r w:rsidRPr="003E67AC" w:rsidR="007201DF">
        <w:t>dåliga</w:t>
      </w:r>
      <w:r w:rsidRPr="003E67AC" w:rsidR="008855C4">
        <w:t xml:space="preserve"> utvecklingen av investeringarna syns inte </w:t>
      </w:r>
      <w:r w:rsidRPr="003E67AC" w:rsidR="008855C4">
        <w:lastRenderedPageBreak/>
        <w:t xml:space="preserve">minst inom bygg- och bostadsmarknaden, </w:t>
      </w:r>
      <w:r w:rsidRPr="003E67AC" w:rsidR="00725A96">
        <w:t>där antalet påbörjade flerbostadshus och småhus sammantaget minska</w:t>
      </w:r>
      <w:r w:rsidR="00707288">
        <w:t>de</w:t>
      </w:r>
      <w:r w:rsidRPr="003E67AC" w:rsidR="00725A96">
        <w:t xml:space="preserve"> med närmare 60 procent mellan 2021</w:t>
      </w:r>
      <w:r w:rsidRPr="003E67AC" w:rsidR="007201DF">
        <w:t xml:space="preserve"> och </w:t>
      </w:r>
      <w:r w:rsidRPr="003E67AC" w:rsidR="00725A96">
        <w:t>2024</w:t>
      </w:r>
      <w:r w:rsidRPr="003E67AC" w:rsidR="007201DF">
        <w:t xml:space="preserve"> (jfr figur</w:t>
      </w:r>
      <w:r w:rsidR="00707288">
        <w:t> </w:t>
      </w:r>
      <w:r w:rsidRPr="003E67AC" w:rsidR="00AE7265">
        <w:t>4</w:t>
      </w:r>
      <w:r w:rsidRPr="003E67AC" w:rsidR="007201DF">
        <w:t xml:space="preserve"> nedan).</w:t>
      </w:r>
    </w:p>
    <w:p w:rsidRPr="003E67AC" w:rsidR="008855C4" w:rsidP="0022557B" w:rsidRDefault="008855C4" w14:paraId="46C8248D" w14:textId="2FF28A6D">
      <w:pPr>
        <w:pStyle w:val="Tabellrubrik"/>
        <w:spacing w:before="300"/>
      </w:pPr>
      <w:r w:rsidRPr="003E67AC">
        <w:t xml:space="preserve">Figur </w:t>
      </w:r>
      <w:r w:rsidRPr="003E67AC" w:rsidR="004F1979">
        <w:t>4</w:t>
      </w:r>
      <w:r w:rsidRPr="003E67AC">
        <w:t xml:space="preserve"> </w:t>
      </w:r>
      <w:r w:rsidRPr="003E67AC" w:rsidR="00725A96">
        <w:t>Påbörjade lägenheter och småhus, 2000–2024</w:t>
      </w:r>
    </w:p>
    <w:p w:rsidRPr="003E67AC" w:rsidR="008855C4" w:rsidP="008855C4" w:rsidRDefault="008855C4" w14:paraId="3583D1EA" w14:textId="153BB4AB">
      <w:pPr>
        <w:ind w:firstLine="0"/>
      </w:pPr>
      <w:r w:rsidRPr="003E67AC">
        <w:rPr>
          <w:noProof/>
          <w14:numSpacing w14:val="default"/>
        </w:rPr>
        <w:drawing>
          <wp:inline distT="0" distB="0" distL="0" distR="0" wp14:anchorId="2E8EB3ED" wp14:editId="45A5A627">
            <wp:extent cx="5400000" cy="3240000"/>
            <wp:effectExtent l="0" t="0" r="10795" b="17780"/>
            <wp:docPr id="6" name="Diagram 6" descr="">
              <a:extLst xmlns:a="http://schemas.openxmlformats.org/drawingml/2006/main">
                <a:ext uri="{FF2B5EF4-FFF2-40B4-BE49-F238E27FC236}">
                  <a16:creationId xmlns:a16="http://schemas.microsoft.com/office/drawing/2014/main" id="{42833F3B-799D-4638-B12E-E4B8A0A98905}"/>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Pr="003E67AC" w:rsidR="008855C4" w:rsidP="0022557B" w:rsidRDefault="007201DF" w14:paraId="0578BAE1" w14:textId="08B16E55">
      <w:pPr>
        <w:pStyle w:val="Klla"/>
        <w:spacing w:before="40"/>
      </w:pPr>
      <w:r w:rsidRPr="003E67AC">
        <w:t>Källa: SCB</w:t>
      </w:r>
      <w:r w:rsidR="00707288">
        <w:t>.</w:t>
      </w:r>
    </w:p>
    <w:p w:rsidRPr="003E67AC" w:rsidR="00091B70" w:rsidP="00EC7099" w:rsidRDefault="00091B70" w14:paraId="2BEE27E5" w14:textId="024B0643">
      <w:pPr>
        <w:pStyle w:val="Normalutanindragellerluft"/>
        <w:spacing w:before="150"/>
      </w:pPr>
      <w:r w:rsidRPr="003E67AC">
        <w:t xml:space="preserve">Den </w:t>
      </w:r>
      <w:r w:rsidRPr="003E67AC" w:rsidR="007201DF">
        <w:t>dämpade</w:t>
      </w:r>
      <w:r w:rsidRPr="003E67AC">
        <w:t xml:space="preserve"> ekonomiska utvecklingen syns tydligt på arbetsmarknaden. Arbetslös</w:t>
      </w:r>
      <w:r w:rsidR="00276B17">
        <w:softHyphen/>
      </w:r>
      <w:r w:rsidRPr="003E67AC">
        <w:t>heten har ökat med ca 1,7 procentenheter sedan början av 2023 och är nu uppe på nivåer som under finanskrisen 2008–</w:t>
      </w:r>
      <w:r w:rsidRPr="003E67AC" w:rsidR="006921D3">
        <w:t>20</w:t>
      </w:r>
      <w:r w:rsidRPr="003E67AC">
        <w:t>09 och pandemiåren 2020–2021</w:t>
      </w:r>
      <w:r w:rsidR="0051226C">
        <w:t>,</w:t>
      </w:r>
      <w:r w:rsidRPr="003E67AC">
        <w:t xml:space="preserve"> vilket motsvarar 113</w:t>
      </w:r>
      <w:r w:rsidRPr="003E67AC" w:rsidR="00A57A23">
        <w:t> </w:t>
      </w:r>
      <w:r w:rsidRPr="003E67AC">
        <w:t>000 fler arbetslösa.</w:t>
      </w:r>
    </w:p>
    <w:p w:rsidRPr="003E67AC" w:rsidR="00091B70" w:rsidP="0022557B" w:rsidRDefault="009A6D73" w14:paraId="70AA8F75" w14:textId="52C0D197">
      <w:pPr>
        <w:pStyle w:val="Tabellrubrik"/>
        <w:spacing w:before="300"/>
      </w:pPr>
      <w:r w:rsidRPr="003E67AC">
        <w:t xml:space="preserve">Figur </w:t>
      </w:r>
      <w:r w:rsidRPr="003E67AC" w:rsidR="004F1979">
        <w:t>5</w:t>
      </w:r>
      <w:r w:rsidRPr="003E67AC">
        <w:t xml:space="preserve"> Arbetslöshet, 15–74 år, 2006–2025 (feb</w:t>
      </w:r>
      <w:r w:rsidR="001925FB">
        <w:t>.</w:t>
      </w:r>
      <w:r w:rsidRPr="003E67AC">
        <w:t>)</w:t>
      </w:r>
    </w:p>
    <w:p w:rsidRPr="003E67AC" w:rsidR="009A6D73" w:rsidP="009A6D73" w:rsidRDefault="009A6D73" w14:paraId="2CE3A835" w14:textId="1BBA63CA">
      <w:pPr>
        <w:pStyle w:val="Tabellunderrubrik"/>
      </w:pPr>
      <w:r w:rsidRPr="003E67AC">
        <w:t>Procent av arbetskraften, säsongsrensade månadsdata, trendvärden</w:t>
      </w:r>
    </w:p>
    <w:p w:rsidRPr="003E67AC" w:rsidR="009A6D73" w:rsidP="009A6D73" w:rsidRDefault="009A6D73" w14:paraId="5892F8D0" w14:textId="07871986">
      <w:pPr>
        <w:pStyle w:val="Tabellunderrubrik"/>
      </w:pPr>
      <w:r w:rsidRPr="003E67AC">
        <w:rPr>
          <w:noProof/>
          <w14:numSpacing w14:val="default"/>
        </w:rPr>
        <w:drawing>
          <wp:inline distT="0" distB="0" distL="0" distR="0" wp14:anchorId="133A7B95" wp14:editId="09B6575D">
            <wp:extent cx="5400000" cy="3240000"/>
            <wp:effectExtent l="0" t="0" r="10795" b="17780"/>
            <wp:docPr id="10" name="Diagram 10" descr="">
              <a:extLst xmlns:a="http://schemas.openxmlformats.org/drawingml/2006/main">
                <a:ext uri="{FF2B5EF4-FFF2-40B4-BE49-F238E27FC236}">
                  <a16:creationId xmlns:a16="http://schemas.microsoft.com/office/drawing/2014/main" id="{115DE557-0273-419F-906F-E0DDFEF24BE0}"/>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Pr="003E67AC" w:rsidR="009A6D73" w:rsidP="0022557B" w:rsidRDefault="009A6D73" w14:paraId="64EACF97" w14:textId="57399461">
      <w:pPr>
        <w:pStyle w:val="Klla"/>
        <w:spacing w:before="40"/>
      </w:pPr>
      <w:r w:rsidRPr="003E67AC">
        <w:t>Källa: SCB (AKU)</w:t>
      </w:r>
      <w:r w:rsidR="00EE5AE9">
        <w:t>.</w:t>
      </w:r>
    </w:p>
    <w:p w:rsidRPr="003E67AC" w:rsidR="00F33FDD" w:rsidP="00EC7099" w:rsidRDefault="00F33FDD" w14:paraId="419C69D2" w14:textId="5416BC2D">
      <w:pPr>
        <w:pStyle w:val="Normalutanindragellerluft"/>
        <w:spacing w:before="150"/>
        <w:rPr>
          <w:szCs w:val="22"/>
        </w:rPr>
      </w:pPr>
      <w:r w:rsidRPr="00EC7099">
        <w:lastRenderedPageBreak/>
        <w:t>Arbetslösheten</w:t>
      </w:r>
      <w:r w:rsidRPr="003E67AC">
        <w:rPr>
          <w:szCs w:val="22"/>
        </w:rPr>
        <w:t xml:space="preserve"> har ökat brett i alla grupper, både bland traditionellt starka grupper och bland dem med en svagare förankring på arbetsmarknaden. Bland yrkesgrupper har arbetslösheten ökat mest bland ”bygg och anläggning”, men även yrkesgrupperna ”data/</w:t>
      </w:r>
      <w:r w:rsidR="008D319B">
        <w:rPr>
          <w:szCs w:val="22"/>
        </w:rPr>
        <w:t>it</w:t>
      </w:r>
      <w:r w:rsidRPr="003E67AC">
        <w:rPr>
          <w:szCs w:val="22"/>
        </w:rPr>
        <w:t xml:space="preserve">”, ”administration, ekonomi och juridik”, ”försäljning, inköp, marknadsföring” samt ”transport” har fått se en betydande ökning av arbetslösheten. Ungdomsarbetslösheten (16–24 år) ligger nu på ca 24 procent. </w:t>
      </w:r>
    </w:p>
    <w:p w:rsidRPr="003E67AC" w:rsidR="00F33FDD" w:rsidP="00F33FDD" w:rsidRDefault="00F33FDD" w14:paraId="638574D4" w14:textId="6C2B79D3">
      <w:r w:rsidRPr="003E67AC">
        <w:t>Den svenska arbetslösheten är numera näst högst inom hela EU</w:t>
      </w:r>
      <w:r w:rsidR="008D319B">
        <w:t>;</w:t>
      </w:r>
      <w:r w:rsidRPr="003E67AC">
        <w:t xml:space="preserve"> bara Spanien har en högre arbetslöshet. Den höga arbetslösheten är ett politiskt misslyckande. Sedan regeringen tillträdde har arbetslösheten kontinuerligt trendat uppåt samtidigt som arbetslösheten inom EU sjunkit något (se figur </w:t>
      </w:r>
      <w:r w:rsidRPr="003E67AC" w:rsidR="0014397F">
        <w:t>6</w:t>
      </w:r>
      <w:r w:rsidRPr="003E67AC">
        <w:t xml:space="preserve"> nedan). </w:t>
      </w:r>
    </w:p>
    <w:p w:rsidRPr="003E67AC" w:rsidR="00F33FDD" w:rsidP="0022557B" w:rsidRDefault="00F33FDD" w14:paraId="5937A839" w14:textId="0012FB59">
      <w:pPr>
        <w:pStyle w:val="Tabellrubrik"/>
        <w:spacing w:before="300"/>
      </w:pPr>
      <w:r w:rsidRPr="003E67AC">
        <w:t xml:space="preserve">Figur </w:t>
      </w:r>
      <w:r w:rsidRPr="003E67AC" w:rsidR="004F1979">
        <w:t>6</w:t>
      </w:r>
      <w:r w:rsidRPr="003E67AC">
        <w:t xml:space="preserve"> Arbetslöshet, Sverige och EU-27, 15–74 år</w:t>
      </w:r>
    </w:p>
    <w:p w:rsidRPr="003E67AC" w:rsidR="00ED1F15" w:rsidP="00F33FDD" w:rsidRDefault="00F33FDD" w14:paraId="09938E67" w14:textId="17FFE624">
      <w:pPr>
        <w:pStyle w:val="Tabellunderrubrik"/>
      </w:pPr>
      <w:r w:rsidRPr="003E67AC">
        <w:t>Procent av arbetskraften, säsongsrensade månadsdata</w:t>
      </w:r>
    </w:p>
    <w:p w:rsidRPr="003E67AC" w:rsidR="00F33FDD" w:rsidP="00F33FDD" w:rsidRDefault="00F33FDD" w14:paraId="4F2CA042" w14:textId="112217E0">
      <w:pPr>
        <w:pStyle w:val="Tabellunderrubrik"/>
        <w:rPr>
          <w:lang w:eastAsia="sv-SE"/>
        </w:rPr>
      </w:pPr>
      <w:r w:rsidRPr="003E67AC">
        <w:rPr>
          <w:noProof/>
          <w14:numSpacing w14:val="default"/>
        </w:rPr>
        <w:drawing>
          <wp:inline distT="0" distB="0" distL="0" distR="0" wp14:anchorId="7C017EA5" wp14:editId="0DC33461">
            <wp:extent cx="5400000" cy="3240000"/>
            <wp:effectExtent l="0" t="0" r="10795" b="17780"/>
            <wp:docPr id="13" name="Diagram 13" descr="">
              <a:extLst xmlns:a="http://schemas.openxmlformats.org/drawingml/2006/main">
                <a:ext uri="{FF2B5EF4-FFF2-40B4-BE49-F238E27FC236}">
                  <a16:creationId xmlns:a16="http://schemas.microsoft.com/office/drawing/2014/main" id="{597FD7C3-FAB0-41FD-BE89-2A737DC55EA3}"/>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Pr="003E67AC" w:rsidR="00F33FDD" w:rsidP="0022557B" w:rsidRDefault="00F33FDD" w14:paraId="63FAA937" w14:textId="3FD64349">
      <w:pPr>
        <w:pStyle w:val="Klla"/>
        <w:spacing w:before="40"/>
      </w:pPr>
      <w:r w:rsidRPr="003E67AC">
        <w:t>Källa: Eurostat</w:t>
      </w:r>
      <w:r w:rsidR="00E8704B">
        <w:t>.</w:t>
      </w:r>
    </w:p>
    <w:p w:rsidRPr="003E67AC" w:rsidR="00F33FDD" w:rsidP="006C5821" w:rsidRDefault="00F33FDD" w14:paraId="4BE38260" w14:textId="7DC77DC9">
      <w:pPr>
        <w:pStyle w:val="Rubrik2numrerat"/>
      </w:pPr>
      <w:bookmarkStart w:name="_Toc197351625" w:id="10"/>
      <w:r w:rsidRPr="003E67AC">
        <w:t>Inflationens återkomst</w:t>
      </w:r>
      <w:r w:rsidRPr="003E67AC" w:rsidR="00223767">
        <w:t>?</w:t>
      </w:r>
      <w:bookmarkEnd w:id="10"/>
    </w:p>
    <w:p w:rsidRPr="003E67AC" w:rsidR="00F33FDD" w:rsidP="00F33FDD" w:rsidRDefault="00223767" w14:paraId="12717F7A" w14:textId="50DF91AC">
      <w:pPr>
        <w:pStyle w:val="Normalutanindragellerluft"/>
        <w:rPr>
          <w:lang w:eastAsia="sv-SE"/>
        </w:rPr>
      </w:pPr>
      <w:r w:rsidRPr="003E67AC">
        <w:rPr>
          <w:lang w:eastAsia="sv-SE"/>
        </w:rPr>
        <w:t>Under de senaste månaderna har inflationen återigen ökat.</w:t>
      </w:r>
      <w:r w:rsidRPr="003E67AC" w:rsidR="00E54AAD">
        <w:rPr>
          <w:lang w:eastAsia="sv-SE"/>
        </w:rPr>
        <w:t xml:space="preserve"> Det är framför allt </w:t>
      </w:r>
      <w:r w:rsidRPr="003E67AC">
        <w:rPr>
          <w:lang w:eastAsia="sv-SE"/>
        </w:rPr>
        <w:t xml:space="preserve">stigande priser på livsmedel </w:t>
      </w:r>
      <w:r w:rsidRPr="003E67AC" w:rsidR="00E54AAD">
        <w:rPr>
          <w:lang w:eastAsia="sv-SE"/>
        </w:rPr>
        <w:t xml:space="preserve">som bidragit </w:t>
      </w:r>
      <w:r w:rsidRPr="003E67AC">
        <w:rPr>
          <w:lang w:eastAsia="sv-SE"/>
        </w:rPr>
        <w:t>till den ökade inflationstakten.</w:t>
      </w:r>
      <w:r w:rsidRPr="003E67AC" w:rsidR="00E54AAD">
        <w:rPr>
          <w:lang w:eastAsia="sv-SE"/>
        </w:rPr>
        <w:t xml:space="preserve"> I mars var priserna på livsmedel 5,4 procent högre än i mars föregående år. Däremot visar elpriserna och priserna på drivmedel en nedåtgående trend.</w:t>
      </w:r>
    </w:p>
    <w:p w:rsidRPr="003E67AC" w:rsidR="00223767" w:rsidP="0022557B" w:rsidRDefault="00223767" w14:paraId="2C0B8D87" w14:textId="2519924F">
      <w:pPr>
        <w:pStyle w:val="Tabellrubrik"/>
        <w:spacing w:before="300"/>
        <w:rPr>
          <w:lang w:eastAsia="sv-SE"/>
        </w:rPr>
      </w:pPr>
      <w:r w:rsidRPr="003E67AC">
        <w:rPr>
          <w:lang w:eastAsia="sv-SE"/>
        </w:rPr>
        <w:lastRenderedPageBreak/>
        <w:t xml:space="preserve">Figur </w:t>
      </w:r>
      <w:r w:rsidRPr="003E67AC" w:rsidR="004F1979">
        <w:rPr>
          <w:lang w:eastAsia="sv-SE"/>
        </w:rPr>
        <w:t>7</w:t>
      </w:r>
      <w:r w:rsidRPr="003E67AC">
        <w:rPr>
          <w:lang w:eastAsia="sv-SE"/>
        </w:rPr>
        <w:t xml:space="preserve"> </w:t>
      </w:r>
      <w:r w:rsidRPr="003E67AC">
        <w:t>Inflationen</w:t>
      </w:r>
      <w:r w:rsidRPr="003E67AC">
        <w:rPr>
          <w:lang w:eastAsia="sv-SE"/>
        </w:rPr>
        <w:t xml:space="preserve"> i Sverige, KPIF och KPIF exkl. energi</w:t>
      </w:r>
    </w:p>
    <w:p w:rsidRPr="003E67AC" w:rsidR="00223767" w:rsidP="00223767" w:rsidRDefault="00223767" w14:paraId="53352D1C" w14:textId="675D4265">
      <w:pPr>
        <w:pStyle w:val="Tabellunderrubrik"/>
        <w:rPr>
          <w:lang w:eastAsia="sv-SE"/>
        </w:rPr>
      </w:pPr>
      <w:r w:rsidRPr="003E67AC">
        <w:rPr>
          <w:lang w:eastAsia="sv-SE"/>
        </w:rPr>
        <w:t>Procentuell förändring, månadsdata, årstakter</w:t>
      </w:r>
    </w:p>
    <w:p w:rsidRPr="003E67AC" w:rsidR="00F0134A" w:rsidP="00223767" w:rsidRDefault="00F0134A" w14:paraId="7F2D14BA" w14:textId="11B90D0D">
      <w:pPr>
        <w:pStyle w:val="Tabellunderrubrik"/>
        <w:rPr>
          <w:lang w:eastAsia="sv-SE"/>
        </w:rPr>
      </w:pPr>
      <w:r w:rsidRPr="003E67AC">
        <w:rPr>
          <w:noProof/>
          <w14:numSpacing w14:val="default"/>
        </w:rPr>
        <w:drawing>
          <wp:inline distT="0" distB="0" distL="0" distR="0" wp14:anchorId="03366965" wp14:editId="38014E1E">
            <wp:extent cx="5400000" cy="3240000"/>
            <wp:effectExtent l="0" t="0" r="10795" b="17780"/>
            <wp:docPr id="15" name="Diagram 15" descr="">
              <a:extLst xmlns:a="http://schemas.openxmlformats.org/drawingml/2006/main">
                <a:ext uri="{FF2B5EF4-FFF2-40B4-BE49-F238E27FC236}">
                  <a16:creationId xmlns:a16="http://schemas.microsoft.com/office/drawing/2014/main" id="{6F76903D-4B57-4B6D-A5AB-60F6EB7EE8BD}"/>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Pr="003E67AC" w:rsidR="00223767" w:rsidP="0022557B" w:rsidRDefault="00223767" w14:paraId="6FB48157" w14:textId="4BC3AC96">
      <w:pPr>
        <w:pStyle w:val="Klla"/>
        <w:spacing w:before="40"/>
      </w:pPr>
      <w:r w:rsidRPr="003E67AC">
        <w:t>Källa: SCB</w:t>
      </w:r>
      <w:r w:rsidR="00116AF0">
        <w:t>.</w:t>
      </w:r>
    </w:p>
    <w:p w:rsidRPr="003E67AC" w:rsidR="00223767" w:rsidP="00EC7099" w:rsidRDefault="00223767" w14:paraId="5B940B5F" w14:textId="392D2163">
      <w:pPr>
        <w:pStyle w:val="Normalutanindragellerluft"/>
        <w:spacing w:before="150"/>
        <w:rPr>
          <w:lang w:eastAsia="sv-SE"/>
        </w:rPr>
      </w:pPr>
      <w:r w:rsidRPr="003E67AC">
        <w:t>Inflationsuppgången</w:t>
      </w:r>
      <w:r w:rsidRPr="003E67AC">
        <w:rPr>
          <w:lang w:eastAsia="sv-SE"/>
        </w:rPr>
        <w:t xml:space="preserve"> under 2022 och 2023 var framför allt utbuds- och vinstdriven. Företagen utnyttjade inflationsimpulserna efter pandemin och Rysslands anfallskrig mot Ukraina till breda prishöjningar på varor och tjänster. Detta har resulterat i kraftigt stigande vinstandelar i näringslivet, se figur </w:t>
      </w:r>
      <w:r w:rsidRPr="003E67AC" w:rsidR="00CA7E22">
        <w:rPr>
          <w:lang w:eastAsia="sv-SE"/>
        </w:rPr>
        <w:t>8</w:t>
      </w:r>
      <w:r w:rsidRPr="003E67AC">
        <w:rPr>
          <w:lang w:eastAsia="sv-SE"/>
        </w:rPr>
        <w:t>.</w:t>
      </w:r>
    </w:p>
    <w:p w:rsidRPr="003E67AC" w:rsidR="00223767" w:rsidP="0022557B" w:rsidRDefault="00223767" w14:paraId="297AE487" w14:textId="7F69377E">
      <w:pPr>
        <w:pStyle w:val="Tabellrubrik"/>
        <w:spacing w:before="300"/>
      </w:pPr>
      <w:r w:rsidRPr="003E67AC">
        <w:t xml:space="preserve">Figur </w:t>
      </w:r>
      <w:r w:rsidRPr="003E67AC" w:rsidR="004F1979">
        <w:t>8</w:t>
      </w:r>
      <w:r w:rsidRPr="003E67AC">
        <w:t xml:space="preserve"> Vinstandel i näringslivet, 200</w:t>
      </w:r>
      <w:r w:rsidR="00116AF0">
        <w:t>0</w:t>
      </w:r>
      <w:r w:rsidRPr="003E67AC">
        <w:t>–2024</w:t>
      </w:r>
    </w:p>
    <w:p w:rsidRPr="003E67AC" w:rsidR="009D1426" w:rsidP="009D1426" w:rsidRDefault="009D1426" w14:paraId="2A324B48" w14:textId="77777777">
      <w:pPr>
        <w:pStyle w:val="Tabellunderrubrik"/>
      </w:pPr>
      <w:r w:rsidRPr="003E67AC">
        <w:t>Procent</w:t>
      </w:r>
    </w:p>
    <w:p w:rsidRPr="003E67AC" w:rsidR="009D1426" w:rsidP="009D1426" w:rsidRDefault="00A318A3" w14:paraId="0DC70C9C" w14:textId="77777777">
      <w:pPr>
        <w:pStyle w:val="Tabellunderrubrik"/>
      </w:pPr>
      <w:r w:rsidRPr="003E67AC">
        <w:rPr>
          <w:noProof/>
        </w:rPr>
        <w:drawing>
          <wp:inline distT="0" distB="0" distL="0" distR="0" wp14:anchorId="6261522D" wp14:editId="0FDD4D57">
            <wp:extent cx="5400000" cy="3517920"/>
            <wp:effectExtent l="0" t="0" r="10795" b="6350"/>
            <wp:docPr id="4" name="Diagram 4" descr="">
              <a:extLst xmlns:a="http://schemas.openxmlformats.org/drawingml/2006/main">
                <a:ext uri="{FF2B5EF4-FFF2-40B4-BE49-F238E27FC236}">
                  <a16:creationId xmlns:a16="http://schemas.microsoft.com/office/drawing/2014/main" id="{2641D43B-360F-466C-9C56-4290C959B2AA}"/>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Pr="003E67AC" w:rsidR="00223767" w:rsidP="0022557B" w:rsidRDefault="00A318A3" w14:paraId="6D40591C" w14:textId="2FACA873">
      <w:pPr>
        <w:pStyle w:val="Klla"/>
        <w:spacing w:before="40"/>
      </w:pPr>
      <w:r w:rsidRPr="003E67AC">
        <w:t>Källa: Konjunkturinstitutet.</w:t>
      </w:r>
    </w:p>
    <w:p w:rsidRPr="003E67AC" w:rsidR="00223767" w:rsidP="00EC7099" w:rsidRDefault="00223767" w14:paraId="6C5326F1" w14:textId="05D45A55">
      <w:pPr>
        <w:pStyle w:val="Normalutanindragellerluft"/>
        <w:spacing w:before="150"/>
        <w:rPr>
          <w:lang w:eastAsia="sv-SE"/>
        </w:rPr>
      </w:pPr>
      <w:r w:rsidRPr="003E67AC">
        <w:rPr>
          <w:lang w:eastAsia="sv-SE"/>
        </w:rPr>
        <w:t xml:space="preserve">Det ligger nära till hands att tro att den höga vinstandelen har sin grund i bristande konkurrens inom en rad olika branscher i det svenska näringslivet. De svenska </w:t>
      </w:r>
      <w:r w:rsidRPr="003E67AC">
        <w:rPr>
          <w:lang w:eastAsia="sv-SE"/>
        </w:rPr>
        <w:lastRenderedPageBreak/>
        <w:t>livs</w:t>
      </w:r>
      <w:r w:rsidR="00276B17">
        <w:rPr>
          <w:lang w:eastAsia="sv-SE"/>
        </w:rPr>
        <w:softHyphen/>
      </w:r>
      <w:r w:rsidRPr="003E67AC">
        <w:rPr>
          <w:lang w:eastAsia="sv-SE"/>
        </w:rPr>
        <w:t>medelspriserna har t.ex. stigit mer än livsmedelspriserna i våra grannländer. En viktig förklaring till detta torde vara att dagligvaruhandeln kännetecknas av en mycket hög grad av marknadskoncentration, där de tre stora aktörerna I</w:t>
      </w:r>
      <w:r w:rsidR="00A61394">
        <w:rPr>
          <w:lang w:eastAsia="sv-SE"/>
        </w:rPr>
        <w:t>ca</w:t>
      </w:r>
      <w:r w:rsidRPr="003E67AC">
        <w:rPr>
          <w:lang w:eastAsia="sv-SE"/>
        </w:rPr>
        <w:t>, Axfood och Coop har en sammanlagd marknadsandel på 86 procent, vilket gör att de har lätt att pressa upp priserna. Den europeiska elmarknaden är också synnerligen dysfunktionell, med en marginalprissättning som driver upp elkostnaderna för svenska hushåll. Den svenska bankmarknaden domineras av de fyra storbankerna (inkluderat Nordea). Bristen på konkurrens visar sig bl.a. i att bankernas inlåningsmarginaler exploderat.</w:t>
      </w:r>
    </w:p>
    <w:p w:rsidRPr="006C5821" w:rsidR="000C032A" w:rsidP="006C5821" w:rsidRDefault="000C032A" w14:paraId="0A1CD5CF" w14:textId="77777777">
      <w:pPr>
        <w:pStyle w:val="Rubrik1numrerat"/>
      </w:pPr>
      <w:bookmarkStart w:name="_Toc197351626" w:id="11"/>
      <w:r w:rsidRPr="006C5821">
        <w:t>Försvaret och kärnkraften – två beslut med långtgående finanspolitiska effekter</w:t>
      </w:r>
      <w:bookmarkEnd w:id="11"/>
    </w:p>
    <w:p w:rsidRPr="003E67AC" w:rsidR="00720E38" w:rsidP="00FA5E76" w:rsidRDefault="00D653B7" w14:paraId="29549AE6" w14:textId="48C769E4">
      <w:pPr>
        <w:pStyle w:val="Rubrik2numrerat"/>
        <w:spacing w:before="440"/>
      </w:pPr>
      <w:bookmarkStart w:name="_Toc197351627" w:id="12"/>
      <w:r w:rsidRPr="003E67AC">
        <w:t>F</w:t>
      </w:r>
      <w:r w:rsidRPr="003E67AC" w:rsidR="00AF434E">
        <w:t>örsvarsfinansieringen</w:t>
      </w:r>
      <w:bookmarkEnd w:id="12"/>
    </w:p>
    <w:p w:rsidRPr="003E67AC" w:rsidR="00720E38" w:rsidP="00720E38" w:rsidRDefault="00720E38" w14:paraId="2DC73B74" w14:textId="60F6D4A2">
      <w:pPr>
        <w:pStyle w:val="Normalutanindragellerluft"/>
      </w:pPr>
      <w:bookmarkStart w:name="_Hlk196218434" w:id="13"/>
      <w:r w:rsidRPr="003E67AC">
        <w:t xml:space="preserve">De militära försvarsutgifterna kommer att öka betydligt framöver. För Vänsterpartiet är det självklart att det inte får ske på bekostnad av vår gemensamma välfärd eller nödvändiga investeringar i infrastruktur, elförsörjning eller andra samhällsnödvändiga verksamheter. </w:t>
      </w:r>
    </w:p>
    <w:p w:rsidRPr="003E67AC" w:rsidR="00720E38" w:rsidP="00720E38" w:rsidRDefault="00720E38" w14:paraId="4F409912" w14:textId="73B7D134">
      <w:pPr>
        <w:tabs>
          <w:tab w:val="clear" w:pos="284"/>
        </w:tabs>
      </w:pPr>
      <w:r w:rsidRPr="003E67AC">
        <w:t xml:space="preserve">Det budgetpolitiska utrymmet bestäms av det finanspolitiska ramverket. </w:t>
      </w:r>
      <w:r w:rsidRPr="003E67AC" w:rsidR="000D7351">
        <w:rPr>
          <w:lang w:eastAsia="sv-SE"/>
        </w:rPr>
        <w:t>I höstas kom</w:t>
      </w:r>
      <w:r w:rsidRPr="003E67AC" w:rsidR="000D7351">
        <w:t xml:space="preserve"> den </w:t>
      </w:r>
      <w:r w:rsidRPr="003E67AC" w:rsidR="000D7351">
        <w:rPr>
          <w:lang w:eastAsia="sv-SE"/>
        </w:rPr>
        <w:t xml:space="preserve">kommitté som utrett nivån på </w:t>
      </w:r>
      <w:r w:rsidRPr="003E67AC" w:rsidR="000D7351">
        <w:t xml:space="preserve">den offentliga sektorns </w:t>
      </w:r>
      <w:r w:rsidRPr="003E67AC" w:rsidR="000D7351">
        <w:rPr>
          <w:lang w:eastAsia="sv-SE"/>
        </w:rPr>
        <w:t xml:space="preserve">saldomål med </w:t>
      </w:r>
      <w:r w:rsidRPr="003E67AC" w:rsidR="000D7351">
        <w:t xml:space="preserve">sitt </w:t>
      </w:r>
      <w:r w:rsidRPr="003E67AC" w:rsidR="000D7351">
        <w:rPr>
          <w:lang w:eastAsia="sv-SE"/>
        </w:rPr>
        <w:t xml:space="preserve">betänkande </w:t>
      </w:r>
      <w:r w:rsidRPr="003E67AC" w:rsidR="000D7351">
        <w:rPr>
          <w:i/>
          <w:iCs/>
          <w:lang w:eastAsia="sv-SE"/>
        </w:rPr>
        <w:t>Från överskottsmål till balansmål</w:t>
      </w:r>
      <w:r w:rsidRPr="003E67AC" w:rsidR="000D7351">
        <w:rPr>
          <w:lang w:eastAsia="sv-SE"/>
        </w:rPr>
        <w:t xml:space="preserve"> (SOU 2024:76).</w:t>
      </w:r>
      <w:r w:rsidRPr="003E67AC">
        <w:t xml:space="preserve"> I betänkandet föreslår kommittén a</w:t>
      </w:r>
      <w:r w:rsidRPr="003E67AC" w:rsidR="006E048D">
        <w:t>tt</w:t>
      </w:r>
      <w:r w:rsidRPr="003E67AC">
        <w:t xml:space="preserve"> överskottsmålet ersätts med ett balansmål. Vänsterpartiet drev i kommittén att över</w:t>
      </w:r>
      <w:r w:rsidR="00276B17">
        <w:softHyphen/>
      </w:r>
      <w:r w:rsidRPr="003E67AC">
        <w:t xml:space="preserve">skottsmålet borde ersättas med ett investeringsmål på </w:t>
      </w:r>
      <w:r w:rsidR="009B2D9B">
        <w:t>–</w:t>
      </w:r>
      <w:r w:rsidRPr="003E67AC">
        <w:t>1</w:t>
      </w:r>
      <w:r w:rsidR="009B2D9B">
        <w:t> </w:t>
      </w:r>
      <w:r w:rsidRPr="003E67AC">
        <w:t xml:space="preserve">procent av BNP över en konjunkturcykel. Vårt argument för detta var </w:t>
      </w:r>
      <w:r w:rsidRPr="003E67AC" w:rsidR="000D5A8B">
        <w:t>just de stora</w:t>
      </w:r>
      <w:r w:rsidRPr="003E67AC">
        <w:t xml:space="preserve"> investeringsbehov Sverige står inför</w:t>
      </w:r>
      <w:r w:rsidRPr="003E67AC" w:rsidR="000D5A8B">
        <w:t xml:space="preserve">, inte minst </w:t>
      </w:r>
      <w:r w:rsidRPr="003E67AC">
        <w:t xml:space="preserve">för att genomföra den gröna omställningen. Och </w:t>
      </w:r>
      <w:r w:rsidRPr="003E67AC" w:rsidR="000D5A8B">
        <w:t>att</w:t>
      </w:r>
      <w:r w:rsidRPr="003E67AC">
        <w:t xml:space="preserve"> vi behöver </w:t>
      </w:r>
      <w:r w:rsidRPr="003E67AC" w:rsidR="000D5A8B">
        <w:t>möta behoven</w:t>
      </w:r>
      <w:r w:rsidRPr="003E67AC">
        <w:t xml:space="preserve"> utan att välfärden får betala priset.</w:t>
      </w:r>
    </w:p>
    <w:p w:rsidRPr="003E67AC" w:rsidR="000D5A8B" w:rsidP="00720E38" w:rsidRDefault="00720E38" w14:paraId="669B4F57" w14:textId="6DE1A4AF">
      <w:pPr>
        <w:tabs>
          <w:tab w:val="clear" w:pos="284"/>
        </w:tabs>
      </w:pPr>
      <w:r w:rsidRPr="003E67AC">
        <w:t>Till detta kommer att vi snabbt behöver stärka vår försvarsförmåga. Det innebär stora satsningar på militärt försvar och en organisation med goda villkor</w:t>
      </w:r>
      <w:r w:rsidRPr="003E67AC" w:rsidR="000D5A8B">
        <w:t xml:space="preserve"> och löner</w:t>
      </w:r>
      <w:r w:rsidRPr="003E67AC">
        <w:t xml:space="preserve"> för personalen men också ett bredare fokus på samhällets funktionalitet. Det handlar om att rusta infrastruktur, hälso- och sjukvård, energiförsörjning och andra delar av civil</w:t>
      </w:r>
      <w:r w:rsidR="00276B17">
        <w:softHyphen/>
      </w:r>
      <w:r w:rsidRPr="003E67AC">
        <w:t xml:space="preserve">samhället. </w:t>
      </w:r>
    </w:p>
    <w:p w:rsidRPr="003E67AC" w:rsidR="00720E38" w:rsidP="00720E38" w:rsidRDefault="00720E38" w14:paraId="525E3F14" w14:textId="0477C3E4">
      <w:pPr>
        <w:tabs>
          <w:tab w:val="clear" w:pos="284"/>
        </w:tabs>
      </w:pPr>
      <w:r w:rsidRPr="003E67AC">
        <w:t xml:space="preserve">För att Sverige snabbt ska kunna stärka sin försvarsförmåga behöver Sverige kunna låna till investeringar i totalförsvaret. Det gör att den finanspolitiska uppgörelsen om ett balansmål är fullständigt överspelad. EU-kommissionens ordförande Ursula von der </w:t>
      </w:r>
      <w:r w:rsidRPr="003E67AC">
        <w:lastRenderedPageBreak/>
        <w:t xml:space="preserve">Leyen har föreslagit att stabilitets- och tillväxtpaktens budgetregler luckras upp för att möjliggöra en snabb försvarsutbyggnad. </w:t>
      </w:r>
      <w:r w:rsidRPr="003E67AC" w:rsidR="00AA68BA">
        <w:t xml:space="preserve">Det handlar bl.a. om att tillåta större nationella budgetunderskott för försvarssatsningar. </w:t>
      </w:r>
      <w:r w:rsidR="00045B94">
        <w:t>v</w:t>
      </w:r>
      <w:r w:rsidRPr="003E67AC">
        <w:t>on der Leyen noterar att om EU-länderna skulle öka sina försvarsutgifter med 1,5 procent av BNP skulle detta skapa ett finans</w:t>
      </w:r>
      <w:r w:rsidR="00276B17">
        <w:softHyphen/>
      </w:r>
      <w:r w:rsidRPr="003E67AC">
        <w:t>politiskt utrymme på nära 650 miljarder euro under en fyraårsperiod.</w:t>
      </w:r>
      <w:r w:rsidRPr="003E67AC" w:rsidR="003239A5">
        <w:rPr>
          <w:rStyle w:val="Fotnotsreferens"/>
        </w:rPr>
        <w:footnoteReference w:id="2"/>
      </w:r>
      <w:r w:rsidRPr="003E67AC">
        <w:t xml:space="preserve"> Vänsterpartiet menar att även det svenska regelverket bör anpassas till det nya omvärldsläget. Därför är vårt förslag att slopa regeringens investeringsbroms</w:t>
      </w:r>
      <w:r w:rsidRPr="003E67AC" w:rsidR="00E24754">
        <w:t xml:space="preserve"> i det finanspolitiska ramverket</w:t>
      </w:r>
      <w:r w:rsidRPr="003E67AC">
        <w:t xml:space="preserve">. </w:t>
      </w:r>
    </w:p>
    <w:p w:rsidRPr="003E67AC" w:rsidR="00720E38" w:rsidP="00720E38" w:rsidRDefault="00553265" w14:paraId="04A6CA32" w14:textId="58FE4F6C">
      <w:pPr>
        <w:tabs>
          <w:tab w:val="clear" w:pos="284"/>
        </w:tabs>
      </w:pPr>
      <w:r w:rsidRPr="003E67AC">
        <w:t>På en pressträff den 26</w:t>
      </w:r>
      <w:r w:rsidRPr="003E67AC" w:rsidR="00A57A23">
        <w:t xml:space="preserve"> </w:t>
      </w:r>
      <w:r w:rsidRPr="003E67AC">
        <w:t xml:space="preserve">mars meddelade </w:t>
      </w:r>
      <w:r w:rsidR="00CC332F">
        <w:t>r</w:t>
      </w:r>
      <w:r w:rsidRPr="003E67AC">
        <w:t>egeringen och Sverigedemokraterna</w:t>
      </w:r>
      <w:r w:rsidRPr="003E67AC" w:rsidR="0024652F">
        <w:t xml:space="preserve"> att ytterligare höjningar av försvarsanslagen kan komma att lånefinansieras. De hänvisade till det kommande Natotoppmötet i sommar där medlemsländerna väntas enas om nya mål för försvarsutgifterna. Bedömningen är att det nya målet kan komma att </w:t>
      </w:r>
      <w:r w:rsidRPr="003E67AC" w:rsidR="00E24754">
        <w:t>ligga</w:t>
      </w:r>
      <w:r w:rsidRPr="003E67AC" w:rsidR="0024652F">
        <w:t xml:space="preserve"> mellan 3 och 4</w:t>
      </w:r>
      <w:r w:rsidR="00CB379B">
        <w:t> </w:t>
      </w:r>
      <w:r w:rsidRPr="003E67AC" w:rsidR="0024652F">
        <w:t>procent av BNP. Om Sveriges försvarsutgifter som andel av BNP skulle uppgå till 3,5 procent 2030 skulle det kunna handla</w:t>
      </w:r>
      <w:r w:rsidRPr="003E67AC" w:rsidR="00720E38">
        <w:t xml:space="preserve"> om en lånefinansierad försvars</w:t>
      </w:r>
      <w:r w:rsidR="00276B17">
        <w:softHyphen/>
      </w:r>
      <w:r w:rsidRPr="003E67AC" w:rsidR="00720E38">
        <w:t xml:space="preserve">satsning på </w:t>
      </w:r>
      <w:r w:rsidRPr="003E67AC" w:rsidR="0024652F">
        <w:t>sammantaget uppemot</w:t>
      </w:r>
      <w:r w:rsidRPr="003E67AC" w:rsidR="00720E38">
        <w:t xml:space="preserve"> 300 miljarder kronor</w:t>
      </w:r>
      <w:r w:rsidRPr="003E67AC" w:rsidR="0024652F">
        <w:t xml:space="preserve"> till 2034.</w:t>
      </w:r>
      <w:r w:rsidRPr="003E67AC" w:rsidR="00720E38">
        <w:t xml:space="preserve"> Finansierings</w:t>
      </w:r>
      <w:r w:rsidR="00276B17">
        <w:softHyphen/>
      </w:r>
      <w:r w:rsidRPr="003E67AC" w:rsidR="00720E38">
        <w:t>modellen innebär att den största delen av finansieringen initialt sker via lån fr</w:t>
      </w:r>
      <w:r w:rsidRPr="003E67AC" w:rsidR="00A57A23">
        <w:t>.o.m.</w:t>
      </w:r>
      <w:r w:rsidRPr="003E67AC" w:rsidR="00720E38">
        <w:t xml:space="preserve"> i år för att sedan succes</w:t>
      </w:r>
      <w:r w:rsidR="00CB379B">
        <w:t>s</w:t>
      </w:r>
      <w:r w:rsidRPr="003E67AC" w:rsidR="00720E38">
        <w:t>ivt övergå till balans från 2035.</w:t>
      </w:r>
      <w:r w:rsidRPr="003E67AC" w:rsidR="0024652F">
        <w:rPr>
          <w:rStyle w:val="Fotnotsreferens"/>
        </w:rPr>
        <w:footnoteReference w:id="3"/>
      </w:r>
      <w:r w:rsidRPr="003E67AC" w:rsidR="00720E38">
        <w:t xml:space="preserve"> </w:t>
      </w:r>
    </w:p>
    <w:p w:rsidRPr="003E67AC" w:rsidR="00D653B7" w:rsidP="0019582A" w:rsidRDefault="00720E38" w14:paraId="16AE8D83" w14:textId="090A9A0E">
      <w:pPr>
        <w:tabs>
          <w:tab w:val="clear" w:pos="284"/>
        </w:tabs>
      </w:pPr>
      <w:r w:rsidRPr="003E67AC">
        <w:t>Regeringens plötsliga omsvängning är</w:t>
      </w:r>
      <w:r w:rsidRPr="003E67AC" w:rsidR="00CF7B3D">
        <w:t xml:space="preserve"> </w:t>
      </w:r>
      <w:r w:rsidRPr="003E67AC" w:rsidR="00553265">
        <w:t xml:space="preserve">anmärkningsvärd. </w:t>
      </w:r>
      <w:r w:rsidRPr="003E67AC" w:rsidR="00D653B7">
        <w:t>Först håller man fast vid balansmålet när det finanspolitiska ramverket förhandlas</w:t>
      </w:r>
      <w:r w:rsidR="00CB379B">
        <w:t>,</w:t>
      </w:r>
      <w:r w:rsidRPr="003E67AC" w:rsidR="00D653B7">
        <w:t xml:space="preserve"> och sedan kastar man plötsligt överenskommelsen överbord. </w:t>
      </w:r>
      <w:r w:rsidRPr="003E67AC" w:rsidR="00CF7B3D">
        <w:t>Förankringen med de andra partierna har varit</w:t>
      </w:r>
      <w:r w:rsidRPr="003E67AC" w:rsidR="00D653B7">
        <w:t xml:space="preserve"> </w:t>
      </w:r>
      <w:r w:rsidRPr="003E67AC" w:rsidR="007B79FB">
        <w:t xml:space="preserve">nästintill </w:t>
      </w:r>
      <w:r w:rsidRPr="003E67AC" w:rsidR="00CF7B3D">
        <w:t>obefintlig. Respekten för det finanspolitiska ramverket urholkas. Så agerar inte en ansvarsfull regering.</w:t>
      </w:r>
    </w:p>
    <w:p w:rsidRPr="003E67AC" w:rsidR="00AF434E" w:rsidP="00916478" w:rsidRDefault="00CF7B3D" w14:paraId="31C90B20" w14:textId="3EC43BB7">
      <w:pPr>
        <w:tabs>
          <w:tab w:val="clear" w:pos="284"/>
        </w:tabs>
      </w:pPr>
      <w:r w:rsidRPr="003E67AC">
        <w:t xml:space="preserve">Att försvarsutgifterna kommer att öka framöver kommer knappast som en överraskning. </w:t>
      </w:r>
      <w:r w:rsidRPr="003E67AC" w:rsidR="0019582A">
        <w:t xml:space="preserve">Flera försvarsberedningar har konstaterat det </w:t>
      </w:r>
      <w:r w:rsidRPr="003E67AC">
        <w:t xml:space="preserve">förändrade </w:t>
      </w:r>
      <w:r w:rsidRPr="003E67AC" w:rsidR="0019582A">
        <w:t xml:space="preserve">och försämrade </w:t>
      </w:r>
      <w:r w:rsidRPr="003E67AC">
        <w:t>säkerhetspolitiska läget</w:t>
      </w:r>
      <w:r w:rsidRPr="003E67AC" w:rsidR="0019582A">
        <w:t>. Behovet av e</w:t>
      </w:r>
      <w:r w:rsidRPr="003E67AC">
        <w:t>tt stärkt totalförsvar har</w:t>
      </w:r>
      <w:r w:rsidRPr="003E67AC" w:rsidR="0019582A">
        <w:t xml:space="preserve"> varit känt sen länge. Vänsterpartiet varnade visserligen för att processen inför ett svenskt medlemskap i Nato 2022 var undermålig och alltför hastigt genomförd, men att medlemskapet medför ökade kostnader </w:t>
      </w:r>
      <w:r w:rsidRPr="003E67AC" w:rsidR="003B2C1B">
        <w:t>borde inte vara</w:t>
      </w:r>
      <w:r w:rsidRPr="003E67AC" w:rsidR="0019582A">
        <w:t xml:space="preserve"> överrask</w:t>
      </w:r>
      <w:r w:rsidRPr="003E67AC" w:rsidR="003B2C1B">
        <w:t>ande</w:t>
      </w:r>
      <w:r w:rsidRPr="003E67AC" w:rsidR="0019582A">
        <w:t xml:space="preserve"> för regeringen. Regeringens strategi har </w:t>
      </w:r>
      <w:r w:rsidRPr="003E67AC" w:rsidR="00806E0E">
        <w:t>i</w:t>
      </w:r>
      <w:r w:rsidRPr="003E67AC" w:rsidR="000F6FC9">
        <w:t> </w:t>
      </w:r>
      <w:r w:rsidRPr="003E67AC" w:rsidR="00806E0E">
        <w:t xml:space="preserve">stället </w:t>
      </w:r>
      <w:r w:rsidRPr="003E67AC" w:rsidR="0019582A">
        <w:t xml:space="preserve">varit att sänka skatterna med </w:t>
      </w:r>
      <w:r w:rsidRPr="003E67AC" w:rsidR="00AA0741">
        <w:t>mer än</w:t>
      </w:r>
      <w:r w:rsidRPr="003E67AC" w:rsidR="0019582A">
        <w:t xml:space="preserve"> 30 miljarder kronor per år</w:t>
      </w:r>
      <w:r w:rsidRPr="003E67AC" w:rsidR="00AA0741">
        <w:t>, motsvarande</w:t>
      </w:r>
      <w:r w:rsidRPr="003E67AC" w:rsidR="0019582A">
        <w:t xml:space="preserve"> den summa man nu vill låna för att finansiera de ökande försvarskostnaderna. </w:t>
      </w:r>
      <w:bookmarkStart w:name="_Hlk196218716" w:id="14"/>
    </w:p>
    <w:p w:rsidRPr="003E67AC" w:rsidR="00916478" w:rsidP="0022557B" w:rsidRDefault="00AF434E" w14:paraId="7C63D2F4" w14:textId="63908460">
      <w:pPr>
        <w:pStyle w:val="Tabellrubrik"/>
        <w:spacing w:before="300"/>
      </w:pPr>
      <w:r w:rsidRPr="003E67AC">
        <w:lastRenderedPageBreak/>
        <w:t xml:space="preserve">Figur </w:t>
      </w:r>
      <w:r w:rsidRPr="003E67AC" w:rsidR="004F1979">
        <w:t>9</w:t>
      </w:r>
      <w:r w:rsidRPr="003E67AC">
        <w:t xml:space="preserve"> </w:t>
      </w:r>
      <w:r w:rsidRPr="003E67AC" w:rsidR="00916478">
        <w:t>Försvarsutgifter 2022</w:t>
      </w:r>
      <w:r w:rsidRPr="003E67AC" w:rsidR="004F1979">
        <w:t>–</w:t>
      </w:r>
      <w:r w:rsidRPr="003E67AC" w:rsidR="00916478">
        <w:t>2030</w:t>
      </w:r>
    </w:p>
    <w:p w:rsidRPr="003E67AC" w:rsidR="00AF434E" w:rsidP="00AF434E" w:rsidRDefault="00AF434E" w14:paraId="41D7D780" w14:textId="61F1A9BA">
      <w:pPr>
        <w:ind w:firstLine="0"/>
        <w:rPr>
          <w:i/>
          <w:iCs/>
          <w:sz w:val="20"/>
          <w:szCs w:val="20"/>
        </w:rPr>
      </w:pPr>
      <w:r w:rsidRPr="003E67AC">
        <w:rPr>
          <w:i/>
          <w:iCs/>
          <w:sz w:val="20"/>
          <w:szCs w:val="20"/>
        </w:rPr>
        <w:t>Miljarder kronor och procent av BNP, försvarsutgifter enligt Natos sätt att räkna</w:t>
      </w:r>
    </w:p>
    <w:p w:rsidRPr="003E67AC" w:rsidR="004F6CDF" w:rsidP="004F6CDF" w:rsidRDefault="00916478" w14:paraId="7089DED6" w14:textId="732478DC">
      <w:pPr>
        <w:tabs>
          <w:tab w:val="clear" w:pos="284"/>
        </w:tabs>
        <w:ind w:firstLine="0"/>
      </w:pPr>
      <w:r w:rsidRPr="003E67AC">
        <w:rPr>
          <w:noProof/>
          <w14:numSpacing w14:val="default"/>
        </w:rPr>
        <w:drawing>
          <wp:inline distT="0" distB="0" distL="0" distR="0" wp14:anchorId="64C8B5D1" wp14:editId="7F04C210">
            <wp:extent cx="5400040" cy="3360420"/>
            <wp:effectExtent l="0" t="0" r="10160" b="11430"/>
            <wp:docPr id="14" name="Diagram 14" descr="">
              <a:extLst xmlns:a="http://schemas.openxmlformats.org/drawingml/2006/main">
                <a:ext uri="{FF2B5EF4-FFF2-40B4-BE49-F238E27FC236}">
                  <a16:creationId xmlns:a16="http://schemas.microsoft.com/office/drawing/2014/main" id="{0F3F4056-5808-4912-A94D-A035FE40825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Pr="003E67AC" w:rsidR="00AF434E" w:rsidP="0022557B" w:rsidRDefault="00AF434E" w14:paraId="476D9E9F" w14:textId="6D774559">
      <w:pPr>
        <w:pStyle w:val="Klla"/>
        <w:spacing w:before="40"/>
      </w:pPr>
      <w:r w:rsidRPr="003E67AC">
        <w:t>Källa: Regeringskansliet</w:t>
      </w:r>
      <w:r w:rsidR="007A3D07">
        <w:t>.</w:t>
      </w:r>
    </w:p>
    <w:p w:rsidRPr="003E67AC" w:rsidR="00AF434E" w:rsidP="0022557B" w:rsidRDefault="00AF434E" w14:paraId="5441885A" w14:textId="0EF680F0">
      <w:pPr>
        <w:pStyle w:val="Tabellrubrik"/>
        <w:spacing w:before="300"/>
        <w:rPr>
          <w:b w:val="0"/>
          <w:bCs/>
          <w:sz w:val="22"/>
          <w:szCs w:val="22"/>
        </w:rPr>
      </w:pPr>
      <w:r w:rsidRPr="003E67AC">
        <w:rPr>
          <w:bCs/>
          <w:sz w:val="22"/>
          <w:szCs w:val="22"/>
        </w:rPr>
        <w:t xml:space="preserve">Figur </w:t>
      </w:r>
      <w:r w:rsidRPr="003E67AC" w:rsidR="004F1979">
        <w:rPr>
          <w:bCs/>
          <w:sz w:val="22"/>
          <w:szCs w:val="22"/>
        </w:rPr>
        <w:t>10</w:t>
      </w:r>
      <w:r w:rsidRPr="003E67AC">
        <w:rPr>
          <w:bCs/>
          <w:sz w:val="22"/>
          <w:szCs w:val="22"/>
        </w:rPr>
        <w:t xml:space="preserve"> </w:t>
      </w:r>
      <w:r w:rsidRPr="0022557B">
        <w:t>Stora</w:t>
      </w:r>
      <w:r w:rsidRPr="003E67AC">
        <w:rPr>
          <w:bCs/>
          <w:sz w:val="22"/>
          <w:szCs w:val="22"/>
        </w:rPr>
        <w:t xml:space="preserve"> skattesänkningar av regeringen Kristersson</w:t>
      </w:r>
      <w:r w:rsidRPr="003E67AC" w:rsidR="00E8691E">
        <w:rPr>
          <w:bCs/>
          <w:sz w:val="22"/>
          <w:szCs w:val="22"/>
        </w:rPr>
        <w:t>, 2023</w:t>
      </w:r>
      <w:r w:rsidRPr="003E67AC" w:rsidR="00CC3AC7">
        <w:rPr>
          <w:bCs/>
          <w:sz w:val="22"/>
          <w:szCs w:val="22"/>
        </w:rPr>
        <w:t>–</w:t>
      </w:r>
      <w:r w:rsidRPr="003E67AC" w:rsidR="00E8691E">
        <w:rPr>
          <w:bCs/>
          <w:sz w:val="22"/>
          <w:szCs w:val="22"/>
        </w:rPr>
        <w:t>2025</w:t>
      </w:r>
    </w:p>
    <w:p w:rsidRPr="003E67AC" w:rsidR="00AF434E" w:rsidP="00AF434E" w:rsidRDefault="00AF434E" w14:paraId="7A90C9DB" w14:textId="4EAA4B1C">
      <w:pPr>
        <w:ind w:firstLine="0"/>
        <w:rPr>
          <w:i/>
          <w:iCs/>
          <w:sz w:val="20"/>
          <w:szCs w:val="20"/>
        </w:rPr>
      </w:pPr>
      <w:r w:rsidRPr="003E67AC">
        <w:rPr>
          <w:i/>
          <w:iCs/>
          <w:sz w:val="20"/>
          <w:szCs w:val="20"/>
        </w:rPr>
        <w:t>Miljarder kronor</w:t>
      </w:r>
    </w:p>
    <w:p w:rsidRPr="003E67AC" w:rsidR="00AF434E" w:rsidP="00AF434E" w:rsidRDefault="00E72A44" w14:paraId="21ACD7CC" w14:textId="012F41E2">
      <w:pPr>
        <w:tabs>
          <w:tab w:val="clear" w:pos="284"/>
        </w:tabs>
        <w:ind w:firstLine="0"/>
      </w:pPr>
      <w:r w:rsidRPr="003E67AC">
        <w:rPr>
          <w:noProof/>
          <w14:numSpacing w14:val="default"/>
        </w:rPr>
        <w:drawing>
          <wp:inline distT="0" distB="0" distL="0" distR="0" wp14:anchorId="0CFF1C4C" wp14:editId="7495EE19">
            <wp:extent cx="5400040" cy="2872740"/>
            <wp:effectExtent l="0" t="0" r="10160" b="3810"/>
            <wp:docPr id="18" name="Diagram 18" descr="">
              <a:extLst xmlns:a="http://schemas.openxmlformats.org/drawingml/2006/main">
                <a:ext uri="{FF2B5EF4-FFF2-40B4-BE49-F238E27FC236}">
                  <a16:creationId xmlns:a16="http://schemas.microsoft.com/office/drawing/2014/main" id="{3E1FA0E4-366F-4FA1-89CC-42897BC057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Pr="003E67AC" w:rsidR="00AF434E" w:rsidP="0022557B" w:rsidRDefault="00AF434E" w14:paraId="40EE9B97" w14:textId="13AC5062">
      <w:pPr>
        <w:pStyle w:val="Klla"/>
        <w:spacing w:before="40"/>
      </w:pPr>
      <w:r w:rsidRPr="003E67AC">
        <w:t>Källa: Regeringskansliet</w:t>
      </w:r>
      <w:r w:rsidRPr="003E67AC" w:rsidR="0026335E">
        <w:t>s budgetpropositioner</w:t>
      </w:r>
      <w:r w:rsidR="007A3D07">
        <w:t>.</w:t>
      </w:r>
    </w:p>
    <w:bookmarkEnd w:id="14"/>
    <w:p w:rsidRPr="003E67AC" w:rsidR="00720E38" w:rsidP="00EC7099" w:rsidRDefault="0019582A" w14:paraId="6AAFE63F" w14:textId="277BFDA5">
      <w:pPr>
        <w:pStyle w:val="Normalutanindragellerluft"/>
        <w:spacing w:before="150"/>
      </w:pPr>
      <w:r w:rsidRPr="003E67AC">
        <w:t xml:space="preserve">Vänsterpartiet vill lånefinansiera viktiga </w:t>
      </w:r>
      <w:r w:rsidRPr="003E67AC" w:rsidR="00D653B7">
        <w:t xml:space="preserve">och långsiktiga </w:t>
      </w:r>
      <w:r w:rsidRPr="003E67AC">
        <w:t>investeringar</w:t>
      </w:r>
      <w:r w:rsidRPr="003E67AC" w:rsidR="00AF434E">
        <w:t xml:space="preserve"> i totalförsvaret</w:t>
      </w:r>
      <w:r w:rsidRPr="003E67AC">
        <w:t>. Regeringen vill låna till löpande kostnader. Det är en avgörande skillnad.</w:t>
      </w:r>
      <w:r w:rsidRPr="003E67AC" w:rsidR="00D653B7">
        <w:t xml:space="preserve"> För att klara de löpande kostnader som ett nytt säkerhetspolitiskt läge </w:t>
      </w:r>
      <w:r w:rsidRPr="003E67AC" w:rsidR="00B52D71">
        <w:t xml:space="preserve">innebär </w:t>
      </w:r>
      <w:r w:rsidRPr="003E67AC" w:rsidR="00D653B7">
        <w:t xml:space="preserve">krävs ökade intäkter. Dessvärre har regeringen med kraft stängt dörren för att införa några nya skatter för att </w:t>
      </w:r>
      <w:r w:rsidRPr="003E67AC" w:rsidR="00D653B7">
        <w:lastRenderedPageBreak/>
        <w:t xml:space="preserve">finansiera försvaret. </w:t>
      </w:r>
      <w:r w:rsidRPr="003E67AC" w:rsidR="009B213D">
        <w:t>I</w:t>
      </w:r>
      <w:r w:rsidRPr="003E67AC" w:rsidR="00184FBC">
        <w:t> </w:t>
      </w:r>
      <w:r w:rsidRPr="003E67AC" w:rsidR="009B213D">
        <w:t xml:space="preserve">stället skjuter regeringen tillsammans med Sverigedemokraterna kostnaderna på framtiden. Det riskerar att leda till stora nedskärningar i välfärden </w:t>
      </w:r>
      <w:r w:rsidRPr="003E67AC" w:rsidR="00D62AD5">
        <w:t>in</w:t>
      </w:r>
      <w:r w:rsidRPr="003E67AC" w:rsidR="009B213D">
        <w:t>om tio år</w:t>
      </w:r>
      <w:r w:rsidR="007A3D07">
        <w:t>,</w:t>
      </w:r>
      <w:r w:rsidRPr="003E67AC" w:rsidR="009B213D">
        <w:t xml:space="preserve"> då finansieringen ska övergå till balans. </w:t>
      </w:r>
      <w:r w:rsidRPr="003E67AC" w:rsidR="00720E38">
        <w:t>Vänsterpartiet har föreslagit en försvars</w:t>
      </w:r>
      <w:r w:rsidR="00276B17">
        <w:softHyphen/>
      </w:r>
      <w:r w:rsidRPr="003E67AC" w:rsidR="00720E38">
        <w:t>skatt på kapital och de högsta inkomsterna. De som har mest behöver helt enkelt bidra mer.</w:t>
      </w:r>
    </w:p>
    <w:p w:rsidRPr="003E67AC" w:rsidR="00720E38" w:rsidP="00EC7099" w:rsidRDefault="00720E38" w14:paraId="7920E71C" w14:textId="03E39DEA">
      <w:r w:rsidRPr="003E67AC">
        <w:t xml:space="preserve">Vänsterpartiets </w:t>
      </w:r>
      <w:r w:rsidRPr="003E67AC" w:rsidR="004660F2">
        <w:t>krav</w:t>
      </w:r>
      <w:r w:rsidRPr="003E67AC">
        <w:t>:</w:t>
      </w:r>
    </w:p>
    <w:p w:rsidRPr="003E67AC" w:rsidR="00720E38" w:rsidP="00EC7099" w:rsidRDefault="00720E38" w14:paraId="7E4F1068" w14:textId="5F93864D">
      <w:pPr>
        <w:pStyle w:val="ListaPunkt"/>
        <w:ind w:left="284" w:hanging="284"/>
      </w:pPr>
      <w:r w:rsidRPr="003E67AC">
        <w:rPr>
          <w:lang w:eastAsia="sv-SE"/>
        </w:rPr>
        <w:t>Lånefinansiera till viktiga investeringar i totalförsvaret, inklusive infrastruktur såsom järnväg</w:t>
      </w:r>
      <w:r w:rsidRPr="003E67AC" w:rsidR="00F574C1">
        <w:rPr>
          <w:lang w:eastAsia="sv-SE"/>
        </w:rPr>
        <w:t xml:space="preserve"> och elnät</w:t>
      </w:r>
      <w:r w:rsidRPr="003E67AC">
        <w:rPr>
          <w:lang w:eastAsia="sv-SE"/>
        </w:rPr>
        <w:t>.</w:t>
      </w:r>
    </w:p>
    <w:p w:rsidRPr="003E67AC" w:rsidR="00720E38" w:rsidP="00EC7099" w:rsidRDefault="00720E38" w14:paraId="3A357412" w14:textId="39942BD0">
      <w:pPr>
        <w:pStyle w:val="ListaPunkt"/>
        <w:ind w:left="284" w:hanging="284"/>
      </w:pPr>
      <w:r w:rsidRPr="003E67AC">
        <w:rPr>
          <w:lang w:eastAsia="sv-SE"/>
        </w:rPr>
        <w:t>Lånefinansieringen måste förhandlas mellan partierna för en långsiktigt stabil säkerhetspolitik.</w:t>
      </w:r>
    </w:p>
    <w:p w:rsidRPr="003E67AC" w:rsidR="004660F2" w:rsidP="00EC7099" w:rsidRDefault="004660F2" w14:paraId="5BEE25F6" w14:textId="2B32993B">
      <w:pPr>
        <w:pStyle w:val="ListaPunkt"/>
        <w:ind w:left="284" w:hanging="284"/>
      </w:pPr>
      <w:r w:rsidRPr="003E67AC">
        <w:rPr>
          <w:lang w:eastAsia="sv-SE"/>
        </w:rPr>
        <w:t>Löpande utgifter ska finansieras.</w:t>
      </w:r>
    </w:p>
    <w:p w:rsidRPr="003E67AC" w:rsidR="004660F2" w:rsidP="00EC7099" w:rsidRDefault="004660F2" w14:paraId="4F2D4752" w14:textId="585B17FA">
      <w:pPr>
        <w:pStyle w:val="ListaPunkt"/>
        <w:ind w:left="284" w:hanging="284"/>
      </w:pPr>
      <w:r w:rsidRPr="003E67AC">
        <w:rPr>
          <w:lang w:eastAsia="sv-SE"/>
        </w:rPr>
        <w:t>Skattesänkningar får aldrig lånefinansieras.</w:t>
      </w:r>
    </w:p>
    <w:p w:rsidRPr="003E67AC" w:rsidR="00240317" w:rsidP="00EC7099" w:rsidRDefault="00261B58" w14:paraId="136F4AA4" w14:textId="6E886E02">
      <w:pPr>
        <w:pStyle w:val="ListaPunkt"/>
        <w:ind w:left="284" w:hanging="284"/>
      </w:pPr>
      <w:r>
        <w:rPr>
          <w:lang w:eastAsia="sv-SE"/>
        </w:rPr>
        <w:t>Inför e</w:t>
      </w:r>
      <w:r w:rsidRPr="003E67AC" w:rsidR="00720E38">
        <w:rPr>
          <w:lang w:eastAsia="sv-SE"/>
        </w:rPr>
        <w:t>n försvarsskatt på kapital och de högsta inkomsterna för att finansiera de ökande löpande kostnaderna inom försvaret.</w:t>
      </w:r>
    </w:p>
    <w:p w:rsidRPr="003E67AC" w:rsidR="000C032A" w:rsidP="006C5821" w:rsidRDefault="000C032A" w14:paraId="0C0725C3" w14:textId="6E5937C0">
      <w:pPr>
        <w:pStyle w:val="Rubrik2numrerat"/>
      </w:pPr>
      <w:bookmarkStart w:name="_Toc197351628" w:id="15"/>
      <w:bookmarkEnd w:id="13"/>
      <w:r w:rsidRPr="003E67AC">
        <w:t>Kärnkraftsutbyggnaden</w:t>
      </w:r>
      <w:bookmarkEnd w:id="15"/>
    </w:p>
    <w:p w:rsidRPr="00EC7099" w:rsidR="000C032A" w:rsidP="00EC7099" w:rsidRDefault="00805032" w14:paraId="674FBF64" w14:textId="5ABE6A92">
      <w:pPr>
        <w:pStyle w:val="Normalutanindragellerluft"/>
        <w:rPr>
          <w:lang w:eastAsia="sv-SE"/>
        </w:rPr>
      </w:pPr>
      <w:r w:rsidRPr="003E67AC">
        <w:rPr>
          <w:lang w:eastAsia="sv-SE"/>
        </w:rPr>
        <w:t xml:space="preserve">Nyligen lade regeringen </w:t>
      </w:r>
      <w:r w:rsidRPr="003E67AC" w:rsidR="000C032A">
        <w:rPr>
          <w:lang w:eastAsia="sv-SE"/>
        </w:rPr>
        <w:t>proposition 2024/25:150</w:t>
      </w:r>
      <w:r w:rsidRPr="003E67AC" w:rsidR="00EF47AB">
        <w:rPr>
          <w:lang w:eastAsia="sv-SE"/>
        </w:rPr>
        <w:t xml:space="preserve"> </w:t>
      </w:r>
      <w:r w:rsidRPr="003E67AC" w:rsidR="000C032A">
        <w:rPr>
          <w:i/>
          <w:iCs/>
          <w:lang w:eastAsia="sv-SE"/>
        </w:rPr>
        <w:t>Finansiering och riskdelning vid investeringar i ny kärnkraft</w:t>
      </w:r>
      <w:r w:rsidRPr="003E67AC">
        <w:rPr>
          <w:lang w:eastAsia="sv-SE"/>
        </w:rPr>
        <w:t xml:space="preserve"> på riksdagens bord. Beslut om propositionen kommer att fattas under maj månad.</w:t>
      </w:r>
      <w:r w:rsidRPr="003E67AC" w:rsidR="000C032A">
        <w:rPr>
          <w:lang w:eastAsia="sv-SE"/>
        </w:rPr>
        <w:t xml:space="preserve"> Finansierings- och riskdelningsmodellen innehåller tre komponenter; två av dem är statlig lånefinansiering samt en modell för risk- och vinst</w:t>
      </w:r>
      <w:r w:rsidR="00276B17">
        <w:rPr>
          <w:lang w:eastAsia="sv-SE"/>
        </w:rPr>
        <w:softHyphen/>
      </w:r>
      <w:r w:rsidRPr="003E67AC" w:rsidR="000C032A">
        <w:rPr>
          <w:lang w:eastAsia="sv-SE"/>
        </w:rPr>
        <w:t xml:space="preserve">delning. </w:t>
      </w:r>
      <w:r w:rsidRPr="003E67AC" w:rsidR="00471B85">
        <w:rPr>
          <w:lang w:eastAsia="sv-SE"/>
        </w:rPr>
        <w:t xml:space="preserve">I propositionen ger regeringen inget klart besked om de offentligfinansiella effekterna av </w:t>
      </w:r>
      <w:r w:rsidRPr="003E67AC" w:rsidR="00015E98">
        <w:rPr>
          <w:lang w:eastAsia="sv-SE"/>
        </w:rPr>
        <w:t xml:space="preserve">den </w:t>
      </w:r>
      <w:r w:rsidRPr="003E67AC" w:rsidR="00471B85">
        <w:rPr>
          <w:lang w:eastAsia="sv-SE"/>
        </w:rPr>
        <w:t>föreslagna kärnkraftsutbyggnaden. Däremot redovisar regeringen beräkningar utifrån olika scenarier. I beräkningarna antas stöd ges till investeringar i 5</w:t>
      </w:r>
      <w:r w:rsidR="005D3DAD">
        <w:rPr>
          <w:lang w:eastAsia="sv-SE"/>
        </w:rPr>
        <w:t> </w:t>
      </w:r>
      <w:r w:rsidRPr="003E67AC" w:rsidR="00471B85">
        <w:rPr>
          <w:lang w:eastAsia="sv-SE"/>
        </w:rPr>
        <w:t>000</w:t>
      </w:r>
      <w:r w:rsidR="005D3DAD">
        <w:rPr>
          <w:lang w:eastAsia="sv-SE"/>
        </w:rPr>
        <w:t> </w:t>
      </w:r>
      <w:r w:rsidRPr="003E67AC" w:rsidR="00471B85">
        <w:rPr>
          <w:lang w:eastAsia="sv-SE"/>
        </w:rPr>
        <w:t>MW till en total investeringskostnad om 413 miljarder kronor. Vidare antas att de statliga lånen finansierar 75 procent av investeringskostnaderna. Det motsvarar 315 miljarder kronor för investeringar i fyra reaktorer.</w:t>
      </w:r>
    </w:p>
    <w:p w:rsidRPr="003E67AC" w:rsidR="00471B85" w:rsidP="00EC7099" w:rsidRDefault="00471B85" w14:paraId="4EC2FFC9" w14:textId="5C39CE05">
      <w:r w:rsidRPr="003E67AC">
        <w:t xml:space="preserve">Det som avgör hur </w:t>
      </w:r>
      <w:r w:rsidRPr="00EC7099">
        <w:t>kärnkraftsutbyggnaden påverkar de offentliga finanserna är om</w:t>
      </w:r>
      <w:r w:rsidR="00276B17">
        <w:t> </w:t>
      </w:r>
      <w:r w:rsidRPr="00EC7099">
        <w:t>programmet klassificeras som en offentlig eller privat investering i national</w:t>
      </w:r>
      <w:r w:rsidR="00276B17">
        <w:softHyphen/>
      </w:r>
      <w:r w:rsidRPr="00EC7099">
        <w:t>räkenskaperna, som i sin tur baseras på ett regelverk från EU:s statistikmyndighet Eurostat. I propositionen anger regeringen att de efter samtal med bl</w:t>
      </w:r>
      <w:r w:rsidRPr="00EC7099" w:rsidR="00217A97">
        <w:t>.a.</w:t>
      </w:r>
      <w:r w:rsidRPr="00EC7099">
        <w:t xml:space="preserve"> Eurostat gör bedömningen att det mest sannolika är att utbetalningarna av lånen ska klassificeras som offentliga utgifter och att återbetalningarna av lånen ska klassificeras som offentliga inkomster, något som Vänsterpartiet konstaterade redan i </w:t>
      </w:r>
      <w:r w:rsidRPr="00EC7099">
        <w:lastRenderedPageBreak/>
        <w:t xml:space="preserve">samband med </w:t>
      </w:r>
      <w:r w:rsidRPr="00EC7099" w:rsidR="00087C17">
        <w:t xml:space="preserve">att </w:t>
      </w:r>
      <w:r w:rsidRPr="00EC7099">
        <w:t>utredningen</w:t>
      </w:r>
      <w:r w:rsidRPr="00EC7099" w:rsidR="00087C17">
        <w:t xml:space="preserve"> som ligger till grund för förslaget presenterades</w:t>
      </w:r>
      <w:r w:rsidRPr="00EC7099">
        <w:t>.</w:t>
      </w:r>
      <w:r w:rsidRPr="00EC1665">
        <w:rPr>
          <w:rStyle w:val="Fotnotsreferens"/>
        </w:rPr>
        <w:footnoteReference w:id="4"/>
      </w:r>
      <w:r w:rsidRPr="00EC7099">
        <w:t xml:space="preserve"> Lånen redovisas i detta fall inte som lån i nationalräkenskaperna, utan som exempelvis </w:t>
      </w:r>
      <w:r w:rsidRPr="00EC7099" w:rsidR="00B209F4">
        <w:t>”</w:t>
      </w:r>
      <w:r w:rsidRPr="00EC7099">
        <w:t>återbetalningsbara investeringsbidrag eller liknande</w:t>
      </w:r>
      <w:r w:rsidRPr="00EC7099" w:rsidR="00155FF0">
        <w:t>”.</w:t>
      </w:r>
      <w:r w:rsidRPr="00EC7099">
        <w:t xml:space="preserve"> Innebörden av detta är att kärnkraftsutbyggnaden påverkar den offentliga sektorns finansiella sparande fullt ut men att den offentliga sektorns finansiella bruttoskuld (Maastrichtskulden) inte</w:t>
      </w:r>
      <w:r w:rsidRPr="00EC7099" w:rsidR="009676C5">
        <w:t xml:space="preserve"> beräknas</w:t>
      </w:r>
      <w:r w:rsidRPr="00EC7099">
        <w:t xml:space="preserve"> påverkas</w:t>
      </w:r>
      <w:r w:rsidRPr="00EC7099" w:rsidR="009676C5">
        <w:t xml:space="preserve"> alls</w:t>
      </w:r>
      <w:r w:rsidRPr="00EC7099">
        <w:t xml:space="preserve">. Om ingen fördyring sker beräknas projektet försvaga de offentliga finanserna med 10–20 miljarder kronor per </w:t>
      </w:r>
      <w:r w:rsidRPr="00EC7099" w:rsidR="00B2730C">
        <w:t xml:space="preserve">år </w:t>
      </w:r>
      <w:r w:rsidRPr="00EC7099">
        <w:t xml:space="preserve">under drygt </w:t>
      </w:r>
      <w:r w:rsidRPr="00EC7099" w:rsidR="00253CA9">
        <w:t>tio</w:t>
      </w:r>
      <w:r w:rsidRPr="00EC7099">
        <w:t xml:space="preserve"> år. Erfarenhetsmässigt vet vi dock att projekt av den här typen brukar bli avsevärt dyrare än planerat. Regeringen har</w:t>
      </w:r>
      <w:r w:rsidRPr="003E67AC">
        <w:t xml:space="preserve"> därför räknat på vad en fördyring med 100 procent skulle innebära för de offentliga finanserna. I figur </w:t>
      </w:r>
      <w:r w:rsidRPr="003E67AC" w:rsidR="00C058C8">
        <w:t>1</w:t>
      </w:r>
      <w:r w:rsidRPr="003E67AC">
        <w:t>1 nedan visas projektets påverkan på den offentliga sektorns finansiella sparande vid en fördyring med 100 procent.</w:t>
      </w:r>
    </w:p>
    <w:p w:rsidRPr="00EC7099" w:rsidR="00471B85" w:rsidP="0022557B" w:rsidRDefault="00471B85" w14:paraId="74E31EF0" w14:textId="1C35F479">
      <w:pPr>
        <w:pStyle w:val="Tabellrubrik"/>
        <w:spacing w:before="300"/>
      </w:pPr>
      <w:r w:rsidRPr="00EC7099">
        <w:t xml:space="preserve">Figur </w:t>
      </w:r>
      <w:r w:rsidRPr="00EC7099" w:rsidR="004F1979">
        <w:t>11</w:t>
      </w:r>
      <w:r w:rsidRPr="00EC7099">
        <w:t xml:space="preserve"> Påverkan på den offentliga sektorns finansiella sparande vid fördyring</w:t>
      </w:r>
    </w:p>
    <w:p w:rsidRPr="003E67AC" w:rsidR="00471B85" w:rsidP="00471B85" w:rsidRDefault="00471B85" w14:paraId="4826E1A9" w14:textId="77777777">
      <w:pPr>
        <w:ind w:firstLine="0"/>
        <w:rPr>
          <w:i/>
          <w:iCs/>
          <w:sz w:val="20"/>
          <w:szCs w:val="20"/>
        </w:rPr>
      </w:pPr>
      <w:r w:rsidRPr="003E67AC">
        <w:rPr>
          <w:i/>
          <w:iCs/>
          <w:sz w:val="20"/>
          <w:szCs w:val="20"/>
        </w:rPr>
        <w:t>Miljarder kronor, fasta priser, 2025 års priser</w:t>
      </w:r>
    </w:p>
    <w:p w:rsidRPr="003E67AC" w:rsidR="00471B85" w:rsidP="0022557B" w:rsidRDefault="007A0B2F" w14:paraId="5BB22157" w14:textId="4FA0AEB3">
      <w:pPr>
        <w:ind w:left="-57" w:firstLine="0"/>
      </w:pPr>
      <w:r w:rsidRPr="003E67AC">
        <w:rPr>
          <w:noProof/>
        </w:rPr>
        <w:drawing>
          <wp:inline distT="0" distB="0" distL="0" distR="0" wp14:anchorId="5FBE5276" wp14:editId="53E94E61">
            <wp:extent cx="5400000" cy="2932200"/>
            <wp:effectExtent l="0" t="0" r="0" b="1905"/>
            <wp:docPr id="3" name="Bildobjekt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rotWithShape="1">
                    <a:blip r:embed="rId21"/>
                    <a:srcRect l="1197" r="13134"/>
                    <a:stretch/>
                  </pic:blipFill>
                  <pic:spPr bwMode="auto">
                    <a:xfrm>
                      <a:off x="0" y="0"/>
                      <a:ext cx="5400000" cy="2932200"/>
                    </a:xfrm>
                    <a:prstGeom prst="rect">
                      <a:avLst/>
                    </a:prstGeom>
                    <a:ln>
                      <a:noFill/>
                    </a:ln>
                    <a:extLst>
                      <a:ext uri="{53640926-AAD7-44D8-BBD7-CCE9431645EC}">
                        <a14:shadowObscured xmlns:a14="http://schemas.microsoft.com/office/drawing/2010/main"/>
                      </a:ext>
                    </a:extLst>
                  </pic:spPr>
                </pic:pic>
              </a:graphicData>
            </a:graphic>
          </wp:inline>
        </w:drawing>
      </w:r>
    </w:p>
    <w:p w:rsidRPr="003E67AC" w:rsidR="00471B85" w:rsidP="0022557B" w:rsidRDefault="007A0B2F" w14:paraId="1A1421C0" w14:textId="59DB7B02">
      <w:pPr>
        <w:pStyle w:val="Klla"/>
        <w:spacing w:before="40"/>
      </w:pPr>
      <w:r w:rsidRPr="003E67AC">
        <w:t>Källa: Regeringens proposition 2024/25:150</w:t>
      </w:r>
      <w:r w:rsidR="005D3DAD">
        <w:t>.</w:t>
      </w:r>
    </w:p>
    <w:p w:rsidRPr="003E67AC" w:rsidR="007A0B2F" w:rsidP="00EC7099" w:rsidRDefault="007A0B2F" w14:paraId="591CCFB3" w14:textId="3A51799E">
      <w:pPr>
        <w:pStyle w:val="Normalutanindragellerluft"/>
        <w:spacing w:before="150"/>
        <w:rPr>
          <w:lang w:eastAsia="sv-SE"/>
        </w:rPr>
      </w:pPr>
      <w:r w:rsidRPr="003E67AC">
        <w:rPr>
          <w:lang w:eastAsia="sv-SE"/>
        </w:rPr>
        <w:t xml:space="preserve">Som framgår </w:t>
      </w:r>
      <w:r w:rsidRPr="003E67AC">
        <w:t>av</w:t>
      </w:r>
      <w:r w:rsidRPr="003E67AC">
        <w:rPr>
          <w:lang w:eastAsia="sv-SE"/>
        </w:rPr>
        <w:t xml:space="preserve"> figuren beräknas kärnkraftsutbyggnaden i detta scenario påverka de</w:t>
      </w:r>
      <w:r w:rsidRPr="003E67AC" w:rsidR="00BE7AEE">
        <w:rPr>
          <w:lang w:eastAsia="sv-SE"/>
        </w:rPr>
        <w:t>t</w:t>
      </w:r>
      <w:r w:rsidRPr="003E67AC">
        <w:rPr>
          <w:lang w:eastAsia="sv-SE"/>
        </w:rPr>
        <w:t xml:space="preserve"> offentliga finansiella sparande</w:t>
      </w:r>
      <w:r w:rsidRPr="003E67AC" w:rsidR="00BE7AEE">
        <w:rPr>
          <w:lang w:eastAsia="sv-SE"/>
        </w:rPr>
        <w:t>t</w:t>
      </w:r>
      <w:r w:rsidRPr="003E67AC">
        <w:rPr>
          <w:lang w:eastAsia="sv-SE"/>
        </w:rPr>
        <w:t xml:space="preserve"> negativt under 20 år. Under flera år beräknas effekten till närmare 40 miljarder kronor per år. I propositionen konstaterar regeringen samtidigt ”att alla inkomster, utgifter och låneskulder som redovisas som offentliga i national</w:t>
      </w:r>
      <w:r w:rsidR="00276B17">
        <w:rPr>
          <w:lang w:eastAsia="sv-SE"/>
        </w:rPr>
        <w:softHyphen/>
      </w:r>
      <w:r w:rsidRPr="003E67AC">
        <w:rPr>
          <w:lang w:eastAsia="sv-SE"/>
        </w:rPr>
        <w:t xml:space="preserve">räkenskaperna (NR) påverkar de finanspolitiska målvariablerna och ska hanteras i enlighet med det finanspolitiska ramverket”. Det betyder att projektets effekter på de offentliga finanserna inte kommer att läggas utanför det finanspolitiska ramverket. Detta kommer att få betydande effekter för stabiliseringspolitiken. Under projektets första 20 år kommer finanspolitiken </w:t>
      </w:r>
      <w:r w:rsidRPr="003E67AC" w:rsidR="007E0862">
        <w:rPr>
          <w:lang w:eastAsia="sv-SE"/>
        </w:rPr>
        <w:t xml:space="preserve">att </w:t>
      </w:r>
      <w:r w:rsidRPr="003E67AC">
        <w:rPr>
          <w:lang w:eastAsia="sv-SE"/>
        </w:rPr>
        <w:t xml:space="preserve">bli för stram då kommande regeringar </w:t>
      </w:r>
      <w:r w:rsidRPr="003E67AC">
        <w:rPr>
          <w:lang w:eastAsia="sv-SE"/>
        </w:rPr>
        <w:lastRenderedPageBreak/>
        <w:t xml:space="preserve">tvingas till betydande skattehöjningar eller besparingar för att budgetpolitiken ska vara i linje med balansmålet. Därefter, när lånen betalas tillbaka, riskerar finanspolitiken att blir för expansiv om balansmålet ska nås. </w:t>
      </w:r>
    </w:p>
    <w:p w:rsidRPr="003E67AC" w:rsidR="007A0B2F" w:rsidP="00EC7099" w:rsidRDefault="007A0B2F" w14:paraId="7D36DE2F" w14:textId="5F352EBD">
      <w:pPr>
        <w:rPr>
          <w:lang w:eastAsia="sv-SE"/>
        </w:rPr>
      </w:pPr>
      <w:r w:rsidRPr="003E67AC">
        <w:rPr>
          <w:lang w:eastAsia="sv-SE"/>
        </w:rPr>
        <w:t xml:space="preserve">Sverige står inför en stor investeringspuckel, i </w:t>
      </w:r>
      <w:r w:rsidR="00AD7D11">
        <w:rPr>
          <w:lang w:eastAsia="sv-SE"/>
        </w:rPr>
        <w:t xml:space="preserve">fråga om </w:t>
      </w:r>
      <w:r w:rsidRPr="003E67AC">
        <w:rPr>
          <w:lang w:eastAsia="sv-SE"/>
        </w:rPr>
        <w:t>alltifrån klimatinvesteringar</w:t>
      </w:r>
      <w:r w:rsidR="00AD7D11">
        <w:rPr>
          <w:lang w:eastAsia="sv-SE"/>
        </w:rPr>
        <w:t xml:space="preserve"> till</w:t>
      </w:r>
      <w:r w:rsidRPr="003E67AC">
        <w:rPr>
          <w:lang w:eastAsia="sv-SE"/>
        </w:rPr>
        <w:t xml:space="preserve"> </w:t>
      </w:r>
      <w:r w:rsidR="009055E9">
        <w:rPr>
          <w:lang w:eastAsia="sv-SE"/>
        </w:rPr>
        <w:t xml:space="preserve">investeringar i </w:t>
      </w:r>
      <w:r w:rsidRPr="003E67AC">
        <w:rPr>
          <w:lang w:eastAsia="sv-SE"/>
        </w:rPr>
        <w:t xml:space="preserve">infrastruktur, underhåll av vatten och avlopp, totalförsvaret m.m. För att finansiera dessa </w:t>
      </w:r>
      <w:r w:rsidRPr="003E67AC" w:rsidR="004839B3">
        <w:rPr>
          <w:lang w:eastAsia="sv-SE"/>
        </w:rPr>
        <w:t xml:space="preserve">var </w:t>
      </w:r>
      <w:r w:rsidRPr="003E67AC" w:rsidR="003E0876">
        <w:rPr>
          <w:lang w:eastAsia="sv-SE"/>
        </w:rPr>
        <w:t>Vänsterpartiet</w:t>
      </w:r>
      <w:r w:rsidRPr="003E67AC" w:rsidR="004839B3">
        <w:rPr>
          <w:lang w:eastAsia="sv-SE"/>
        </w:rPr>
        <w:t xml:space="preserve">s linje i </w:t>
      </w:r>
      <w:r w:rsidRPr="003E67AC" w:rsidR="00B860C5">
        <w:rPr>
          <w:lang w:eastAsia="sv-SE"/>
        </w:rPr>
        <w:t>Kommittén om översyn av nivån på målet för den offentliga sektorns finansiella sparande</w:t>
      </w:r>
      <w:r w:rsidRPr="003E67AC" w:rsidR="003E0876">
        <w:rPr>
          <w:lang w:eastAsia="sv-SE"/>
        </w:rPr>
        <w:t>, som beskrivits ovan,</w:t>
      </w:r>
      <w:r w:rsidRPr="003E67AC">
        <w:rPr>
          <w:lang w:eastAsia="sv-SE"/>
        </w:rPr>
        <w:t xml:space="preserve"> att </w:t>
      </w:r>
      <w:r w:rsidRPr="003E67AC" w:rsidR="00DF131E">
        <w:rPr>
          <w:lang w:eastAsia="sv-SE"/>
        </w:rPr>
        <w:t>detta borde ku</w:t>
      </w:r>
      <w:r w:rsidRPr="003E67AC" w:rsidR="00F24212">
        <w:rPr>
          <w:lang w:eastAsia="sv-SE"/>
        </w:rPr>
        <w:t>n</w:t>
      </w:r>
      <w:r w:rsidRPr="003E67AC" w:rsidR="00DF131E">
        <w:rPr>
          <w:lang w:eastAsia="sv-SE"/>
        </w:rPr>
        <w:t>na</w:t>
      </w:r>
      <w:r w:rsidRPr="003E67AC" w:rsidR="00F24212">
        <w:rPr>
          <w:lang w:eastAsia="sv-SE"/>
        </w:rPr>
        <w:t xml:space="preserve"> </w:t>
      </w:r>
      <w:r w:rsidRPr="003E67AC" w:rsidR="00DF131E">
        <w:rPr>
          <w:lang w:eastAsia="sv-SE"/>
        </w:rPr>
        <w:t>lånefinansieras under en åttaårsperiod</w:t>
      </w:r>
      <w:r w:rsidRPr="003E67AC">
        <w:rPr>
          <w:lang w:eastAsia="sv-SE"/>
        </w:rPr>
        <w:t>. Vi drev också att kommittén måste reda ut hur den planerade kärnkraftsutbyggnaden ska förhålla sig till det finanspolitiska ram</w:t>
      </w:r>
      <w:r w:rsidR="00276B17">
        <w:rPr>
          <w:lang w:eastAsia="sv-SE"/>
        </w:rPr>
        <w:softHyphen/>
      </w:r>
      <w:r w:rsidRPr="003E67AC">
        <w:rPr>
          <w:lang w:eastAsia="sv-SE"/>
        </w:rPr>
        <w:t>verket i allmänhet och till målet för den offentliga sektorns finansiella sparande (saldo</w:t>
      </w:r>
      <w:r w:rsidR="00276B17">
        <w:rPr>
          <w:lang w:eastAsia="sv-SE"/>
        </w:rPr>
        <w:softHyphen/>
      </w:r>
      <w:r w:rsidRPr="003E67AC">
        <w:rPr>
          <w:lang w:eastAsia="sv-SE"/>
        </w:rPr>
        <w:t>målet) i synnerhet. Tyvärr fick vi inte gehör för dessa ståndpunkter, utan majoriteten i kommittén landade i ett balansmål</w:t>
      </w:r>
      <w:r w:rsidR="00A815D9">
        <w:rPr>
          <w:lang w:eastAsia="sv-SE"/>
        </w:rPr>
        <w:t>,</w:t>
      </w:r>
      <w:r w:rsidRPr="003E67AC">
        <w:rPr>
          <w:lang w:eastAsia="sv-SE"/>
        </w:rPr>
        <w:t xml:space="preserve"> och kärnkraftsfinansieringens förhållande till saldomålet reddes aldrig riktigt ut.</w:t>
      </w:r>
    </w:p>
    <w:p w:rsidRPr="003E67AC" w:rsidR="00361E96" w:rsidP="00EC7099" w:rsidRDefault="00DC72B0" w14:paraId="5303A344" w14:textId="4C05D0C0">
      <w:pPr>
        <w:rPr>
          <w:lang w:eastAsia="sv-SE"/>
        </w:rPr>
      </w:pPr>
      <w:r w:rsidRPr="003E67AC">
        <w:rPr>
          <w:lang w:eastAsia="sv-SE"/>
        </w:rPr>
        <w:t>Så</w:t>
      </w:r>
      <w:r w:rsidRPr="003E67AC" w:rsidR="003F2775">
        <w:rPr>
          <w:lang w:eastAsia="sv-SE"/>
        </w:rPr>
        <w:t xml:space="preserve"> </w:t>
      </w:r>
      <w:r w:rsidRPr="003E67AC">
        <w:rPr>
          <w:lang w:eastAsia="sv-SE"/>
        </w:rPr>
        <w:t>som förslaget till kärnkraftsutbyggnad är konstruerat riskerar det att leda till minskade investeringar i andra energislag som behövs för klimatomställningen, bl</w:t>
      </w:r>
      <w:r w:rsidRPr="003E67AC" w:rsidR="001F2F2C">
        <w:rPr>
          <w:lang w:eastAsia="sv-SE"/>
        </w:rPr>
        <w:t>.a.</w:t>
      </w:r>
      <w:r w:rsidRPr="003E67AC">
        <w:rPr>
          <w:lang w:eastAsia="sv-SE"/>
        </w:rPr>
        <w:t xml:space="preserve"> i </w:t>
      </w:r>
      <w:r w:rsidRPr="00276B17">
        <w:rPr>
          <w:spacing w:val="-1"/>
          <w:lang w:eastAsia="sv-SE"/>
        </w:rPr>
        <w:t>investeringar i elproduktion som kan tas i drift tidigare än nya kärnkraftverk. Regeringen</w:t>
      </w:r>
      <w:r w:rsidRPr="003E67AC">
        <w:rPr>
          <w:lang w:eastAsia="sv-SE"/>
        </w:rPr>
        <w:t xml:space="preserve"> har inte gjort någon bred analys </w:t>
      </w:r>
      <w:r w:rsidR="00A815D9">
        <w:rPr>
          <w:lang w:eastAsia="sv-SE"/>
        </w:rPr>
        <w:t>av</w:t>
      </w:r>
      <w:r w:rsidRPr="003E67AC">
        <w:rPr>
          <w:lang w:eastAsia="sv-SE"/>
        </w:rPr>
        <w:t xml:space="preserve"> hur samtliga kraftslag, genom lagringsmöjligheter, kan bidra till ett framtida elsystem med stark baskraft. De offentligfinansiella beräk</w:t>
      </w:r>
      <w:r w:rsidR="00276B17">
        <w:rPr>
          <w:lang w:eastAsia="sv-SE"/>
        </w:rPr>
        <w:softHyphen/>
      </w:r>
      <w:r w:rsidRPr="003E67AC">
        <w:rPr>
          <w:lang w:eastAsia="sv-SE"/>
        </w:rPr>
        <w:t>ningarna är bristfälliga</w:t>
      </w:r>
      <w:r w:rsidR="005945BA">
        <w:rPr>
          <w:lang w:eastAsia="sv-SE"/>
        </w:rPr>
        <w:t>,</w:t>
      </w:r>
      <w:r w:rsidRPr="003E67AC">
        <w:rPr>
          <w:lang w:eastAsia="sv-SE"/>
        </w:rPr>
        <w:t xml:space="preserve"> och finansieringen av utbyggnaden kommer </w:t>
      </w:r>
      <w:r w:rsidRPr="003E67AC" w:rsidR="001F2F2C">
        <w:rPr>
          <w:lang w:eastAsia="sv-SE"/>
        </w:rPr>
        <w:t xml:space="preserve">att </w:t>
      </w:r>
      <w:r w:rsidRPr="003E67AC">
        <w:rPr>
          <w:lang w:eastAsia="sv-SE"/>
        </w:rPr>
        <w:t>tränga undan andra investeringar och leda till betydande besparingar och/eller skattehöjningar. De svenska hushållen riskerar dessutom att drabbas av en skattechock när kärnkrafts</w:t>
      </w:r>
      <w:r w:rsidR="00276B17">
        <w:rPr>
          <w:lang w:eastAsia="sv-SE"/>
        </w:rPr>
        <w:softHyphen/>
      </w:r>
      <w:r w:rsidRPr="003E67AC">
        <w:rPr>
          <w:lang w:eastAsia="sv-SE"/>
        </w:rPr>
        <w:t xml:space="preserve">bolagen ska få sin garanterade ersättning. </w:t>
      </w:r>
      <w:r w:rsidRPr="003E67AC" w:rsidR="00155FF0">
        <w:rPr>
          <w:lang w:eastAsia="sv-SE"/>
        </w:rPr>
        <w:t xml:space="preserve">Vänsterpartiet har låtit </w:t>
      </w:r>
      <w:r w:rsidRPr="003E67AC" w:rsidR="00AC472C">
        <w:rPr>
          <w:lang w:eastAsia="sv-SE"/>
        </w:rPr>
        <w:t>r</w:t>
      </w:r>
      <w:r w:rsidRPr="003E67AC" w:rsidR="00155FF0">
        <w:rPr>
          <w:lang w:eastAsia="sv-SE"/>
        </w:rPr>
        <w:t>iksdagens utrednings</w:t>
      </w:r>
      <w:r w:rsidR="00276B17">
        <w:rPr>
          <w:lang w:eastAsia="sv-SE"/>
        </w:rPr>
        <w:softHyphen/>
      </w:r>
      <w:r w:rsidRPr="003E67AC" w:rsidR="00155FF0">
        <w:rPr>
          <w:lang w:eastAsia="sv-SE"/>
        </w:rPr>
        <w:t>tjänst (RUT) räkna på olika tänkta utfall</w:t>
      </w:r>
      <w:r w:rsidRPr="003E67AC" w:rsidR="008C4BC7">
        <w:rPr>
          <w:lang w:eastAsia="sv-SE"/>
        </w:rPr>
        <w:t xml:space="preserve"> avseende marknads- och garantipriser m.m.</w:t>
      </w:r>
      <w:r w:rsidRPr="003E67AC" w:rsidR="00155FF0">
        <w:rPr>
          <w:lang w:eastAsia="sv-SE"/>
        </w:rPr>
        <w:t xml:space="preserve"> I ett scenario leder kärnkraftsutbyggnaden till att en normal villaägare får en skatte</w:t>
      </w:r>
      <w:r w:rsidR="00276B17">
        <w:rPr>
          <w:lang w:eastAsia="sv-SE"/>
        </w:rPr>
        <w:softHyphen/>
      </w:r>
      <w:r w:rsidRPr="003E67AC" w:rsidR="00155FF0">
        <w:rPr>
          <w:lang w:eastAsia="sv-SE"/>
        </w:rPr>
        <w:t>höj</w:t>
      </w:r>
      <w:r w:rsidR="00276B17">
        <w:rPr>
          <w:lang w:eastAsia="sv-SE"/>
        </w:rPr>
        <w:softHyphen/>
      </w:r>
      <w:r w:rsidRPr="003E67AC" w:rsidR="00155FF0">
        <w:rPr>
          <w:lang w:eastAsia="sv-SE"/>
        </w:rPr>
        <w:t>ning med ca 5</w:t>
      </w:r>
      <w:r w:rsidRPr="003E67AC" w:rsidR="00AC472C">
        <w:rPr>
          <w:lang w:eastAsia="sv-SE"/>
        </w:rPr>
        <w:t> </w:t>
      </w:r>
      <w:r w:rsidRPr="003E67AC" w:rsidR="00155FF0">
        <w:rPr>
          <w:lang w:eastAsia="sv-SE"/>
        </w:rPr>
        <w:t>000 kronor per år.</w:t>
      </w:r>
      <w:r w:rsidRPr="003E67AC" w:rsidR="00155FF0">
        <w:rPr>
          <w:rStyle w:val="Fotnotsreferens"/>
          <w:lang w:eastAsia="sv-SE"/>
        </w:rPr>
        <w:footnoteReference w:id="5"/>
      </w:r>
      <w:r w:rsidRPr="003E67AC" w:rsidR="00155FF0">
        <w:rPr>
          <w:lang w:eastAsia="sv-SE"/>
        </w:rPr>
        <w:t xml:space="preserve"> Sammantaget innebär regeringens kärnkrafts</w:t>
      </w:r>
      <w:r w:rsidR="00276B17">
        <w:rPr>
          <w:lang w:eastAsia="sv-SE"/>
        </w:rPr>
        <w:softHyphen/>
      </w:r>
      <w:r w:rsidRPr="003E67AC" w:rsidR="00155FF0">
        <w:rPr>
          <w:lang w:eastAsia="sv-SE"/>
        </w:rPr>
        <w:t>förslag</w:t>
      </w:r>
      <w:r w:rsidRPr="003E67AC">
        <w:rPr>
          <w:lang w:eastAsia="sv-SE"/>
        </w:rPr>
        <w:t xml:space="preserve"> att hushållen och staten bär risker och kostnader, medan kraftbolagen garanteras vinster.</w:t>
      </w:r>
    </w:p>
    <w:p w:rsidRPr="003E67AC" w:rsidR="003B42D1" w:rsidP="00EC7099" w:rsidRDefault="003B42D1" w14:paraId="1B98F607" w14:textId="77777777">
      <w:r w:rsidRPr="003E67AC">
        <w:t>Vänsterpartiets krav:</w:t>
      </w:r>
    </w:p>
    <w:p w:rsidRPr="003E67AC" w:rsidR="003B42D1" w:rsidP="00EC7099" w:rsidRDefault="003B42D1" w14:paraId="56233372" w14:textId="20565F5A">
      <w:pPr>
        <w:pStyle w:val="ListaPunkt"/>
        <w:ind w:left="284" w:hanging="284"/>
      </w:pPr>
      <w:r w:rsidRPr="003E67AC">
        <w:rPr>
          <w:lang w:eastAsia="sv-SE"/>
        </w:rPr>
        <w:t xml:space="preserve">Regeringen bör </w:t>
      </w:r>
      <w:r w:rsidRPr="003E67AC" w:rsidR="00112BC4">
        <w:rPr>
          <w:lang w:eastAsia="sv-SE"/>
        </w:rPr>
        <w:t>dra tillbaka</w:t>
      </w:r>
      <w:r w:rsidRPr="003E67AC">
        <w:rPr>
          <w:lang w:eastAsia="sv-SE"/>
        </w:rPr>
        <w:t xml:space="preserve"> det ansvarslösa förslaget om kärnkraftsfinansiering.</w:t>
      </w:r>
    </w:p>
    <w:p w:rsidRPr="003E67AC" w:rsidR="003B42D1" w:rsidP="00EC7099" w:rsidRDefault="003B42D1" w14:paraId="7B8F62A4" w14:textId="1BEFE35E">
      <w:pPr>
        <w:pStyle w:val="ListaPunkt"/>
        <w:ind w:left="284" w:hanging="284"/>
      </w:pPr>
      <w:r w:rsidRPr="003E67AC">
        <w:t>Regeringen bör gå vidare med en ny energiöverenskommelse som innehåller samtliga kraftslag.</w:t>
      </w:r>
    </w:p>
    <w:p w:rsidRPr="003E67AC" w:rsidR="00361E96" w:rsidP="006C5821" w:rsidRDefault="00361E96" w14:paraId="2AE35A8B" w14:textId="079535B3">
      <w:pPr>
        <w:pStyle w:val="Rubrik2numrerat"/>
      </w:pPr>
      <w:bookmarkStart w:name="_Toc197351629" w:id="16"/>
      <w:r w:rsidRPr="003E67AC">
        <w:lastRenderedPageBreak/>
        <w:t>En ansvarslös finanspolitik</w:t>
      </w:r>
      <w:bookmarkEnd w:id="16"/>
    </w:p>
    <w:p w:rsidRPr="003E67AC" w:rsidR="007C169F" w:rsidP="00EC7099" w:rsidRDefault="00891927" w14:paraId="5492C145" w14:textId="77777777">
      <w:pPr>
        <w:pStyle w:val="Normalutanindragellerluft"/>
        <w:rPr>
          <w:lang w:eastAsia="sv-SE"/>
        </w:rPr>
      </w:pPr>
      <w:r w:rsidRPr="003E67AC">
        <w:rPr>
          <w:lang w:eastAsia="sv-SE"/>
        </w:rPr>
        <w:t>Förtroendet för finanspolitiken beror ytterst på två komponenter. För det första måste de offentliga finanserna vara långsiktigt hållbara. Den andra komponenten är respekt för det regelverk som man själv har beslutat ska styra budget- och finanspolitiken, det finanspolitiska ramverket.</w:t>
      </w:r>
      <w:r w:rsidRPr="003E67AC" w:rsidR="00B0419D">
        <w:rPr>
          <w:lang w:eastAsia="sv-SE"/>
        </w:rPr>
        <w:t xml:space="preserve"> Saldomålet är en central del i ramverket och ska inkludera alla offentliga utgifter och inkomster. I uppföljningen av saldomålet exkluderas ibland s.k. engångseffekter när det är tydligt att en extraordinär händelse endast påverkar saldot ett enskilt år.</w:t>
      </w:r>
      <w:r w:rsidRPr="003E67AC" w:rsidR="00F73650">
        <w:rPr>
          <w:lang w:eastAsia="sv-SE"/>
        </w:rPr>
        <w:t xml:space="preserve"> Stödet till Ukraina är en sådan extraordinär händelse som motiverar att utgifterna inte inkluderas i avstämningen mot saldomålet. </w:t>
      </w:r>
      <w:r w:rsidRPr="003E67AC" w:rsidR="000B18BF">
        <w:rPr>
          <w:lang w:eastAsia="sv-SE"/>
        </w:rPr>
        <w:t>Sådana undantag</w:t>
      </w:r>
      <w:r w:rsidRPr="003E67AC" w:rsidR="008C4BC7">
        <w:rPr>
          <w:lang w:eastAsia="sv-SE"/>
        </w:rPr>
        <w:t xml:space="preserve"> behöver dock </w:t>
      </w:r>
      <w:r w:rsidRPr="003E67AC" w:rsidR="000B18BF">
        <w:rPr>
          <w:lang w:eastAsia="sv-SE"/>
        </w:rPr>
        <w:t>förankras i riksdagen</w:t>
      </w:r>
      <w:r w:rsidRPr="003E67AC" w:rsidR="008C4BC7">
        <w:rPr>
          <w:lang w:eastAsia="sv-SE"/>
        </w:rPr>
        <w:t>.</w:t>
      </w:r>
      <w:r w:rsidRPr="003E67AC" w:rsidR="00972375">
        <w:rPr>
          <w:lang w:eastAsia="sv-SE"/>
        </w:rPr>
        <w:t xml:space="preserve"> </w:t>
      </w:r>
    </w:p>
    <w:p w:rsidRPr="003E67AC" w:rsidR="00F243AE" w:rsidP="00EC7099" w:rsidRDefault="00972375" w14:paraId="20C8EC9F" w14:textId="63A952B0">
      <w:pPr>
        <w:rPr>
          <w:lang w:eastAsia="sv-SE"/>
        </w:rPr>
      </w:pPr>
      <w:r w:rsidRPr="003E67AC">
        <w:rPr>
          <w:lang w:eastAsia="sv-SE"/>
        </w:rPr>
        <w:t>Vad som däremot är fullständigt oansvarigt är att inte ge besked om den långsiktiga finansieringen</w:t>
      </w:r>
      <w:r w:rsidRPr="003E67AC" w:rsidR="006457DB">
        <w:rPr>
          <w:lang w:eastAsia="sv-SE"/>
        </w:rPr>
        <w:t xml:space="preserve"> av försvaret</w:t>
      </w:r>
      <w:r w:rsidRPr="003E67AC">
        <w:rPr>
          <w:lang w:eastAsia="sv-SE"/>
        </w:rPr>
        <w:t xml:space="preserve">. Än mer oansvarigt är att utesluta skattehöjningar som en del av finansieringen. </w:t>
      </w:r>
    </w:p>
    <w:p w:rsidRPr="003E67AC" w:rsidR="00BF2BE0" w:rsidP="00EC7099" w:rsidRDefault="00F243AE" w14:paraId="6F25A893" w14:textId="774E644D">
      <w:pPr>
        <w:rPr>
          <w:lang w:eastAsia="sv-SE"/>
        </w:rPr>
      </w:pPr>
      <w:r w:rsidRPr="003E67AC">
        <w:rPr>
          <w:lang w:eastAsia="sv-SE"/>
        </w:rPr>
        <w:t xml:space="preserve">Vad gäller kärnkraftsutbyggnaden </w:t>
      </w:r>
      <w:r w:rsidRPr="003E67AC" w:rsidR="007C169F">
        <w:rPr>
          <w:lang w:eastAsia="sv-SE"/>
        </w:rPr>
        <w:t>har</w:t>
      </w:r>
      <w:r w:rsidRPr="003E67AC">
        <w:rPr>
          <w:lang w:eastAsia="sv-SE"/>
        </w:rPr>
        <w:t xml:space="preserve"> regeringen varit tydlig med att den inte ska undantas från det finanspolitiska ramverket. </w:t>
      </w:r>
      <w:r w:rsidRPr="003E67AC" w:rsidR="007C169F">
        <w:rPr>
          <w:lang w:eastAsia="sv-SE"/>
        </w:rPr>
        <w:t>Ä</w:t>
      </w:r>
      <w:r w:rsidRPr="003E67AC">
        <w:rPr>
          <w:lang w:eastAsia="sv-SE"/>
        </w:rPr>
        <w:t xml:space="preserve">ven här skjuter man </w:t>
      </w:r>
      <w:r w:rsidRPr="003E67AC" w:rsidR="00A43BFE">
        <w:rPr>
          <w:lang w:eastAsia="sv-SE"/>
        </w:rPr>
        <w:t xml:space="preserve">dock </w:t>
      </w:r>
      <w:r w:rsidRPr="003E67AC">
        <w:rPr>
          <w:lang w:eastAsia="sv-SE"/>
        </w:rPr>
        <w:t xml:space="preserve">upp frågan om hur den ska finansieras. </w:t>
      </w:r>
      <w:r w:rsidRPr="003E67AC" w:rsidR="002E0865">
        <w:rPr>
          <w:lang w:eastAsia="sv-SE"/>
        </w:rPr>
        <w:t xml:space="preserve">Som framgår av tabellen nedan innebär detta att Sverige riskerar </w:t>
      </w:r>
      <w:r w:rsidRPr="003E67AC">
        <w:rPr>
          <w:lang w:eastAsia="sv-SE"/>
        </w:rPr>
        <w:t xml:space="preserve">att stå med en finansieringsskuld </w:t>
      </w:r>
      <w:r w:rsidRPr="003E67AC" w:rsidR="00142AAA">
        <w:rPr>
          <w:lang w:eastAsia="sv-SE"/>
        </w:rPr>
        <w:t xml:space="preserve">på </w:t>
      </w:r>
      <w:r w:rsidRPr="003E67AC" w:rsidR="002E0865">
        <w:rPr>
          <w:lang w:eastAsia="sv-SE"/>
        </w:rPr>
        <w:t>närmare</w:t>
      </w:r>
      <w:r w:rsidRPr="003E67AC" w:rsidR="00142AAA">
        <w:rPr>
          <w:lang w:eastAsia="sv-SE"/>
        </w:rPr>
        <w:t xml:space="preserve"> 100 miljarder kronor</w:t>
      </w:r>
      <w:r w:rsidRPr="003E67AC" w:rsidR="002E0865">
        <w:rPr>
          <w:lang w:eastAsia="sv-SE"/>
        </w:rPr>
        <w:t xml:space="preserve"> en bit in i nästa ramverksperiod (2027–2035)</w:t>
      </w:r>
      <w:r w:rsidRPr="003E67AC" w:rsidR="00400282">
        <w:rPr>
          <w:lang w:eastAsia="sv-SE"/>
        </w:rPr>
        <w:t>.</w:t>
      </w:r>
    </w:p>
    <w:p w:rsidR="00142AAA" w:rsidP="0022557B" w:rsidRDefault="00BF2BE0" w14:paraId="1E579CF2" w14:textId="6F005902">
      <w:pPr>
        <w:pStyle w:val="Tabellrubrik"/>
        <w:spacing w:before="300"/>
      </w:pPr>
      <w:r w:rsidRPr="003E67AC">
        <w:t xml:space="preserve">Tabell </w:t>
      </w:r>
      <w:r w:rsidRPr="003E67AC" w:rsidR="004F1979">
        <w:t>1</w:t>
      </w:r>
      <w:r w:rsidRPr="003E67AC">
        <w:t xml:space="preserve"> Regeringens finansieringsskuld</w:t>
      </w:r>
      <w:r w:rsidRPr="003E67AC" w:rsidR="00402F21">
        <w:t>, försvarsuppbyggnad och kärnkraft</w:t>
      </w:r>
    </w:p>
    <w:p w:rsidRPr="00EC7099" w:rsidR="00EC7099" w:rsidP="00EC7099" w:rsidRDefault="00EC7099" w14:paraId="7B63829B" w14:textId="3487A0B1">
      <w:pPr>
        <w:pStyle w:val="Tabellunderrubrik"/>
      </w:pPr>
      <w:r w:rsidRPr="003E67AC">
        <w:t>Effekter på medellång sikt, mkr, 2025 års priser</w:t>
      </w:r>
    </w:p>
    <w:tbl>
      <w:tblPr>
        <w:tblW w:w="8505" w:type="dxa"/>
        <w:tblLayout w:type="fixed"/>
        <w:tblCellMar>
          <w:left w:w="70" w:type="dxa"/>
          <w:right w:w="70" w:type="dxa"/>
        </w:tblCellMar>
        <w:tblLook w:val="0000" w:firstRow="0" w:lastRow="0" w:firstColumn="0" w:lastColumn="0" w:noHBand="0" w:noVBand="0"/>
      </w:tblPr>
      <w:tblGrid>
        <w:gridCol w:w="3763"/>
        <w:gridCol w:w="2484"/>
        <w:gridCol w:w="2258"/>
      </w:tblGrid>
      <w:tr w:rsidRPr="00943E8A" w:rsidR="002E0865" w:rsidTr="00943E8A" w14:paraId="7BCF0E9C" w14:textId="77777777">
        <w:trPr>
          <w:trHeight w:val="290"/>
        </w:trPr>
        <w:tc>
          <w:tcPr>
            <w:tcW w:w="3763" w:type="dxa"/>
            <w:tcBorders>
              <w:top w:val="single" w:color="auto" w:sz="2" w:space="0"/>
              <w:bottom w:val="single" w:color="auto" w:sz="2" w:space="0"/>
            </w:tcBorders>
            <w:tcMar>
              <w:left w:w="0" w:type="dxa"/>
              <w:right w:w="0" w:type="dxa"/>
            </w:tcMar>
          </w:tcPr>
          <w:p w:rsidRPr="00943E8A" w:rsidR="002E0865" w:rsidP="00943E8A" w:rsidRDefault="002E0865" w14:paraId="01479F8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b/>
                <w:bCs/>
                <w:color w:val="000000"/>
                <w:kern w:val="0"/>
                <w:sz w:val="20"/>
                <w:szCs w:val="20"/>
                <w14:numSpacing w14:val="default"/>
              </w:rPr>
            </w:pPr>
          </w:p>
        </w:tc>
        <w:tc>
          <w:tcPr>
            <w:tcW w:w="2484" w:type="dxa"/>
            <w:tcBorders>
              <w:top w:val="single" w:color="auto" w:sz="2" w:space="0"/>
              <w:bottom w:val="single" w:color="auto" w:sz="2" w:space="0"/>
            </w:tcBorders>
            <w:tcMar>
              <w:left w:w="0" w:type="dxa"/>
              <w:right w:w="0" w:type="dxa"/>
            </w:tcMar>
          </w:tcPr>
          <w:p w:rsidRPr="00943E8A" w:rsidR="002E0865" w:rsidP="00943E8A" w:rsidRDefault="002E0865" w14:paraId="33BE9E2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b/>
                <w:bCs/>
                <w:color w:val="000000"/>
                <w:kern w:val="0"/>
                <w:sz w:val="20"/>
                <w:szCs w:val="20"/>
                <w14:numSpacing w14:val="default"/>
              </w:rPr>
            </w:pPr>
            <w:r w:rsidRPr="00943E8A">
              <w:rPr>
                <w:rFonts w:asciiTheme="majorHAnsi" w:hAnsiTheme="majorHAnsi" w:cstheme="majorHAnsi"/>
                <w:b/>
                <w:bCs/>
                <w:color w:val="000000"/>
                <w:kern w:val="0"/>
                <w:sz w:val="20"/>
                <w:szCs w:val="20"/>
                <w14:numSpacing w14:val="default"/>
              </w:rPr>
              <w:t>Effekt på budgetsaldot</w:t>
            </w:r>
          </w:p>
        </w:tc>
        <w:tc>
          <w:tcPr>
            <w:tcW w:w="2258" w:type="dxa"/>
            <w:tcBorders>
              <w:top w:val="single" w:color="auto" w:sz="2" w:space="0"/>
              <w:bottom w:val="single" w:color="auto" w:sz="2" w:space="0"/>
            </w:tcBorders>
            <w:tcMar>
              <w:left w:w="0" w:type="dxa"/>
              <w:right w:w="0" w:type="dxa"/>
            </w:tcMar>
          </w:tcPr>
          <w:p w:rsidRPr="00943E8A" w:rsidR="002E0865" w:rsidP="00943E8A" w:rsidRDefault="002E0865" w14:paraId="32C6484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b/>
                <w:bCs/>
                <w:color w:val="000000"/>
                <w:kern w:val="0"/>
                <w:sz w:val="20"/>
                <w:szCs w:val="20"/>
                <w14:numSpacing w14:val="default"/>
              </w:rPr>
            </w:pPr>
            <w:r w:rsidRPr="00943E8A">
              <w:rPr>
                <w:rFonts w:asciiTheme="majorHAnsi" w:hAnsiTheme="majorHAnsi" w:cstheme="majorHAnsi"/>
                <w:b/>
                <w:bCs/>
                <w:color w:val="000000"/>
                <w:kern w:val="0"/>
                <w:sz w:val="20"/>
                <w:szCs w:val="20"/>
                <w14:numSpacing w14:val="default"/>
              </w:rPr>
              <w:t>Ökad upplåning</w:t>
            </w:r>
          </w:p>
        </w:tc>
      </w:tr>
      <w:tr w:rsidRPr="00943E8A" w:rsidR="002E0865" w:rsidTr="00943E8A" w14:paraId="6BD8B894" w14:textId="77777777">
        <w:trPr>
          <w:trHeight w:val="290"/>
        </w:trPr>
        <w:tc>
          <w:tcPr>
            <w:tcW w:w="3763" w:type="dxa"/>
            <w:tcBorders>
              <w:top w:val="single" w:color="auto" w:sz="2" w:space="0"/>
            </w:tcBorders>
            <w:tcMar>
              <w:left w:w="0" w:type="dxa"/>
              <w:right w:w="0" w:type="dxa"/>
            </w:tcMar>
          </w:tcPr>
          <w:p w:rsidRPr="00943E8A" w:rsidR="002E0865" w:rsidP="00943E8A" w:rsidRDefault="002E0865" w14:paraId="51707E2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color w:val="000000"/>
                <w:kern w:val="0"/>
                <w:sz w:val="20"/>
                <w:szCs w:val="20"/>
                <w14:numSpacing w14:val="default"/>
              </w:rPr>
            </w:pPr>
            <w:r w:rsidRPr="00943E8A">
              <w:rPr>
                <w:rFonts w:asciiTheme="majorHAnsi" w:hAnsiTheme="majorHAnsi" w:cstheme="majorHAnsi"/>
                <w:color w:val="000000"/>
                <w:kern w:val="0"/>
                <w:sz w:val="20"/>
                <w:szCs w:val="20"/>
                <w14:numSpacing w14:val="default"/>
              </w:rPr>
              <w:t>Försvaret</w:t>
            </w:r>
          </w:p>
        </w:tc>
        <w:tc>
          <w:tcPr>
            <w:tcW w:w="2484" w:type="dxa"/>
            <w:tcBorders>
              <w:top w:val="single" w:color="auto" w:sz="2" w:space="0"/>
            </w:tcBorders>
            <w:tcMar>
              <w:left w:w="0" w:type="dxa"/>
              <w:right w:w="0" w:type="dxa"/>
            </w:tcMar>
          </w:tcPr>
          <w:p w:rsidRPr="00943E8A" w:rsidR="002E0865" w:rsidP="00943E8A" w:rsidRDefault="002E0865" w14:paraId="63A5848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43E8A">
              <w:rPr>
                <w:rFonts w:asciiTheme="majorHAnsi" w:hAnsiTheme="majorHAnsi" w:cstheme="majorHAnsi"/>
                <w:color w:val="000000"/>
                <w:kern w:val="0"/>
                <w:sz w:val="20"/>
                <w:szCs w:val="20"/>
                <w14:numSpacing w14:val="default"/>
              </w:rPr>
              <w:t>60</w:t>
            </w:r>
          </w:p>
        </w:tc>
        <w:tc>
          <w:tcPr>
            <w:tcW w:w="2258" w:type="dxa"/>
            <w:tcBorders>
              <w:top w:val="single" w:color="auto" w:sz="2" w:space="0"/>
            </w:tcBorders>
            <w:tcMar>
              <w:left w:w="0" w:type="dxa"/>
              <w:right w:w="0" w:type="dxa"/>
            </w:tcMar>
          </w:tcPr>
          <w:p w:rsidRPr="00943E8A" w:rsidR="002E0865" w:rsidP="00943E8A" w:rsidRDefault="002E0865" w14:paraId="5FDAE6E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43E8A">
              <w:rPr>
                <w:rFonts w:asciiTheme="majorHAnsi" w:hAnsiTheme="majorHAnsi" w:cstheme="majorHAnsi"/>
                <w:color w:val="000000"/>
                <w:kern w:val="0"/>
                <w:sz w:val="20"/>
                <w:szCs w:val="20"/>
                <w14:numSpacing w14:val="default"/>
              </w:rPr>
              <w:t>300</w:t>
            </w:r>
          </w:p>
        </w:tc>
      </w:tr>
      <w:tr w:rsidRPr="00943E8A" w:rsidR="002E0865" w:rsidTr="00943E8A" w14:paraId="1BF369E3" w14:textId="77777777">
        <w:trPr>
          <w:trHeight w:val="290"/>
        </w:trPr>
        <w:tc>
          <w:tcPr>
            <w:tcW w:w="3763" w:type="dxa"/>
            <w:tcMar>
              <w:left w:w="0" w:type="dxa"/>
              <w:right w:w="0" w:type="dxa"/>
            </w:tcMar>
          </w:tcPr>
          <w:p w:rsidRPr="00943E8A" w:rsidR="002E0865" w:rsidP="00943E8A" w:rsidRDefault="002E0865" w14:paraId="742DFA5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color w:val="000000"/>
                <w:kern w:val="0"/>
                <w:sz w:val="20"/>
                <w:szCs w:val="20"/>
                <w14:numSpacing w14:val="default"/>
              </w:rPr>
            </w:pPr>
            <w:r w:rsidRPr="00943E8A">
              <w:rPr>
                <w:rFonts w:asciiTheme="majorHAnsi" w:hAnsiTheme="majorHAnsi" w:cstheme="majorHAnsi"/>
                <w:color w:val="000000"/>
                <w:kern w:val="0"/>
                <w:sz w:val="20"/>
                <w:szCs w:val="20"/>
                <w14:numSpacing w14:val="default"/>
              </w:rPr>
              <w:t xml:space="preserve">Kärnkraften </w:t>
            </w:r>
          </w:p>
        </w:tc>
        <w:tc>
          <w:tcPr>
            <w:tcW w:w="2484" w:type="dxa"/>
            <w:tcMar>
              <w:left w:w="0" w:type="dxa"/>
              <w:right w:w="0" w:type="dxa"/>
            </w:tcMar>
          </w:tcPr>
          <w:p w:rsidRPr="00943E8A" w:rsidR="002E0865" w:rsidP="00943E8A" w:rsidRDefault="002E0865" w14:paraId="22EA40D0" w14:textId="1ACD85AA">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43E8A">
              <w:rPr>
                <w:rFonts w:asciiTheme="majorHAnsi" w:hAnsiTheme="majorHAnsi" w:cstheme="majorHAnsi"/>
                <w:color w:val="000000"/>
                <w:kern w:val="0"/>
                <w:sz w:val="20"/>
                <w:szCs w:val="20"/>
                <w14:numSpacing w14:val="default"/>
              </w:rPr>
              <w:t>10–40</w:t>
            </w:r>
          </w:p>
        </w:tc>
        <w:tc>
          <w:tcPr>
            <w:tcW w:w="2258" w:type="dxa"/>
            <w:tcMar>
              <w:left w:w="0" w:type="dxa"/>
              <w:right w:w="0" w:type="dxa"/>
            </w:tcMar>
          </w:tcPr>
          <w:p w:rsidRPr="00943E8A" w:rsidR="002E0865" w:rsidP="00943E8A" w:rsidRDefault="002E0865" w14:paraId="0FC5379E" w14:textId="4D977A06">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943E8A">
              <w:rPr>
                <w:rFonts w:asciiTheme="majorHAnsi" w:hAnsiTheme="majorHAnsi" w:cstheme="majorHAnsi"/>
                <w:color w:val="000000"/>
                <w:kern w:val="0"/>
                <w:sz w:val="20"/>
                <w:szCs w:val="20"/>
                <w14:numSpacing w14:val="default"/>
              </w:rPr>
              <w:t>300–600</w:t>
            </w:r>
          </w:p>
        </w:tc>
      </w:tr>
      <w:tr w:rsidRPr="00943E8A" w:rsidR="002E0865" w:rsidTr="00943E8A" w14:paraId="1F76C2A7" w14:textId="77777777">
        <w:trPr>
          <w:trHeight w:val="305"/>
        </w:trPr>
        <w:tc>
          <w:tcPr>
            <w:tcW w:w="3763" w:type="dxa"/>
            <w:tcBorders>
              <w:bottom w:val="single" w:color="auto" w:sz="2" w:space="0"/>
            </w:tcBorders>
            <w:tcMar>
              <w:left w:w="0" w:type="dxa"/>
              <w:right w:w="0" w:type="dxa"/>
            </w:tcMar>
          </w:tcPr>
          <w:p w:rsidRPr="00943E8A" w:rsidR="002E0865" w:rsidP="00943E8A" w:rsidRDefault="002E0865" w14:paraId="6431F9D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b/>
                <w:bCs/>
                <w:color w:val="000000"/>
                <w:kern w:val="0"/>
                <w:sz w:val="20"/>
                <w:szCs w:val="20"/>
                <w14:numSpacing w14:val="default"/>
              </w:rPr>
            </w:pPr>
            <w:r w:rsidRPr="00943E8A">
              <w:rPr>
                <w:rFonts w:asciiTheme="majorHAnsi" w:hAnsiTheme="majorHAnsi" w:cstheme="majorHAnsi"/>
                <w:b/>
                <w:bCs/>
                <w:color w:val="000000"/>
                <w:kern w:val="0"/>
                <w:sz w:val="20"/>
                <w:szCs w:val="20"/>
                <w14:numSpacing w14:val="default"/>
              </w:rPr>
              <w:t>Totalt</w:t>
            </w:r>
          </w:p>
        </w:tc>
        <w:tc>
          <w:tcPr>
            <w:tcW w:w="2484" w:type="dxa"/>
            <w:tcBorders>
              <w:bottom w:val="single" w:color="auto" w:sz="2" w:space="0"/>
            </w:tcBorders>
            <w:tcMar>
              <w:left w:w="0" w:type="dxa"/>
              <w:right w:w="0" w:type="dxa"/>
            </w:tcMar>
          </w:tcPr>
          <w:p w:rsidRPr="00943E8A" w:rsidR="002E0865" w:rsidP="00943E8A" w:rsidRDefault="002E0865" w14:paraId="6C4B694D" w14:textId="4EDA86E5">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b/>
                <w:bCs/>
                <w:color w:val="000000"/>
                <w:kern w:val="0"/>
                <w:sz w:val="20"/>
                <w:szCs w:val="20"/>
                <w14:numSpacing w14:val="default"/>
              </w:rPr>
            </w:pPr>
            <w:r w:rsidRPr="00943E8A">
              <w:rPr>
                <w:rFonts w:asciiTheme="majorHAnsi" w:hAnsiTheme="majorHAnsi" w:cstheme="majorHAnsi"/>
                <w:b/>
                <w:bCs/>
                <w:color w:val="000000"/>
                <w:kern w:val="0"/>
                <w:sz w:val="20"/>
                <w:szCs w:val="20"/>
                <w14:numSpacing w14:val="default"/>
              </w:rPr>
              <w:t>70–100</w:t>
            </w:r>
          </w:p>
        </w:tc>
        <w:tc>
          <w:tcPr>
            <w:tcW w:w="2258" w:type="dxa"/>
            <w:tcBorders>
              <w:bottom w:val="single" w:color="auto" w:sz="2" w:space="0"/>
            </w:tcBorders>
            <w:tcMar>
              <w:left w:w="0" w:type="dxa"/>
              <w:right w:w="0" w:type="dxa"/>
            </w:tcMar>
          </w:tcPr>
          <w:p w:rsidRPr="00943E8A" w:rsidR="002E0865" w:rsidP="00943E8A" w:rsidRDefault="002E0865" w14:paraId="24139CE5" w14:textId="054F206B">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b/>
                <w:bCs/>
                <w:color w:val="000000"/>
                <w:kern w:val="0"/>
                <w:sz w:val="20"/>
                <w:szCs w:val="20"/>
                <w14:numSpacing w14:val="default"/>
              </w:rPr>
            </w:pPr>
            <w:r w:rsidRPr="00943E8A">
              <w:rPr>
                <w:rFonts w:asciiTheme="majorHAnsi" w:hAnsiTheme="majorHAnsi" w:cstheme="majorHAnsi"/>
                <w:b/>
                <w:bCs/>
                <w:color w:val="000000"/>
                <w:kern w:val="0"/>
                <w:sz w:val="20"/>
                <w:szCs w:val="20"/>
                <w14:numSpacing w14:val="default"/>
              </w:rPr>
              <w:t>600–1 000</w:t>
            </w:r>
          </w:p>
        </w:tc>
      </w:tr>
    </w:tbl>
    <w:p w:rsidRPr="003E67AC" w:rsidR="00891927" w:rsidP="00EC7099" w:rsidRDefault="00142AAA" w14:paraId="17D509BF" w14:textId="583B3D2F">
      <w:pPr>
        <w:pStyle w:val="Normalutanindragellerluft"/>
        <w:spacing w:before="150"/>
        <w:rPr>
          <w:lang w:eastAsia="sv-SE"/>
        </w:rPr>
      </w:pPr>
      <w:r w:rsidRPr="003E67AC">
        <w:t>Sammantaget</w:t>
      </w:r>
      <w:r w:rsidRPr="003E67AC">
        <w:rPr>
          <w:lang w:eastAsia="sv-SE"/>
        </w:rPr>
        <w:t xml:space="preserve"> innebär regeringens hantering av försvars- och kärnkraftsutbyggnaden att förtroendet för det finanspolitiska ramverket riskerar att skadas.</w:t>
      </w:r>
    </w:p>
    <w:p w:rsidRPr="003E67AC" w:rsidR="00446F45" w:rsidP="006C5821" w:rsidRDefault="00960855" w14:paraId="12C40747" w14:textId="23677BBC">
      <w:pPr>
        <w:pStyle w:val="Rubrik1numrerat"/>
      </w:pPr>
      <w:bookmarkStart w:name="_Toc197351630" w:id="17"/>
      <w:r w:rsidRPr="003E67AC">
        <w:t>Stoppa rånet av hushållen!</w:t>
      </w:r>
      <w:bookmarkEnd w:id="17"/>
    </w:p>
    <w:p w:rsidRPr="003E67AC" w:rsidR="00045F22" w:rsidP="00D219BE" w:rsidRDefault="006127F0" w14:paraId="4D354ADD" w14:textId="52F3932A">
      <w:pPr>
        <w:pStyle w:val="Normalutanindragellerluft"/>
        <w:rPr>
          <w:lang w:eastAsia="sv-SE"/>
        </w:rPr>
      </w:pPr>
      <w:r w:rsidRPr="003E67AC">
        <w:rPr>
          <w:lang w:eastAsia="sv-SE"/>
        </w:rPr>
        <w:t xml:space="preserve">Regeringen har sedan den tillträdde hösten 2022 drivit linjen att </w:t>
      </w:r>
      <w:r w:rsidRPr="003E67AC" w:rsidR="00E20BC4">
        <w:rPr>
          <w:lang w:eastAsia="sv-SE"/>
        </w:rPr>
        <w:t xml:space="preserve">det bästa de kan göra </w:t>
      </w:r>
      <w:r w:rsidRPr="003E67AC">
        <w:rPr>
          <w:lang w:eastAsia="sv-SE"/>
        </w:rPr>
        <w:t xml:space="preserve">för att bekämpa inflationen och underlätta för hushållen i kostnadskrisen är </w:t>
      </w:r>
      <w:r w:rsidRPr="003E67AC" w:rsidR="00D657F8">
        <w:rPr>
          <w:lang w:eastAsia="sv-SE"/>
        </w:rPr>
        <w:t>–</w:t>
      </w:r>
      <w:r w:rsidRPr="003E67AC" w:rsidR="00E20BC4">
        <w:rPr>
          <w:lang w:eastAsia="sv-SE"/>
        </w:rPr>
        <w:t xml:space="preserve"> ingenting</w:t>
      </w:r>
      <w:r w:rsidRPr="003E67AC">
        <w:rPr>
          <w:lang w:eastAsia="sv-SE"/>
        </w:rPr>
        <w:t xml:space="preserve">. </w:t>
      </w:r>
      <w:r w:rsidRPr="00D219BE" w:rsidR="00D657F8">
        <w:rPr>
          <w:spacing w:val="-2"/>
          <w:lang w:eastAsia="sv-SE"/>
        </w:rPr>
        <w:t xml:space="preserve">Ändå </w:t>
      </w:r>
      <w:r w:rsidRPr="00D219BE" w:rsidR="00E20BC4">
        <w:rPr>
          <w:spacing w:val="-2"/>
          <w:lang w:eastAsia="sv-SE"/>
        </w:rPr>
        <w:t>övergick man från att göra ingenting till att kraftigt sänka skatter för de allra rikaste.</w:t>
      </w:r>
      <w:r w:rsidRPr="003E67AC" w:rsidR="00E20BC4">
        <w:rPr>
          <w:lang w:eastAsia="sv-SE"/>
        </w:rPr>
        <w:t xml:space="preserve"> </w:t>
      </w:r>
      <w:r w:rsidRPr="003E67AC" w:rsidR="00D657F8">
        <w:rPr>
          <w:lang w:eastAsia="sv-SE"/>
        </w:rPr>
        <w:t>D</w:t>
      </w:r>
      <w:r w:rsidRPr="003E67AC">
        <w:rPr>
          <w:lang w:eastAsia="sv-SE"/>
        </w:rPr>
        <w:t xml:space="preserve">et finns </w:t>
      </w:r>
      <w:r w:rsidRPr="003E67AC" w:rsidR="00D657F8">
        <w:rPr>
          <w:lang w:eastAsia="sv-SE"/>
        </w:rPr>
        <w:t xml:space="preserve">dock </w:t>
      </w:r>
      <w:r w:rsidRPr="003E67AC">
        <w:rPr>
          <w:lang w:eastAsia="sv-SE"/>
        </w:rPr>
        <w:t xml:space="preserve">mycket lite som talar för att detta </w:t>
      </w:r>
      <w:r w:rsidRPr="003E67AC" w:rsidR="00B67150">
        <w:rPr>
          <w:lang w:eastAsia="sv-SE"/>
        </w:rPr>
        <w:t>har varit</w:t>
      </w:r>
      <w:r w:rsidRPr="003E67AC">
        <w:rPr>
          <w:lang w:eastAsia="sv-SE"/>
        </w:rPr>
        <w:t xml:space="preserve"> rätt strategi.</w:t>
      </w:r>
      <w:r w:rsidRPr="003E67AC" w:rsidR="00045F22">
        <w:rPr>
          <w:lang w:eastAsia="sv-SE"/>
        </w:rPr>
        <w:t xml:space="preserve"> Ett mer kraftfullt agerande från regeringens sida för att skapa fungerande marknader och </w:t>
      </w:r>
      <w:r w:rsidRPr="00276B17" w:rsidR="00045F22">
        <w:rPr>
          <w:spacing w:val="-1"/>
          <w:lang w:eastAsia="sv-SE"/>
        </w:rPr>
        <w:lastRenderedPageBreak/>
        <w:t>förhindra uttaget av övervinster hade gett hushållen helt andra ekonomiska förutsättningar</w:t>
      </w:r>
      <w:r w:rsidRPr="003E67AC" w:rsidR="00B67150">
        <w:rPr>
          <w:lang w:eastAsia="sv-SE"/>
        </w:rPr>
        <w:t xml:space="preserve"> – och därmed sannolikt en annan </w:t>
      </w:r>
      <w:r w:rsidRPr="003E67AC" w:rsidR="00FB78F7">
        <w:rPr>
          <w:lang w:eastAsia="sv-SE"/>
        </w:rPr>
        <w:t>konjunktur</w:t>
      </w:r>
      <w:r w:rsidRPr="003E67AC" w:rsidR="00B67150">
        <w:rPr>
          <w:lang w:eastAsia="sv-SE"/>
        </w:rPr>
        <w:t>utveckling</w:t>
      </w:r>
      <w:r w:rsidRPr="003E67AC" w:rsidR="00045F22">
        <w:rPr>
          <w:lang w:eastAsia="sv-SE"/>
        </w:rPr>
        <w:t>.</w:t>
      </w:r>
    </w:p>
    <w:p w:rsidRPr="003E67AC" w:rsidR="00045F22" w:rsidP="00943E8A" w:rsidRDefault="00B67150" w14:paraId="07C63594" w14:textId="0A137C51">
      <w:pPr>
        <w:rPr>
          <w:lang w:eastAsia="sv-SE"/>
        </w:rPr>
      </w:pPr>
      <w:r w:rsidRPr="00D219BE">
        <w:rPr>
          <w:spacing w:val="-1"/>
          <w:lang w:eastAsia="sv-SE"/>
        </w:rPr>
        <w:t>Det handlar om oligopolmarknader såsom l</w:t>
      </w:r>
      <w:r w:rsidRPr="00D219BE" w:rsidR="00045F22">
        <w:rPr>
          <w:spacing w:val="-1"/>
          <w:lang w:eastAsia="sv-SE"/>
        </w:rPr>
        <w:t>ivsmedelsjättarnas</w:t>
      </w:r>
      <w:r w:rsidRPr="00D219BE" w:rsidR="00497082">
        <w:rPr>
          <w:spacing w:val="-1"/>
          <w:lang w:eastAsia="sv-SE"/>
        </w:rPr>
        <w:t xml:space="preserve"> </w:t>
      </w:r>
      <w:r w:rsidRPr="00D219BE">
        <w:rPr>
          <w:spacing w:val="-1"/>
          <w:lang w:eastAsia="sv-SE"/>
        </w:rPr>
        <w:t>skamlösa prishöjningar</w:t>
      </w:r>
      <w:r w:rsidRPr="003E67AC">
        <w:rPr>
          <w:lang w:eastAsia="sv-SE"/>
        </w:rPr>
        <w:t xml:space="preserve"> och </w:t>
      </w:r>
      <w:r w:rsidRPr="003E67AC" w:rsidR="00497082">
        <w:rPr>
          <w:lang w:eastAsia="sv-SE"/>
        </w:rPr>
        <w:t xml:space="preserve">stora vinstuttag </w:t>
      </w:r>
      <w:r w:rsidRPr="003E67AC" w:rsidR="00E7778A">
        <w:rPr>
          <w:lang w:eastAsia="sv-SE"/>
        </w:rPr>
        <w:t>och</w:t>
      </w:r>
      <w:r w:rsidRPr="003E67AC" w:rsidR="00497082">
        <w:rPr>
          <w:lang w:eastAsia="sv-SE"/>
        </w:rPr>
        <w:t xml:space="preserve"> bankernas enorma pengaregn över sina ägare</w:t>
      </w:r>
      <w:r w:rsidRPr="003E67AC">
        <w:rPr>
          <w:lang w:eastAsia="sv-SE"/>
        </w:rPr>
        <w:t>.</w:t>
      </w:r>
      <w:r w:rsidRPr="003E67AC" w:rsidR="00497082">
        <w:rPr>
          <w:lang w:eastAsia="sv-SE"/>
        </w:rPr>
        <w:t xml:space="preserve"> </w:t>
      </w:r>
      <w:r w:rsidRPr="003E67AC">
        <w:rPr>
          <w:lang w:eastAsia="sv-SE"/>
        </w:rPr>
        <w:t>Det handlar om a</w:t>
      </w:r>
      <w:r w:rsidRPr="003E67AC" w:rsidR="00497082">
        <w:rPr>
          <w:lang w:eastAsia="sv-SE"/>
        </w:rPr>
        <w:t xml:space="preserve">tt svenska elproducenter tjänar på att svenska hushåll ska betala samma pris </w:t>
      </w:r>
      <w:r w:rsidRPr="003E67AC" w:rsidR="0006152F">
        <w:rPr>
          <w:lang w:eastAsia="sv-SE"/>
        </w:rPr>
        <w:t xml:space="preserve">för </w:t>
      </w:r>
      <w:r w:rsidRPr="003E67AC" w:rsidR="00497082">
        <w:rPr>
          <w:lang w:eastAsia="sv-SE"/>
        </w:rPr>
        <w:t>all el som</w:t>
      </w:r>
      <w:r w:rsidR="00A61394">
        <w:rPr>
          <w:lang w:eastAsia="sv-SE"/>
        </w:rPr>
        <w:t xml:space="preserve"> för</w:t>
      </w:r>
      <w:r w:rsidRPr="003E67AC" w:rsidR="00497082">
        <w:rPr>
          <w:lang w:eastAsia="sv-SE"/>
        </w:rPr>
        <w:t xml:space="preserve"> den sist inköpta enheten, om monopolmarkn</w:t>
      </w:r>
      <w:r w:rsidRPr="003E67AC" w:rsidR="00E7778A">
        <w:rPr>
          <w:lang w:eastAsia="sv-SE"/>
        </w:rPr>
        <w:t>a</w:t>
      </w:r>
      <w:r w:rsidRPr="003E67AC" w:rsidR="00497082">
        <w:rPr>
          <w:lang w:eastAsia="sv-SE"/>
        </w:rPr>
        <w:t xml:space="preserve">der som elnätet och att den här regeringen vill tvinga hushållen att betala priset för </w:t>
      </w:r>
      <w:r w:rsidRPr="003E67AC">
        <w:rPr>
          <w:lang w:eastAsia="sv-SE"/>
        </w:rPr>
        <w:t xml:space="preserve">en mycket kostsam och </w:t>
      </w:r>
      <w:r w:rsidRPr="003E67AC" w:rsidR="00497082">
        <w:rPr>
          <w:lang w:eastAsia="sv-SE"/>
        </w:rPr>
        <w:t>olönsam kärnkraftsutbyggnad.</w:t>
      </w:r>
    </w:p>
    <w:p w:rsidRPr="003E67AC" w:rsidR="006127F0" w:rsidP="00943E8A" w:rsidRDefault="006127F0" w14:paraId="61F9FA8B" w14:textId="3CE92513">
      <w:pPr>
        <w:rPr>
          <w:lang w:eastAsia="sv-SE"/>
        </w:rPr>
      </w:pPr>
      <w:r w:rsidRPr="003E67AC">
        <w:rPr>
          <w:lang w:eastAsia="sv-SE"/>
        </w:rPr>
        <w:t xml:space="preserve">Det </w:t>
      </w:r>
      <w:r w:rsidRPr="003E67AC" w:rsidR="00B67150">
        <w:rPr>
          <w:lang w:eastAsia="sv-SE"/>
        </w:rPr>
        <w:t>hade</w:t>
      </w:r>
      <w:r w:rsidRPr="003E67AC">
        <w:rPr>
          <w:lang w:eastAsia="sv-SE"/>
        </w:rPr>
        <w:t xml:space="preserve"> också </w:t>
      </w:r>
      <w:r w:rsidRPr="003E67AC" w:rsidR="00B67150">
        <w:rPr>
          <w:lang w:eastAsia="sv-SE"/>
        </w:rPr>
        <w:t xml:space="preserve">varit </w:t>
      </w:r>
      <w:r w:rsidRPr="003E67AC">
        <w:rPr>
          <w:lang w:eastAsia="sv-SE"/>
        </w:rPr>
        <w:t>möjligt att skydda välfärden i krisen och att ge hushållen större marginaler utan att bidra till att spä på inflationen. Sverige är ett av de länder som har lagt minst resurser på att skydda hushåll och företag i kostnadskrisen.</w:t>
      </w:r>
      <w:r w:rsidRPr="00EC1665">
        <w:rPr>
          <w:rStyle w:val="Fotnotsreferens"/>
        </w:rPr>
        <w:footnoteReference w:id="6"/>
      </w:r>
    </w:p>
    <w:p w:rsidRPr="003E67AC" w:rsidR="00FB40AF" w:rsidP="006C5821" w:rsidRDefault="00FB40AF" w14:paraId="44A2CE42" w14:textId="77777777">
      <w:pPr>
        <w:pStyle w:val="Rubrik2numrerat"/>
      </w:pPr>
      <w:bookmarkStart w:name="_Toc147246910" w:id="18"/>
      <w:bookmarkStart w:name="_Toc147246909" w:id="19"/>
      <w:bookmarkStart w:name="_Toc197351631" w:id="20"/>
      <w:r w:rsidRPr="003E67AC">
        <w:t>Ta kontroll över de skenande matpriserna</w:t>
      </w:r>
      <w:bookmarkEnd w:id="18"/>
      <w:bookmarkEnd w:id="20"/>
    </w:p>
    <w:p w:rsidRPr="003E67AC" w:rsidR="00423D2F" w:rsidP="00943E8A" w:rsidRDefault="00FB40AF" w14:paraId="5A0F5777" w14:textId="21FBEEA5">
      <w:pPr>
        <w:pStyle w:val="Normalutanindragellerluft"/>
      </w:pPr>
      <w:r w:rsidRPr="003E67AC">
        <w:t>Den svenska livsmedelsmarkn</w:t>
      </w:r>
      <w:r w:rsidRPr="003E67AC" w:rsidR="006734A0">
        <w:t>a</w:t>
      </w:r>
      <w:r w:rsidRPr="003E67AC">
        <w:t xml:space="preserve">den sticker ut på två sätt i en internationell jämförelse. För det första domineras den helt av ett litet antal extremt stora aktörer, för det andra präglas den av internationellt sett höga priser. </w:t>
      </w:r>
      <w:r w:rsidRPr="003E67AC" w:rsidR="00423D2F">
        <w:t>Den svenska marknaden för dagligvaru</w:t>
      </w:r>
      <w:r w:rsidR="00D219BE">
        <w:softHyphen/>
      </w:r>
      <w:r w:rsidRPr="003E67AC" w:rsidR="00423D2F">
        <w:t>handel är koncentrerad till fyra aktörer som har ett större butiksnät och en egen</w:t>
      </w:r>
      <w:r w:rsidRPr="003E67AC" w:rsidR="002F32BD">
        <w:t xml:space="preserve"> </w:t>
      </w:r>
      <w:r w:rsidRPr="003E67AC" w:rsidR="00423D2F">
        <w:t>inköps</w:t>
      </w:r>
      <w:r w:rsidR="00D219BE">
        <w:softHyphen/>
      </w:r>
      <w:r w:rsidRPr="003E67AC" w:rsidR="00423D2F">
        <w:t xml:space="preserve">verksamhet: Ica, Axfood, Coop och Lidl. </w:t>
      </w:r>
      <w:r w:rsidRPr="003E67AC">
        <w:t>I</w:t>
      </w:r>
      <w:r w:rsidR="00A61394">
        <w:t>ca</w:t>
      </w:r>
      <w:r w:rsidRPr="003E67AC">
        <w:t xml:space="preserve"> ensamt har en marknadsandel på ca 50 procent</w:t>
      </w:r>
      <w:r w:rsidRPr="003E67AC" w:rsidR="00FA512B">
        <w:t xml:space="preserve"> och gjorde en vinst på totalt 26 miljarder kronor förra året (2024)</w:t>
      </w:r>
      <w:r w:rsidRPr="003E67AC">
        <w:t>.</w:t>
      </w:r>
      <w:r w:rsidRPr="003E67AC" w:rsidR="00423D2F">
        <w:t xml:space="preserve"> </w:t>
      </w:r>
      <w:r w:rsidRPr="003E67AC" w:rsidR="00E44419">
        <w:t>Konkurrens</w:t>
      </w:r>
      <w:r w:rsidR="00D219BE">
        <w:softHyphen/>
      </w:r>
      <w:r w:rsidRPr="003E67AC" w:rsidR="00E44419">
        <w:t>verket konstaterar att ”det är en koncentrerad marknad med få aktörer, en s.k. oligopol</w:t>
      </w:r>
      <w:r w:rsidR="00D219BE">
        <w:softHyphen/>
      </w:r>
      <w:r w:rsidRPr="003E67AC" w:rsidR="00E44419">
        <w:t>marknad”.</w:t>
      </w:r>
      <w:r w:rsidRPr="00EC1665" w:rsidR="00E44419">
        <w:rPr>
          <w:rStyle w:val="Fotnotsreferens"/>
        </w:rPr>
        <w:footnoteReference w:id="7"/>
      </w:r>
      <w:r w:rsidRPr="003E67AC" w:rsidR="00E44419">
        <w:t xml:space="preserve"> </w:t>
      </w:r>
      <w:r w:rsidRPr="003E67AC" w:rsidR="00423D2F">
        <w:t xml:space="preserve">I </w:t>
      </w:r>
      <w:r w:rsidRPr="003E67AC" w:rsidR="0006152F">
        <w:t>så mycket som</w:t>
      </w:r>
      <w:r w:rsidRPr="003E67AC" w:rsidR="00423D2F">
        <w:t xml:space="preserve"> var tredje kommun finns endast en eller två etablerade dagligvaruaktörer. Det saknas vidare lågprisbutiker i 102 av Sveriges 290 kommuner, vilket innebär att c</w:t>
      </w:r>
      <w:r w:rsidR="00A61394">
        <w:t>irk</w:t>
      </w:r>
      <w:r w:rsidRPr="003E67AC" w:rsidR="00423D2F">
        <w:t>a en miljon invånare inte har tillgång till en lågprisbutik i sin kommun.</w:t>
      </w:r>
      <w:r w:rsidRPr="003E67AC" w:rsidR="007724AF">
        <w:rPr>
          <w:rStyle w:val="Fotnotsreferens"/>
        </w:rPr>
        <w:footnoteReference w:id="8"/>
      </w:r>
    </w:p>
    <w:p w:rsidRPr="003E67AC" w:rsidR="00FB40AF" w:rsidP="00943E8A" w:rsidRDefault="00FB40AF" w14:paraId="34CF9C35" w14:textId="5C58057B">
      <w:r w:rsidRPr="003E67AC">
        <w:t xml:space="preserve">Till skillnad </w:t>
      </w:r>
      <w:r w:rsidR="00A61394">
        <w:t xml:space="preserve">från </w:t>
      </w:r>
      <w:r w:rsidRPr="003E67AC">
        <w:t xml:space="preserve">en ”riktig” marknad där enskilda företag </w:t>
      </w:r>
      <w:r w:rsidRPr="003E67AC" w:rsidR="00FA50C6">
        <w:t xml:space="preserve">har svårt att </w:t>
      </w:r>
      <w:r w:rsidRPr="003E67AC">
        <w:t>påverka priset, innebär en oligopolmarknad att det är lätt att följa varandras agerande. Det innebär att priset på mat snarare handlar om hur dessa företag beter sig mot varandra för att maximera vinsten. Dessutom karakteriseras matmarknaden av att grossistledet (partihandeln) också har en betydande koncentration, där I</w:t>
      </w:r>
      <w:r w:rsidR="00A61394">
        <w:t>ca</w:t>
      </w:r>
      <w:r w:rsidRPr="003E67AC">
        <w:t xml:space="preserve">, Coop och Axfood helt </w:t>
      </w:r>
      <w:r w:rsidRPr="003E67AC">
        <w:lastRenderedPageBreak/>
        <w:t xml:space="preserve">dominerar. Om vinsterna ska hamna i partihandeln eller butik är en närmast administrativ affär inom företaget. </w:t>
      </w:r>
    </w:p>
    <w:p w:rsidRPr="003E67AC" w:rsidR="00FB40AF" w:rsidP="00943E8A" w:rsidRDefault="00FB40AF" w14:paraId="1BA87C1E" w14:textId="33DEE45C">
      <w:r w:rsidRPr="003E67AC">
        <w:t>Sett i ett internationellt perspektiv är Sverige</w:t>
      </w:r>
      <w:r w:rsidRPr="003E67AC" w:rsidR="002F32BD">
        <w:t>, tillsamman</w:t>
      </w:r>
      <w:r w:rsidR="00A61394">
        <w:t>s</w:t>
      </w:r>
      <w:r w:rsidRPr="003E67AC" w:rsidR="002F32BD">
        <w:t xml:space="preserve"> med de andra </w:t>
      </w:r>
      <w:r w:rsidRPr="003E67AC" w:rsidR="0072010A">
        <w:t>n</w:t>
      </w:r>
      <w:r w:rsidRPr="003E67AC" w:rsidR="002F32BD">
        <w:t>ordiska länderna,</w:t>
      </w:r>
      <w:r w:rsidRPr="003E67AC">
        <w:t xml:space="preserve"> bland de dyraste länderna när Eurostat jämför en liknande matkorg mellan länder i Europa</w:t>
      </w:r>
      <w:r w:rsidR="00BD53F7">
        <w:t xml:space="preserve"> </w:t>
      </w:r>
      <w:r w:rsidRPr="003E67AC">
        <w:t>och ligger högt över genomsnittet för EU-2</w:t>
      </w:r>
      <w:r w:rsidRPr="003E67AC" w:rsidR="00B75619">
        <w:t>7</w:t>
      </w:r>
      <w:r w:rsidRPr="003E67AC">
        <w:t>.</w:t>
      </w:r>
      <w:r w:rsidRPr="003E67AC" w:rsidR="00B330E4">
        <w:rPr>
          <w:rStyle w:val="Fotnotsreferens"/>
        </w:rPr>
        <w:footnoteReference w:id="9"/>
      </w:r>
    </w:p>
    <w:p w:rsidRPr="003E67AC" w:rsidR="00DD27C1" w:rsidP="00943E8A" w:rsidRDefault="00DD27C1" w14:paraId="154C4594" w14:textId="08EB6282">
      <w:pPr>
        <w:rPr>
          <w:noProof/>
        </w:rPr>
      </w:pPr>
      <w:r w:rsidRPr="003E67AC">
        <w:t>Livsmedelspriserna har ökat med 29 procent i Sverige sedan januari 2022. Enligt Eurostat är detta i nivå med den genomsnittliga prisutvecklingen i EU. Dock skiljer sig prisökningstakten betydligt mellan olika länder</w:t>
      </w:r>
      <w:r w:rsidR="00BD53F7">
        <w:t>,</w:t>
      </w:r>
      <w:r w:rsidRPr="003E67AC">
        <w:t xml:space="preserve"> och i de övriga nordiska länderna har priserna ökat </w:t>
      </w:r>
      <w:r w:rsidRPr="003E67AC" w:rsidR="00767FCB">
        <w:t>avsevärt</w:t>
      </w:r>
      <w:r w:rsidRPr="003E67AC">
        <w:t xml:space="preserve"> långsammare.</w:t>
      </w:r>
    </w:p>
    <w:p w:rsidRPr="003E67AC" w:rsidR="00170469" w:rsidP="0022557B" w:rsidRDefault="00170469" w14:paraId="127BE33C" w14:textId="04E2CC88">
      <w:pPr>
        <w:pStyle w:val="Tabellrubrik"/>
        <w:spacing w:before="300"/>
      </w:pPr>
      <w:r w:rsidRPr="003E67AC">
        <w:t xml:space="preserve">Figur </w:t>
      </w:r>
      <w:r w:rsidRPr="003E67AC" w:rsidR="004F1979">
        <w:t>12</w:t>
      </w:r>
      <w:r w:rsidRPr="003E67AC">
        <w:t xml:space="preserve"> Prisutvecklingsindex, livsmedel och icke alkoholhaltiga drycker i Norden, Nederländerna, Tyskland och EU-27</w:t>
      </w:r>
    </w:p>
    <w:p w:rsidRPr="003E67AC" w:rsidR="00170469" w:rsidP="00170469" w:rsidRDefault="003451A3" w14:paraId="464D27FB" w14:textId="3C506C33">
      <w:pPr>
        <w:pStyle w:val="Tabellunderrubrik"/>
      </w:pPr>
      <w:r>
        <w:t>Augusti</w:t>
      </w:r>
      <w:r w:rsidRPr="003E67AC" w:rsidR="00170469">
        <w:t xml:space="preserve"> 2021 till februari 2025</w:t>
      </w:r>
      <w:r>
        <w:t>,</w:t>
      </w:r>
      <w:r w:rsidRPr="003E67AC" w:rsidR="00170469">
        <w:t xml:space="preserve"> HICP</w:t>
      </w:r>
      <w:r w:rsidRPr="003E67AC" w:rsidR="00065134">
        <w:t xml:space="preserve"> </w:t>
      </w:r>
      <w:r w:rsidRPr="003E67AC" w:rsidR="00170469">
        <w:rPr>
          <w:rStyle w:val="Fotnotsreferens"/>
        </w:rPr>
        <w:footnoteReference w:id="10"/>
      </w:r>
    </w:p>
    <w:p w:rsidRPr="00943E8A" w:rsidR="00170469" w:rsidP="00170469" w:rsidRDefault="00281A33" w14:paraId="509D296A" w14:textId="670D338D">
      <w:pPr>
        <w:ind w:firstLine="0"/>
      </w:pPr>
      <w:r w:rsidRPr="003E67AC">
        <w:rPr>
          <w:noProof/>
          <w14:numSpacing w14:val="default"/>
        </w:rPr>
        <w:drawing>
          <wp:inline distT="0" distB="0" distL="0" distR="0" wp14:anchorId="22EA41AF" wp14:editId="0DB44671">
            <wp:extent cx="5400040" cy="2986405"/>
            <wp:effectExtent l="0" t="0" r="10160" b="4445"/>
            <wp:docPr id="17" name="Diagram 17" descr="">
              <a:extLst xmlns:a="http://schemas.openxmlformats.org/drawingml/2006/main">
                <a:ext uri="{FF2B5EF4-FFF2-40B4-BE49-F238E27FC236}">
                  <a16:creationId xmlns:a16="http://schemas.microsoft.com/office/drawing/2014/main" id="{0458DCF1-8F3B-45AD-A4B8-05443E8964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Pr="003E67AC" w:rsidR="00FC6AE6" w:rsidP="0022557B" w:rsidRDefault="00373B89" w14:paraId="71ED0D2A" w14:textId="7453C5D4">
      <w:pPr>
        <w:pStyle w:val="Klla"/>
        <w:spacing w:before="40"/>
      </w:pPr>
      <w:r w:rsidRPr="003E67AC">
        <w:t>Källa: Eurostat</w:t>
      </w:r>
      <w:r w:rsidR="003451A3">
        <w:t>.</w:t>
      </w:r>
    </w:p>
    <w:p w:rsidRPr="003E67AC" w:rsidR="00AD2887" w:rsidP="00EC7099" w:rsidRDefault="00AD2887" w14:paraId="2386D363" w14:textId="59CF7755">
      <w:pPr>
        <w:pStyle w:val="Normalutanindragellerluft"/>
        <w:spacing w:before="150"/>
      </w:pPr>
      <w:r w:rsidRPr="003E67AC">
        <w:t>Konkurrensverket</w:t>
      </w:r>
      <w:r w:rsidRPr="003E67AC" w:rsidR="00481700">
        <w:t xml:space="preserve"> har </w:t>
      </w:r>
      <w:r w:rsidRPr="003E67AC" w:rsidR="007967D0">
        <w:t xml:space="preserve">i </w:t>
      </w:r>
      <w:r w:rsidRPr="003E67AC" w:rsidR="00767FCB">
        <w:t>e</w:t>
      </w:r>
      <w:r w:rsidRPr="003E67AC" w:rsidR="007967D0">
        <w:t>n</w:t>
      </w:r>
      <w:r w:rsidRPr="003E67AC">
        <w:t xml:space="preserve"> genomlysning av livsmedelsbranschen undersök</w:t>
      </w:r>
      <w:r w:rsidRPr="003E67AC" w:rsidR="00767FCB">
        <w:t>t</w:t>
      </w:r>
      <w:r w:rsidRPr="003E67AC">
        <w:t xml:space="preserve"> hur lönsamheten</w:t>
      </w:r>
      <w:r w:rsidRPr="003E67AC" w:rsidR="004C7D35">
        <w:t>, mätt som bruttomarginaler,</w:t>
      </w:r>
      <w:r w:rsidRPr="003E67AC">
        <w:t xml:space="preserve"> inom livsmedelsbranschen har utvecklats under de senaste åren.</w:t>
      </w:r>
      <w:r w:rsidRPr="003E67AC" w:rsidR="00767FCB">
        <w:rPr>
          <w:rStyle w:val="Fotnotsreferens"/>
        </w:rPr>
        <w:footnoteReference w:id="11"/>
      </w:r>
      <w:r w:rsidRPr="003E67AC">
        <w:t xml:space="preserve"> </w:t>
      </w:r>
      <w:r w:rsidRPr="003E67AC" w:rsidR="004C7D35">
        <w:t>Slutsatsen</w:t>
      </w:r>
      <w:r w:rsidRPr="003E67AC">
        <w:t xml:space="preserve"> </w:t>
      </w:r>
      <w:r w:rsidRPr="003E67AC" w:rsidR="004C7D35">
        <w:t xml:space="preserve">är </w:t>
      </w:r>
      <w:r w:rsidRPr="003E67AC">
        <w:t xml:space="preserve">att vissa aktörer i livsmedelskedjan, </w:t>
      </w:r>
      <w:r w:rsidRPr="003E67AC" w:rsidR="005C0A29">
        <w:t>exempelvis</w:t>
      </w:r>
      <w:r w:rsidRPr="003E67AC">
        <w:t xml:space="preserve"> inom dagligvaruhandeln, har kunnat bibehålla samma procentuella bruttomarginaler som </w:t>
      </w:r>
      <w:r w:rsidRPr="003E67AC" w:rsidR="006A6D98">
        <w:t xml:space="preserve">under tiden </w:t>
      </w:r>
      <w:r w:rsidRPr="003E67AC">
        <w:t xml:space="preserve">innan kostnaderna började öka kraftigt. </w:t>
      </w:r>
      <w:r w:rsidRPr="003E67AC" w:rsidR="00F34F5C">
        <w:t>M</w:t>
      </w:r>
      <w:r w:rsidRPr="003E67AC">
        <w:t xml:space="preserve">ed det </w:t>
      </w:r>
      <w:r w:rsidRPr="003E67AC" w:rsidR="00935BBC">
        <w:t xml:space="preserve">betydligt </w:t>
      </w:r>
      <w:r w:rsidRPr="003E67AC">
        <w:t xml:space="preserve">högre kostnadsläget har detta lett till att marginalerna i kronor har ökat. </w:t>
      </w:r>
      <w:r w:rsidRPr="003E67AC" w:rsidR="00935BBC">
        <w:t xml:space="preserve">En ytterligare slutsats </w:t>
      </w:r>
      <w:r w:rsidRPr="003E67AC" w:rsidR="00935BBC">
        <w:lastRenderedPageBreak/>
        <w:t>är att d</w:t>
      </w:r>
      <w:r w:rsidRPr="003E67AC">
        <w:t xml:space="preserve">e ökade priserna inte tycks ha stimulerat ökad produktion eller marknadsinträde nämnvärt i något av leden i livsmedelskedjan som Konkurrensverket granskat. I rapporten konstateras även att det inte finns några tecken på att billigare alternativ har </w:t>
      </w:r>
      <w:r w:rsidRPr="00D219BE">
        <w:rPr>
          <w:spacing w:val="-1"/>
        </w:rPr>
        <w:t>tagits fram och börjat säljas till konsumenterna, vilket hade kunnat ske om konkurrensen</w:t>
      </w:r>
      <w:r w:rsidRPr="003E67AC">
        <w:t xml:space="preserve"> hade fungerat bra.</w:t>
      </w:r>
    </w:p>
    <w:p w:rsidRPr="003E67AC" w:rsidR="00FB40AF" w:rsidP="00943E8A" w:rsidRDefault="00AD2887" w14:paraId="29AE3CBA" w14:textId="511BBF1B">
      <w:r w:rsidRPr="003E67AC">
        <w:t>Även K</w:t>
      </w:r>
      <w:r w:rsidRPr="003E67AC" w:rsidR="00FB40AF">
        <w:t xml:space="preserve">onjunkturinstitutet </w:t>
      </w:r>
      <w:r w:rsidRPr="003E67AC">
        <w:t>har</w:t>
      </w:r>
      <w:r w:rsidRPr="003E67AC" w:rsidR="00FB40AF">
        <w:t xml:space="preserve"> </w:t>
      </w:r>
      <w:r w:rsidRPr="003E67AC">
        <w:t xml:space="preserve">i ett regeringsuppdrag </w:t>
      </w:r>
      <w:r w:rsidRPr="003E67AC" w:rsidR="00FB40AF">
        <w:t>undersök</w:t>
      </w:r>
      <w:r w:rsidRPr="003E67AC">
        <w:t>t</w:t>
      </w:r>
      <w:r w:rsidRPr="003E67AC" w:rsidR="00FB40AF">
        <w:t xml:space="preserve"> om företagen höjt priserna mer än </w:t>
      </w:r>
      <w:r w:rsidR="00EB4092">
        <w:t xml:space="preserve">vad </w:t>
      </w:r>
      <w:r w:rsidRPr="003E67AC" w:rsidR="00FB40AF">
        <w:t>som motiverades av kostnaderna. Slutsatsen var att partihandelns lönsamhetsomdöme har förbättrats påtagligt, vilket är en indikation på att partihandeln höj</w:t>
      </w:r>
      <w:r w:rsidR="00EB4092">
        <w:t>de</w:t>
      </w:r>
      <w:r w:rsidRPr="003E67AC" w:rsidR="00FB40AF">
        <w:t xml:space="preserve"> sina priser mer än vad de högre kostnaderna motivera</w:t>
      </w:r>
      <w:r w:rsidR="00EB4092">
        <w:t>de</w:t>
      </w:r>
      <w:r w:rsidRPr="003E67AC" w:rsidR="00FB40AF">
        <w:t xml:space="preserve"> mellan det andra kvartalet 2021 och det andra kvartalet 2022.</w:t>
      </w:r>
      <w:r w:rsidRPr="00EC1665" w:rsidR="00FB40AF">
        <w:rPr>
          <w:rStyle w:val="Fotnotsreferens"/>
        </w:rPr>
        <w:footnoteReference w:id="12"/>
      </w:r>
    </w:p>
    <w:p w:rsidRPr="003E67AC" w:rsidR="00FB40AF" w:rsidP="00943E8A" w:rsidRDefault="00EF11C1" w14:paraId="1C5C7D65" w14:textId="58FEE91C">
      <w:r w:rsidRPr="003E67AC">
        <w:t xml:space="preserve">Vänsterpartiet </w:t>
      </w:r>
      <w:r w:rsidRPr="003E67AC" w:rsidR="00CC1421">
        <w:t>menar att vi</w:t>
      </w:r>
      <w:r w:rsidRPr="003E67AC">
        <w:t xml:space="preserve"> måste lagstifta mot överpriserna på mat.</w:t>
      </w:r>
      <w:r w:rsidRPr="003E67AC" w:rsidR="00CC1421">
        <w:rPr>
          <w:rStyle w:val="Fotnotsreferens"/>
        </w:rPr>
        <w:footnoteReference w:id="13"/>
      </w:r>
      <w:r w:rsidRPr="003E67AC">
        <w:t xml:space="preserve"> För att snabbt </w:t>
      </w:r>
      <w:r w:rsidRPr="00D219BE">
        <w:rPr>
          <w:spacing w:val="-1"/>
        </w:rPr>
        <w:t>få ner priserna ska handlarna vara skyldiga att redovisa inköpspriser och andra kostnader</w:t>
      </w:r>
      <w:r w:rsidRPr="003E67AC">
        <w:t xml:space="preserve"> till Konkurrensverket. På så sätt kan myndigheten kontrollera om matbutikerna sätter oskäligt höga priser</w:t>
      </w:r>
      <w:r w:rsidR="00E56409">
        <w:t>,</w:t>
      </w:r>
      <w:r w:rsidRPr="003E67AC">
        <w:t xml:space="preserve"> och den som gör det ska få kännbara böter. Om någon handlare lämnar oriktiga uppgifter för att kunna sätta högre matpriser än vad som är motiverat ska det vara brottsligt, med fängelse i straffskalan. Vänsterpartiet anser även att det behövs lagstiftning som bryter upp den skadliga kopplingen mellan matbutikerna och deras grossister samt att grossisternas otillbörliga handelsmetoder mot livsmedels</w:t>
      </w:r>
      <w:r w:rsidR="00D219BE">
        <w:softHyphen/>
      </w:r>
      <w:r w:rsidRPr="003E67AC">
        <w:t xml:space="preserve">producenterna </w:t>
      </w:r>
      <w:r w:rsidR="00E56409">
        <w:t xml:space="preserve">ska </w:t>
      </w:r>
      <w:r w:rsidRPr="003E67AC">
        <w:t>kriminaliseras. Så kan Sverige få ned matpriserna och skapa en fungerande livsmedelsmarknad.</w:t>
      </w:r>
    </w:p>
    <w:p w:rsidRPr="003E67AC" w:rsidR="00664BCE" w:rsidP="00943E8A" w:rsidRDefault="00664BCE" w14:paraId="1940B324" w14:textId="77777777">
      <w:r w:rsidRPr="003E67AC">
        <w:t>Vänsterpartiets förslag:</w:t>
      </w:r>
    </w:p>
    <w:p w:rsidRPr="003E67AC" w:rsidR="00664BCE" w:rsidP="00943E8A" w:rsidRDefault="00D902F3" w14:paraId="5D8B1A73" w14:textId="2278218A">
      <w:pPr>
        <w:pStyle w:val="ListaPunkt"/>
        <w:ind w:left="284" w:hanging="284"/>
      </w:pPr>
      <w:r>
        <w:t>Kräv att</w:t>
      </w:r>
      <w:r w:rsidRPr="003E67AC" w:rsidR="00664BCE">
        <w:t xml:space="preserve"> handlare i dagligvaruhandeln lämna</w:t>
      </w:r>
      <w:r>
        <w:t>r</w:t>
      </w:r>
      <w:r w:rsidRPr="003E67AC" w:rsidR="00664BCE">
        <w:t xml:space="preserve"> underlag för sin prissättning till Konkurrensverket.</w:t>
      </w:r>
    </w:p>
    <w:p w:rsidRPr="003E67AC" w:rsidR="00E351B6" w:rsidP="00943E8A" w:rsidRDefault="006C4FE5" w14:paraId="533D5832" w14:textId="1A8758B2">
      <w:pPr>
        <w:pStyle w:val="ListaPunkt"/>
        <w:ind w:left="284" w:hanging="284"/>
      </w:pPr>
      <w:r w:rsidRPr="003E67AC">
        <w:t>S</w:t>
      </w:r>
      <w:r w:rsidRPr="003E67AC" w:rsidR="00E351B6">
        <w:t>e över lagstiftningen så att en struktur av ägande och avtal skapas som kan</w:t>
      </w:r>
      <w:r w:rsidRPr="003E67AC" w:rsidR="00AB0982">
        <w:t xml:space="preserve"> </w:t>
      </w:r>
      <w:r w:rsidRPr="003E67AC" w:rsidR="00E351B6">
        <w:t xml:space="preserve">garantera en sund konkurrens mellan fria handlare och fristående grossister. </w:t>
      </w:r>
    </w:p>
    <w:p w:rsidRPr="003E67AC" w:rsidR="00664BCE" w:rsidP="00943E8A" w:rsidRDefault="006C4FE5" w14:paraId="028090D3" w14:textId="162D4A2B">
      <w:pPr>
        <w:pStyle w:val="ListaPunkt"/>
        <w:ind w:left="284" w:hanging="284"/>
      </w:pPr>
      <w:r w:rsidRPr="003E67AC">
        <w:t xml:space="preserve">Otillbörliga handelsmetoder </w:t>
      </w:r>
      <w:r w:rsidR="00D902F3">
        <w:t xml:space="preserve">ska </w:t>
      </w:r>
      <w:r w:rsidRPr="003E67AC">
        <w:t>kriminaliseras och skriv</w:t>
      </w:r>
      <w:r w:rsidR="00D902F3">
        <w:t>a</w:t>
      </w:r>
      <w:r w:rsidRPr="003E67AC">
        <w:t>s in i brottsbalken</w:t>
      </w:r>
      <w:r w:rsidR="00D902F3">
        <w:t>,</w:t>
      </w:r>
      <w:r w:rsidRPr="003E67AC">
        <w:t xml:space="preserve"> och rättsväsendets fulla kapacitet </w:t>
      </w:r>
      <w:r w:rsidR="00D902F3">
        <w:t xml:space="preserve">ska </w:t>
      </w:r>
      <w:r w:rsidRPr="003E67AC">
        <w:t>använd</w:t>
      </w:r>
      <w:r w:rsidR="00D902F3">
        <w:t>a</w:t>
      </w:r>
      <w:r w:rsidRPr="003E67AC">
        <w:t xml:space="preserve">s för att stoppa maktmissbruket </w:t>
      </w:r>
      <w:r w:rsidRPr="003E67AC" w:rsidR="003D4234">
        <w:t>hos</w:t>
      </w:r>
      <w:r w:rsidRPr="003E67AC">
        <w:t xml:space="preserve"> livsmedelsföretagen.</w:t>
      </w:r>
    </w:p>
    <w:p w:rsidRPr="003E67AC" w:rsidR="00FB40AF" w:rsidP="006C5821" w:rsidRDefault="00FB40AF" w14:paraId="23434CA8" w14:textId="1EEE845C">
      <w:pPr>
        <w:pStyle w:val="Rubrik2numrerat"/>
      </w:pPr>
      <w:bookmarkStart w:name="_Toc147246911" w:id="21"/>
      <w:bookmarkStart w:name="_Toc197351632" w:id="22"/>
      <w:r w:rsidRPr="003E67AC">
        <w:lastRenderedPageBreak/>
        <w:t>Använd SBAB för att pressa storbankerna</w:t>
      </w:r>
      <w:bookmarkEnd w:id="21"/>
      <w:bookmarkEnd w:id="22"/>
    </w:p>
    <w:p w:rsidRPr="003E67AC" w:rsidR="00C94314" w:rsidP="00943E8A" w:rsidRDefault="00D26F3D" w14:paraId="006E5A74" w14:textId="4641C7B7">
      <w:pPr>
        <w:pStyle w:val="Normalutanindragellerluft"/>
      </w:pPr>
      <w:r w:rsidRPr="003E67AC">
        <w:t>I likhet med dagligvaruhandeln råder det bristande konkurrens också på bolåne</w:t>
      </w:r>
      <w:r w:rsidR="00D219BE">
        <w:softHyphen/>
      </w:r>
      <w:r w:rsidRPr="003E67AC">
        <w:t xml:space="preserve">marknaden. </w:t>
      </w:r>
      <w:r w:rsidRPr="003E67AC" w:rsidR="00FB40AF">
        <w:t>Sverige har en mycket hög koncentrationsgrad på bankmarknaden, där de fyra storbankerna SEB, Handelsbanken, Nordea och Swedbank kontrollerar runt 80 procent av marknaden. Den statliga banken SBAB kontrollerar ca</w:t>
      </w:r>
      <w:r w:rsidR="00F60708">
        <w:t> </w:t>
      </w:r>
      <w:r w:rsidRPr="003E67AC" w:rsidR="00FB40AF">
        <w:t>7</w:t>
      </w:r>
      <w:r w:rsidR="00F60708">
        <w:t> </w:t>
      </w:r>
      <w:r w:rsidRPr="003E67AC" w:rsidR="00FB40AF">
        <w:t xml:space="preserve">procent. </w:t>
      </w:r>
    </w:p>
    <w:p w:rsidRPr="003E67AC" w:rsidR="00ED5979" w:rsidP="00943E8A" w:rsidRDefault="002B0096" w14:paraId="04F243C3" w14:textId="58FB992B">
      <w:r w:rsidRPr="003E67AC">
        <w:t>De svenska storbankerna har en hög lönsamhet som står sig väl även i en europeisk jämförelse.</w:t>
      </w:r>
      <w:r w:rsidRPr="003E67AC">
        <w:rPr>
          <w:rStyle w:val="Fotnotsreferens"/>
        </w:rPr>
        <w:footnoteReference w:id="14"/>
      </w:r>
      <w:r w:rsidRPr="003E67AC" w:rsidR="00FB40AF">
        <w:t xml:space="preserve"> </w:t>
      </w:r>
      <w:r w:rsidRPr="003E67AC" w:rsidR="009A4325">
        <w:t>Lönsamheten drivs framför allt av räntenettot, som står för c</w:t>
      </w:r>
      <w:r w:rsidR="00877F66">
        <w:t>irk</w:t>
      </w:r>
      <w:r w:rsidRPr="003E67AC" w:rsidR="009A4325">
        <w:t>a två tredjedelar av de svenska storbankernas totala intäkter</w:t>
      </w:r>
      <w:r w:rsidRPr="003E67AC" w:rsidR="006C6B81">
        <w:t>.</w:t>
      </w:r>
      <w:r w:rsidRPr="003E67AC" w:rsidR="00561140">
        <w:t xml:space="preserve"> I takt med att Riksbanken höj</w:t>
      </w:r>
      <w:r w:rsidR="00A00753">
        <w:t>t</w:t>
      </w:r>
      <w:r w:rsidRPr="003E67AC" w:rsidR="00561140">
        <w:t xml:space="preserve"> styrräntan </w:t>
      </w:r>
      <w:r w:rsidRPr="003E67AC" w:rsidR="00ED5979">
        <w:t xml:space="preserve">har </w:t>
      </w:r>
      <w:r w:rsidRPr="003E67AC" w:rsidR="00561140">
        <w:t xml:space="preserve">bankerna passat på att höja utlåningsräntorna mer. </w:t>
      </w:r>
      <w:r w:rsidRPr="003E67AC" w:rsidR="00EB20F8">
        <w:t xml:space="preserve">Samtidigt har </w:t>
      </w:r>
      <w:r w:rsidRPr="003E67AC" w:rsidR="00ED5979">
        <w:t xml:space="preserve">de </w:t>
      </w:r>
      <w:r w:rsidRPr="003E67AC" w:rsidR="00EB20F8">
        <w:t>kunnat dämpa sina finansieringskostnader på skuldsidan genom att inte höja inlånings</w:t>
      </w:r>
      <w:r w:rsidR="00D219BE">
        <w:softHyphen/>
      </w:r>
      <w:r w:rsidRPr="003E67AC" w:rsidR="00EB20F8">
        <w:t>räntor till allmänheten i samma takt.</w:t>
      </w:r>
      <w:r w:rsidRPr="003E67AC" w:rsidR="00561140">
        <w:t xml:space="preserve"> </w:t>
      </w:r>
      <w:r w:rsidRPr="003E67AC" w:rsidR="00EB20F8">
        <w:t>R</w:t>
      </w:r>
      <w:r w:rsidRPr="003E67AC" w:rsidR="00561140">
        <w:t xml:space="preserve">äntenettot </w:t>
      </w:r>
      <w:r w:rsidRPr="003E67AC" w:rsidR="00EB20F8">
        <w:t>har alltså kunnat öka genom</w:t>
      </w:r>
      <w:r w:rsidRPr="003E67AC" w:rsidR="00561140">
        <w:t xml:space="preserve"> att räntorna på bankernas tillgångar har ökat mer än </w:t>
      </w:r>
      <w:r w:rsidR="00A00753">
        <w:t xml:space="preserve">de </w:t>
      </w:r>
      <w:r w:rsidRPr="003E67AC" w:rsidR="00561140">
        <w:t>på deras skulder.</w:t>
      </w:r>
      <w:r w:rsidRPr="003E67AC" w:rsidR="00EB20F8">
        <w:t xml:space="preserve"> </w:t>
      </w:r>
      <w:r w:rsidRPr="003E67AC" w:rsidR="00111AF5">
        <w:t xml:space="preserve">En kraftfullt bidragande orsak till hushållens kostnadsökningar har </w:t>
      </w:r>
      <w:r w:rsidRPr="003E67AC" w:rsidR="00444E53">
        <w:t xml:space="preserve">därmed </w:t>
      </w:r>
      <w:r w:rsidRPr="003E67AC" w:rsidR="00111AF5">
        <w:t>varit de kraftigt höjda räntekostnaderna för hushållens bolån.</w:t>
      </w:r>
    </w:p>
    <w:p w:rsidRPr="003E67AC" w:rsidR="00FB40AF" w:rsidP="00943E8A" w:rsidRDefault="00FB40AF" w14:paraId="75F073EF" w14:textId="1213886E">
      <w:r w:rsidRPr="003E67AC">
        <w:t xml:space="preserve">Det statliga bolåneinstitutet SBAB har tidigare haft en tydlig roll att </w:t>
      </w:r>
      <w:r w:rsidRPr="003E67AC" w:rsidR="00156FB3">
        <w:t>öka konkurren</w:t>
      </w:r>
      <w:r w:rsidR="00D219BE">
        <w:softHyphen/>
      </w:r>
      <w:r w:rsidRPr="003E67AC" w:rsidR="00156FB3">
        <w:t xml:space="preserve">sen </w:t>
      </w:r>
      <w:r w:rsidRPr="003E67AC">
        <w:t>på denna oligopolmarknad</w:t>
      </w:r>
      <w:r w:rsidRPr="003E67AC" w:rsidR="00C14544">
        <w:t>.</w:t>
      </w:r>
      <w:r w:rsidRPr="003E67AC">
        <w:t xml:space="preserve"> Staten hade d</w:t>
      </w:r>
      <w:r w:rsidRPr="003E67AC" w:rsidR="0006339D">
        <w:t>å</w:t>
      </w:r>
      <w:r w:rsidRPr="003E67AC">
        <w:t xml:space="preserve"> fastställt att SBAB skulle drivas affärsmässigt med ett för verksamheten rimligt avkastningskrav. </w:t>
      </w:r>
      <w:r w:rsidR="00A00753">
        <w:t xml:space="preserve">År </w:t>
      </w:r>
      <w:r w:rsidRPr="003E67AC">
        <w:t xml:space="preserve">2000 </w:t>
      </w:r>
      <w:r w:rsidRPr="003E67AC" w:rsidR="0006339D">
        <w:t xml:space="preserve">bestämdes </w:t>
      </w:r>
      <w:r w:rsidRPr="003E67AC">
        <w:t>avkastningskravet till att avkastningen på eget kapital över tid i genomsnitt skulle uppgå till den 5-åriga statsobligationsräntan plus 5</w:t>
      </w:r>
      <w:r w:rsidR="000B6150">
        <w:t> </w:t>
      </w:r>
      <w:r w:rsidRPr="003E67AC">
        <w:t>procentenheter. En fallande trend i bolåne</w:t>
      </w:r>
      <w:r w:rsidR="00D219BE">
        <w:softHyphen/>
      </w:r>
      <w:r w:rsidRPr="003E67AC">
        <w:t>marginalen mellan 2002–2011 kom också att spegla ett fallande vinstkrav på SBAB, då den femåriga statsobligationen föll.</w:t>
      </w:r>
      <w:r w:rsidRPr="003E67AC" w:rsidR="003639FC">
        <w:t xml:space="preserve"> </w:t>
      </w:r>
      <w:r w:rsidRPr="003E67AC" w:rsidR="00B73B9C">
        <w:t>Detta är dock historia nu</w:t>
      </w:r>
      <w:r w:rsidR="000B6150">
        <w:t>,</w:t>
      </w:r>
      <w:r w:rsidRPr="003E67AC" w:rsidR="00B73B9C">
        <w:t xml:space="preserve"> och </w:t>
      </w:r>
      <w:r w:rsidRPr="003E67AC" w:rsidR="00724EEA">
        <w:t xml:space="preserve">förändringen </w:t>
      </w:r>
      <w:r w:rsidRPr="003E67AC" w:rsidR="00B73B9C">
        <w:t>har inneburit höjda marginaler för bankerna.</w:t>
      </w:r>
      <w:r w:rsidRPr="003E67AC">
        <w:t xml:space="preserve"> </w:t>
      </w:r>
    </w:p>
    <w:p w:rsidRPr="003E67AC" w:rsidR="00FB40AF" w:rsidP="00943E8A" w:rsidRDefault="00FB40AF" w14:paraId="249C9C39" w14:textId="30216C48">
      <w:r w:rsidRPr="003E67AC">
        <w:t>Bankmarknaden är en oligopolmarknad. Det är därmed i högsta grad motiverat för staten att äga en aktör som driver</w:t>
      </w:r>
      <w:r w:rsidRPr="003E67AC" w:rsidR="002254E8">
        <w:t xml:space="preserve"> affärsmässig</w:t>
      </w:r>
      <w:r w:rsidRPr="003E67AC">
        <w:t xml:space="preserve"> verksamhet för att främja konkurrensen. SBAB bör därför återfå sitt tidigare uppdrag och avkastningskrav. </w:t>
      </w:r>
      <w:r w:rsidRPr="003E67AC" w:rsidR="007B50F3">
        <w:t>Med ett antagande</w:t>
      </w:r>
      <w:r w:rsidRPr="003E67AC">
        <w:t xml:space="preserve"> </w:t>
      </w:r>
      <w:r w:rsidR="000B6150">
        <w:t xml:space="preserve">om </w:t>
      </w:r>
      <w:r w:rsidRPr="003E67AC" w:rsidR="007B50F3">
        <w:t>att det skulle gå att pressa bolåneräntan med i genomsnitt</w:t>
      </w:r>
      <w:r w:rsidRPr="003E67AC">
        <w:t xml:space="preserve"> 0,5 procentenheter</w:t>
      </w:r>
      <w:r w:rsidRPr="003E67AC" w:rsidR="007B50F3">
        <w:t xml:space="preserve"> skulle det </w:t>
      </w:r>
      <w:r w:rsidRPr="003E67AC">
        <w:t>innebär</w:t>
      </w:r>
      <w:r w:rsidRPr="003E67AC" w:rsidR="007B50F3">
        <w:t>a</w:t>
      </w:r>
      <w:r w:rsidRPr="003E67AC">
        <w:t xml:space="preserve"> 20</w:t>
      </w:r>
      <w:r w:rsidRPr="003E67AC" w:rsidR="00817562">
        <w:t> </w:t>
      </w:r>
      <w:r w:rsidRPr="003E67AC">
        <w:t xml:space="preserve">000 kronor mer i hushållsbudgeten för ett hushåll med </w:t>
      </w:r>
      <w:r w:rsidRPr="003E67AC" w:rsidR="007B50F3">
        <w:t xml:space="preserve">ett bolån på </w:t>
      </w:r>
      <w:r w:rsidRPr="003E67AC">
        <w:t>4</w:t>
      </w:r>
      <w:r w:rsidRPr="003E67AC" w:rsidR="007B50F3">
        <w:t> </w:t>
      </w:r>
      <w:r w:rsidRPr="003E67AC">
        <w:t xml:space="preserve">miljoner kronor och minskade vinster för bankerna med ca 25 miljarder kronor per år. Åtgärden </w:t>
      </w:r>
      <w:r w:rsidRPr="003E67AC" w:rsidR="00D03271">
        <w:t>skulle vara</w:t>
      </w:r>
      <w:r w:rsidRPr="003E67AC">
        <w:t xml:space="preserve"> enkel att genomföra och kräver bara ett regeringsbeslut.</w:t>
      </w:r>
    </w:p>
    <w:p w:rsidRPr="003E67AC" w:rsidR="007C7540" w:rsidP="00943E8A" w:rsidRDefault="007C7540" w14:paraId="0387956E" w14:textId="6FB5F69F">
      <w:r w:rsidRPr="003E67AC">
        <w:t>Vi inser dock att det kan ta tid innan detta förslag får full effekt. Så länge det inte finns ett regelverk på plats som skapar en mer sund konkurrens på bankmarknaden anser Vänsterpartiet att bankernas övervinster ska beskattas.</w:t>
      </w:r>
      <w:r w:rsidRPr="003E67AC" w:rsidR="006A5A2A">
        <w:t xml:space="preserve"> </w:t>
      </w:r>
      <w:r w:rsidRPr="003E67AC">
        <w:t xml:space="preserve">I likhet med vad som införts i flera europeiska länder föreslår Vänsterpartiet därför att en tillfällig bankskatt </w:t>
      </w:r>
      <w:r w:rsidRPr="003E67AC">
        <w:lastRenderedPageBreak/>
        <w:t>införs. Förslaget innebär att en skatt på 50 procent av bankernas övervinster införs under perioden 2025–2027 och kan förlängas om den bristande konkurrensen kvarstår.</w:t>
      </w:r>
    </w:p>
    <w:p w:rsidRPr="003E67AC" w:rsidR="00FB40AF" w:rsidP="00943E8A" w:rsidRDefault="00FB40AF" w14:paraId="60A81F1E" w14:textId="1FB6DA65">
      <w:bookmarkStart w:name="_Hlk196305954" w:id="23"/>
      <w:r w:rsidRPr="003E67AC">
        <w:t>Vänsterpartiets förslag:</w:t>
      </w:r>
    </w:p>
    <w:bookmarkEnd w:id="23"/>
    <w:p w:rsidRPr="003E67AC" w:rsidR="00FB40AF" w:rsidP="00943E8A" w:rsidRDefault="00FB40AF" w14:paraId="2832AA48" w14:textId="5B338F64">
      <w:pPr>
        <w:pStyle w:val="ListaPunkt"/>
        <w:ind w:left="284" w:hanging="284"/>
      </w:pPr>
      <w:r w:rsidRPr="003E67AC">
        <w:t>Ändra SBAB:s uppdrag till att bidra till mångfald, konkurrens och prispress på marknaden för bolån.</w:t>
      </w:r>
      <w:r w:rsidRPr="00943E8A" w:rsidR="001C0FE1">
        <w:rPr>
          <w:rStyle w:val="Fotnotsreferens"/>
        </w:rPr>
        <w:footnoteReference w:id="15"/>
      </w:r>
    </w:p>
    <w:p w:rsidRPr="003E67AC" w:rsidR="00FB40AF" w:rsidP="00943E8A" w:rsidRDefault="00FB40AF" w14:paraId="3ABB519E" w14:textId="1265AC32">
      <w:pPr>
        <w:pStyle w:val="ListaPunkt"/>
        <w:ind w:left="284" w:hanging="284"/>
      </w:pPr>
      <w:r w:rsidRPr="003E67AC">
        <w:t xml:space="preserve">Sänk SBAB:s avkastningskrav till femårig statsobligationsränta plus </w:t>
      </w:r>
      <w:r w:rsidRPr="003E67AC" w:rsidR="00AC472C">
        <w:t>5</w:t>
      </w:r>
      <w:r w:rsidR="00E53361">
        <w:t> </w:t>
      </w:r>
      <w:r w:rsidRPr="003E67AC">
        <w:t>procent</w:t>
      </w:r>
      <w:r w:rsidR="00D219BE">
        <w:softHyphen/>
      </w:r>
      <w:r w:rsidRPr="003E67AC">
        <w:t>enheter.</w:t>
      </w:r>
    </w:p>
    <w:p w:rsidRPr="003E67AC" w:rsidR="00FB40AF" w:rsidP="00943E8A" w:rsidRDefault="00FB40AF" w14:paraId="3F36DC7C" w14:textId="6EBC1652">
      <w:pPr>
        <w:pStyle w:val="ListaPunkt"/>
        <w:ind w:left="284" w:hanging="284"/>
      </w:pPr>
      <w:r w:rsidRPr="003E67AC">
        <w:t xml:space="preserve">Tillsätt en utredning </w:t>
      </w:r>
      <w:r w:rsidRPr="003E67AC" w:rsidR="00E35765">
        <w:t>för</w:t>
      </w:r>
      <w:r w:rsidRPr="003E67AC">
        <w:t xml:space="preserve"> att se över SBAB</w:t>
      </w:r>
      <w:r w:rsidRPr="003E67AC" w:rsidR="007E5CE4">
        <w:t>:</w:t>
      </w:r>
      <w:r w:rsidRPr="003E67AC" w:rsidR="00E35765">
        <w:t>s risk och vad som är ett rimligt långsiktigt avkastningskrav</w:t>
      </w:r>
      <w:r w:rsidRPr="003E67AC">
        <w:t>.</w:t>
      </w:r>
    </w:p>
    <w:p w:rsidRPr="003E67AC" w:rsidR="00873D8C" w:rsidP="00943E8A" w:rsidRDefault="00873D8C" w14:paraId="2E963526" w14:textId="68FFDC9D">
      <w:pPr>
        <w:pStyle w:val="ListaPunkt"/>
        <w:ind w:left="284" w:hanging="284"/>
      </w:pPr>
      <w:r w:rsidRPr="003E67AC">
        <w:t>Inför en bankskatt på 50 procent av bankernas övervinster.</w:t>
      </w:r>
      <w:r w:rsidRPr="003E67AC">
        <w:rPr>
          <w:rStyle w:val="Fotnotsreferens"/>
        </w:rPr>
        <w:footnoteReference w:id="16"/>
      </w:r>
    </w:p>
    <w:p w:rsidRPr="003E67AC" w:rsidR="006127F0" w:rsidP="006C5821" w:rsidRDefault="006127F0" w14:paraId="4E0D99F6" w14:textId="4B06F123">
      <w:pPr>
        <w:pStyle w:val="Rubrik2numrerat"/>
      </w:pPr>
      <w:bookmarkStart w:name="_Toc197351633" w:id="24"/>
      <w:r w:rsidRPr="003E67AC">
        <w:t xml:space="preserve">Inför </w:t>
      </w:r>
      <w:r w:rsidR="00633BFE">
        <w:t>S</w:t>
      </w:r>
      <w:r w:rsidRPr="003E67AC">
        <w:t>verigepriser på el</w:t>
      </w:r>
      <w:bookmarkEnd w:id="19"/>
      <w:bookmarkEnd w:id="24"/>
    </w:p>
    <w:p w:rsidRPr="003E67AC" w:rsidR="006127F0" w:rsidP="00943E8A" w:rsidRDefault="006127F0" w14:paraId="7AD848AE" w14:textId="4726B786">
      <w:pPr>
        <w:pStyle w:val="Normalutanindragellerluft"/>
        <w:rPr>
          <w:lang w:eastAsia="sv-SE"/>
        </w:rPr>
      </w:pPr>
      <w:r w:rsidRPr="003E67AC">
        <w:rPr>
          <w:lang w:eastAsia="sv-SE"/>
        </w:rPr>
        <w:t xml:space="preserve">Sverige har god tillgång till el och har en stadig överproduktion. Vi kan tillgodose det inhemska behovet av el, i de flesta fall med råge. </w:t>
      </w:r>
      <w:r w:rsidRPr="003E67AC">
        <w:t xml:space="preserve">Dagens modell med </w:t>
      </w:r>
      <w:r w:rsidRPr="003E67AC">
        <w:rPr>
          <w:lang w:eastAsia="sv-SE"/>
        </w:rPr>
        <w:t>marginal</w:t>
      </w:r>
      <w:r w:rsidR="00D219BE">
        <w:rPr>
          <w:lang w:eastAsia="sv-SE"/>
        </w:rPr>
        <w:softHyphen/>
      </w:r>
      <w:r w:rsidRPr="003E67AC">
        <w:rPr>
          <w:lang w:eastAsia="sv-SE"/>
        </w:rPr>
        <w:t>pris</w:t>
      </w:r>
      <w:r w:rsidR="00D219BE">
        <w:rPr>
          <w:lang w:eastAsia="sv-SE"/>
        </w:rPr>
        <w:softHyphen/>
      </w:r>
      <w:r w:rsidRPr="003E67AC">
        <w:rPr>
          <w:lang w:eastAsia="sv-SE"/>
        </w:rPr>
        <w:t xml:space="preserve">sättning på el på en gemensam EU-marknad innebär att det är den dyraste producerade elen som blir prissättande för all el. </w:t>
      </w:r>
      <w:r w:rsidRPr="003E67AC" w:rsidR="00BF5B44">
        <w:rPr>
          <w:lang w:eastAsia="sv-SE"/>
        </w:rPr>
        <w:t>D</w:t>
      </w:r>
      <w:r w:rsidRPr="003E67AC">
        <w:rPr>
          <w:lang w:eastAsia="sv-SE"/>
        </w:rPr>
        <w:t>en el som är billigast att producera förbrukas först. Priset utgår emellertid från vad det kostar att producera den sista kilowattimme som krävs för att möta efterfrågan, alltså den dyraste kilowattimmen.</w:t>
      </w:r>
    </w:p>
    <w:p w:rsidRPr="003E67AC" w:rsidR="006127F0" w:rsidP="00943E8A" w:rsidRDefault="006127F0" w14:paraId="56694501" w14:textId="78D68814">
      <w:r w:rsidRPr="003E67AC">
        <w:rPr>
          <w:lang w:eastAsia="sv-SE"/>
        </w:rPr>
        <w:t>Produktionskostnaden varierar kraftigt mellan de olika energislagen. Vind- och vattenkraft har en klart billigare rörlig produktionskostnad än vad kärnkraft har</w:t>
      </w:r>
      <w:r w:rsidR="003133F3">
        <w:rPr>
          <w:lang w:eastAsia="sv-SE"/>
        </w:rPr>
        <w:t>,</w:t>
      </w:r>
      <w:r w:rsidRPr="003E67AC">
        <w:rPr>
          <w:lang w:eastAsia="sv-SE"/>
        </w:rPr>
        <w:t xml:space="preserve"> och dyras</w:t>
      </w:r>
      <w:r w:rsidRPr="003E67AC" w:rsidR="007E28B8">
        <w:rPr>
          <w:lang w:eastAsia="sv-SE"/>
        </w:rPr>
        <w:t>t</w:t>
      </w:r>
      <w:r w:rsidRPr="003E67AC">
        <w:rPr>
          <w:lang w:eastAsia="sv-SE"/>
        </w:rPr>
        <w:t xml:space="preserve"> är kol och olja. De höga elpriserna riskerar att bromsa klimatomställningen eftersom viktiga elektrifieringsprocesser fördyras. Investeringsviljan kan på sikt hotas av de höga priserna</w:t>
      </w:r>
      <w:r w:rsidR="008260B6">
        <w:rPr>
          <w:lang w:eastAsia="sv-SE"/>
        </w:rPr>
        <w:t>,</w:t>
      </w:r>
      <w:r w:rsidRPr="003E67AC">
        <w:rPr>
          <w:lang w:eastAsia="sv-SE"/>
        </w:rPr>
        <w:t xml:space="preserve"> och i takt med att energiprisernas förutsägbarhet försvåras hotas även planerbarheten för den energitunga industrin. </w:t>
      </w:r>
      <w:r w:rsidRPr="003E67AC">
        <w:t xml:space="preserve">För Sverige innebär sålunda den nuvarande elmarknaden ett sårbart system som försvårar klimatomställningen och drabbar de enskilda hushållen hårt. </w:t>
      </w:r>
    </w:p>
    <w:p w:rsidRPr="003E67AC" w:rsidR="007851F5" w:rsidP="00E42CA1" w:rsidRDefault="006127F0" w14:paraId="391D7409" w14:textId="67A7766C">
      <w:pPr>
        <w:rPr>
          <w:lang w:eastAsia="sv-SE"/>
        </w:rPr>
      </w:pPr>
      <w:r w:rsidRPr="003E67AC">
        <w:rPr>
          <w:lang w:eastAsia="sv-SE"/>
        </w:rPr>
        <w:t>Vänsterpartiet har föreslagit en prisskyddsmodell som innebär att Sveriges fyra elprisområden kvarstår men separeras från den el som går på export.</w:t>
      </w:r>
      <w:r w:rsidRPr="00E42CA1">
        <w:rPr>
          <w:rStyle w:val="Fotnotsreferens"/>
        </w:rPr>
        <w:footnoteReference w:id="17"/>
      </w:r>
      <w:r w:rsidRPr="003E67AC">
        <w:rPr>
          <w:lang w:eastAsia="sv-SE"/>
        </w:rPr>
        <w:t xml:space="preserve"> Den exporterade elen blir i praktiken ett femte elprisområde – ”elprisområde utland” – och inbegriper den el som är tillgänglig för export. Rent praktiskt skulle den nya modellen fungera så </w:t>
      </w:r>
      <w:r w:rsidRPr="003E67AC">
        <w:rPr>
          <w:lang w:eastAsia="sv-SE"/>
        </w:rPr>
        <w:lastRenderedPageBreak/>
        <w:t>att ett pris fastställs för respektive inhemskt elprisområde (så som sker i</w:t>
      </w:r>
      <w:r w:rsidRPr="003E67AC" w:rsidR="003415C8">
        <w:rPr>
          <w:lang w:eastAsia="sv-SE"/>
        </w:rPr>
        <w:t> </w:t>
      </w:r>
      <w:r w:rsidRPr="003E67AC">
        <w:rPr>
          <w:lang w:eastAsia="sv-SE"/>
        </w:rPr>
        <w:t>dag) och ytterligare ett för det utländska elprisområdet. Den stora fördelen är att priset för de inhemska områdena då motsvarar de faktiska behoven; de volymer som är tänkta att användas inom respektive område. Detta innebär betydligt lägre priser för svenska konsumenter samtidigt som exportvolymerna och exportpriserna förblir desamma som i</w:t>
      </w:r>
      <w:r w:rsidRPr="003E67AC" w:rsidR="003415C8">
        <w:rPr>
          <w:lang w:eastAsia="sv-SE"/>
        </w:rPr>
        <w:t> </w:t>
      </w:r>
      <w:r w:rsidRPr="003E67AC">
        <w:rPr>
          <w:lang w:eastAsia="sv-SE"/>
        </w:rPr>
        <w:t>dag.</w:t>
      </w:r>
    </w:p>
    <w:p w:rsidRPr="003E67AC" w:rsidR="009D3223" w:rsidP="00943E8A" w:rsidRDefault="009D3223" w14:paraId="11983469" w14:textId="77777777">
      <w:r w:rsidRPr="003E67AC">
        <w:t>Vänsterpartiets förslag:</w:t>
      </w:r>
    </w:p>
    <w:p w:rsidRPr="003E67AC" w:rsidR="009D3223" w:rsidP="00943E8A" w:rsidRDefault="009D3223" w14:paraId="624A08CD" w14:textId="7DA63DC8">
      <w:pPr>
        <w:pStyle w:val="ListaPunkt"/>
        <w:ind w:left="284" w:hanging="284"/>
      </w:pPr>
      <w:r w:rsidRPr="003E67AC">
        <w:t>Inför Sverigepriser på el – separera inhemska priser från exportpriset på el.</w:t>
      </w:r>
    </w:p>
    <w:p w:rsidRPr="003E67AC" w:rsidR="009D3223" w:rsidP="006C5821" w:rsidRDefault="006F7889" w14:paraId="7CC4C4BB" w14:textId="22E71984">
      <w:pPr>
        <w:pStyle w:val="Rubrik2numrerat"/>
      </w:pPr>
      <w:bookmarkStart w:name="_Toc197351634" w:id="25"/>
      <w:r w:rsidRPr="003E67AC">
        <w:t>Ta tillbaka kontrollen över elnäten</w:t>
      </w:r>
      <w:bookmarkEnd w:id="25"/>
    </w:p>
    <w:p w:rsidRPr="003E67AC" w:rsidR="00067C0A" w:rsidP="00E42CA1" w:rsidRDefault="008D7488" w14:paraId="2C0314F9" w14:textId="573C0A59">
      <w:pPr>
        <w:pStyle w:val="Normalutanindragellerluft"/>
        <w:rPr>
          <w:lang w:eastAsia="sv-SE"/>
        </w:rPr>
      </w:pPr>
      <w:r w:rsidRPr="003E67AC">
        <w:rPr>
          <w:lang w:eastAsia="sv-SE"/>
        </w:rPr>
        <w:t xml:space="preserve">En stor del av elräkningen är avgiften till det företag som äger elnätet – och den har ökat kraftigt de senaste åren. Samtidigt som elräkningarna har skjutit i höjden har </w:t>
      </w:r>
      <w:r w:rsidRPr="00D219BE" w:rsidR="00067C0A">
        <w:rPr>
          <w:spacing w:val="-1"/>
          <w:lang w:eastAsia="sv-SE"/>
        </w:rPr>
        <w:t>elnäts</w:t>
      </w:r>
      <w:r w:rsidRPr="00D219BE" w:rsidR="00D219BE">
        <w:rPr>
          <w:spacing w:val="-1"/>
          <w:lang w:eastAsia="sv-SE"/>
        </w:rPr>
        <w:softHyphen/>
      </w:r>
      <w:r w:rsidRPr="00D219BE" w:rsidR="00067C0A">
        <w:rPr>
          <w:spacing w:val="-1"/>
          <w:lang w:eastAsia="sv-SE"/>
        </w:rPr>
        <w:t>bolagen</w:t>
      </w:r>
      <w:r w:rsidRPr="00D219BE">
        <w:rPr>
          <w:spacing w:val="-1"/>
          <w:lang w:eastAsia="sv-SE"/>
        </w:rPr>
        <w:t xml:space="preserve"> passat på att </w:t>
      </w:r>
      <w:r w:rsidRPr="00D219BE" w:rsidR="00067C0A">
        <w:rPr>
          <w:spacing w:val="-1"/>
          <w:lang w:eastAsia="sv-SE"/>
        </w:rPr>
        <w:t>gör</w:t>
      </w:r>
      <w:r w:rsidRPr="00D219BE">
        <w:rPr>
          <w:spacing w:val="-1"/>
          <w:lang w:eastAsia="sv-SE"/>
        </w:rPr>
        <w:t>a</w:t>
      </w:r>
      <w:r w:rsidRPr="00D219BE" w:rsidR="00067C0A">
        <w:rPr>
          <w:spacing w:val="-1"/>
          <w:lang w:eastAsia="sv-SE"/>
        </w:rPr>
        <w:t xml:space="preserve"> enorma vinster på våra pengar.</w:t>
      </w:r>
      <w:r w:rsidRPr="00D219BE">
        <w:rPr>
          <w:spacing w:val="-1"/>
          <w:lang w:eastAsia="sv-SE"/>
        </w:rPr>
        <w:t xml:space="preserve"> Bakgrunden är </w:t>
      </w:r>
      <w:r w:rsidRPr="00D219BE" w:rsidR="00EE215E">
        <w:rPr>
          <w:spacing w:val="-1"/>
          <w:lang w:eastAsia="sv-SE"/>
        </w:rPr>
        <w:t>att elmarknaden</w:t>
      </w:r>
      <w:r w:rsidRPr="003E67AC" w:rsidR="00EE215E">
        <w:rPr>
          <w:lang w:eastAsia="sv-SE"/>
        </w:rPr>
        <w:t xml:space="preserve"> avreglerades 1996</w:t>
      </w:r>
      <w:r w:rsidR="00360EF4">
        <w:rPr>
          <w:lang w:eastAsia="sv-SE"/>
        </w:rPr>
        <w:t>,</w:t>
      </w:r>
      <w:r w:rsidRPr="003E67AC">
        <w:rPr>
          <w:lang w:eastAsia="sv-SE"/>
        </w:rPr>
        <w:t xml:space="preserve"> </w:t>
      </w:r>
      <w:r w:rsidRPr="003E67AC" w:rsidR="00EE215E">
        <w:rPr>
          <w:lang w:eastAsia="sv-SE"/>
        </w:rPr>
        <w:t>vilket</w:t>
      </w:r>
      <w:r w:rsidRPr="003E67AC">
        <w:rPr>
          <w:lang w:eastAsia="sv-SE"/>
        </w:rPr>
        <w:t xml:space="preserve"> innebär att handel</w:t>
      </w:r>
      <w:r w:rsidR="00923475">
        <w:rPr>
          <w:lang w:eastAsia="sv-SE"/>
        </w:rPr>
        <w:t>n</w:t>
      </w:r>
      <w:r w:rsidRPr="003E67AC">
        <w:rPr>
          <w:lang w:eastAsia="sv-SE"/>
        </w:rPr>
        <w:t xml:space="preserve"> med el konkurrensutsattes och att elnäten numera drivs som reglerade monopol. Som konsekvens h</w:t>
      </w:r>
      <w:r w:rsidR="00923475">
        <w:rPr>
          <w:lang w:eastAsia="sv-SE"/>
        </w:rPr>
        <w:t>öjde</w:t>
      </w:r>
      <w:r w:rsidRPr="003E67AC">
        <w:rPr>
          <w:lang w:eastAsia="sv-SE"/>
        </w:rPr>
        <w:t xml:space="preserve"> de tre största bolagen Eon, Ellevio och Vattenfall under 2012–2022</w:t>
      </w:r>
      <w:r w:rsidRPr="003E67AC" w:rsidR="00EE215E">
        <w:rPr>
          <w:lang w:eastAsia="sv-SE"/>
        </w:rPr>
        <w:t xml:space="preserve"> </w:t>
      </w:r>
      <w:r w:rsidRPr="003E67AC">
        <w:rPr>
          <w:lang w:eastAsia="sv-SE"/>
        </w:rPr>
        <w:t>avgifterna på elnäten dubbelt så mycket som den genomsnittliga prisökningen i</w:t>
      </w:r>
      <w:r w:rsidRPr="003E67AC" w:rsidR="00EE215E">
        <w:rPr>
          <w:lang w:eastAsia="sv-SE"/>
        </w:rPr>
        <w:t xml:space="preserve"> </w:t>
      </w:r>
      <w:r w:rsidRPr="003E67AC">
        <w:rPr>
          <w:lang w:eastAsia="sv-SE"/>
        </w:rPr>
        <w:t>samhället.</w:t>
      </w:r>
      <w:r w:rsidRPr="003E67AC" w:rsidR="00EE215E">
        <w:rPr>
          <w:lang w:eastAsia="sv-SE"/>
        </w:rPr>
        <w:t xml:space="preserve"> </w:t>
      </w:r>
      <w:r w:rsidRPr="003E67AC">
        <w:rPr>
          <w:lang w:eastAsia="sv-SE"/>
        </w:rPr>
        <w:t>De stora elnätsbolagens vinst</w:t>
      </w:r>
      <w:r w:rsidR="00D219BE">
        <w:rPr>
          <w:lang w:eastAsia="sv-SE"/>
        </w:rPr>
        <w:softHyphen/>
      </w:r>
      <w:r w:rsidRPr="003E67AC">
        <w:rPr>
          <w:lang w:eastAsia="sv-SE"/>
        </w:rPr>
        <w:t>marginaler har legat på uppemot 40 procent</w:t>
      </w:r>
      <w:r w:rsidR="00777815">
        <w:rPr>
          <w:lang w:eastAsia="sv-SE"/>
        </w:rPr>
        <w:t>,</w:t>
      </w:r>
      <w:r w:rsidRPr="003E67AC">
        <w:rPr>
          <w:lang w:eastAsia="sv-SE"/>
        </w:rPr>
        <w:t xml:space="preserve"> och så mycket som 75 procent har kunnat skickas vidare till ägarbolag</w:t>
      </w:r>
      <w:r w:rsidRPr="003E67AC" w:rsidR="00EE215E">
        <w:rPr>
          <w:lang w:eastAsia="sv-SE"/>
        </w:rPr>
        <w:t>.</w:t>
      </w:r>
    </w:p>
    <w:p w:rsidRPr="003E67AC" w:rsidR="0035569A" w:rsidP="00943E8A" w:rsidRDefault="00067C0A" w14:paraId="61115A80" w14:textId="3C1D067A">
      <w:pPr>
        <w:rPr>
          <w:lang w:eastAsia="sv-SE"/>
        </w:rPr>
      </w:pPr>
      <w:r w:rsidRPr="003E67AC">
        <w:t xml:space="preserve">För att få lägre elpriser </w:t>
      </w:r>
      <w:r w:rsidRPr="003E67AC" w:rsidR="007E7DB1">
        <w:t xml:space="preserve">har </w:t>
      </w:r>
      <w:r w:rsidRPr="003E67AC">
        <w:t xml:space="preserve">Vänsterpartiet </w:t>
      </w:r>
      <w:r w:rsidRPr="003E67AC" w:rsidR="007E7DB1">
        <w:t xml:space="preserve">föreslagit </w:t>
      </w:r>
      <w:r w:rsidRPr="003E67AC">
        <w:t xml:space="preserve">ett </w:t>
      </w:r>
      <w:r w:rsidRPr="00943E8A">
        <w:t>offentligt ägande av hela elnätet</w:t>
      </w:r>
      <w:r w:rsidRPr="00943E8A" w:rsidR="0035569A">
        <w:t>, som lämpligen kan föregås av en beskattning av övervinsterna</w:t>
      </w:r>
      <w:r w:rsidRPr="00943E8A">
        <w:t>.</w:t>
      </w:r>
      <w:r w:rsidRPr="00943E8A" w:rsidR="0035569A">
        <w:rPr>
          <w:rStyle w:val="Fotnotsreferens"/>
        </w:rPr>
        <w:footnoteReference w:id="18"/>
      </w:r>
      <w:r w:rsidRPr="00943E8A">
        <w:t xml:space="preserve"> </w:t>
      </w:r>
      <w:r w:rsidRPr="00943E8A" w:rsidR="00911A9C">
        <w:t>Syftet med e</w:t>
      </w:r>
      <w:r w:rsidRPr="00943E8A">
        <w:t xml:space="preserve">n beskattning av övervinster </w:t>
      </w:r>
      <w:r w:rsidRPr="00943E8A" w:rsidR="00911A9C">
        <w:t xml:space="preserve">är att </w:t>
      </w:r>
      <w:r w:rsidRPr="00943E8A">
        <w:t>gör</w:t>
      </w:r>
      <w:r w:rsidRPr="00943E8A" w:rsidR="00911A9C">
        <w:t>a</w:t>
      </w:r>
      <w:r w:rsidRPr="00943E8A">
        <w:t xml:space="preserve"> det mindre attraktivt för vinstdrivande bolag att fortsätta </w:t>
      </w:r>
      <w:r w:rsidRPr="00943E8A" w:rsidR="00777815">
        <w:t xml:space="preserve">att </w:t>
      </w:r>
      <w:r w:rsidRPr="00943E8A">
        <w:t xml:space="preserve">äga </w:t>
      </w:r>
      <w:r w:rsidRPr="00943E8A" w:rsidR="00911A9C">
        <w:t xml:space="preserve">elnätet. </w:t>
      </w:r>
      <w:r w:rsidRPr="00943E8A" w:rsidR="007A7D92">
        <w:t>G</w:t>
      </w:r>
      <w:r w:rsidRPr="00943E8A">
        <w:t xml:space="preserve">enom att en förköpsrätt </w:t>
      </w:r>
      <w:r w:rsidRPr="00943E8A" w:rsidR="00777815">
        <w:t xml:space="preserve">införs </w:t>
      </w:r>
      <w:r w:rsidRPr="00943E8A">
        <w:t xml:space="preserve">kan det offentliga ta över de elnätsbolag som då säljs. </w:t>
      </w:r>
      <w:r w:rsidRPr="00943E8A" w:rsidR="003A6158">
        <w:t xml:space="preserve">I maj 2024 presenterades </w:t>
      </w:r>
      <w:r w:rsidRPr="00943E8A" w:rsidR="007A7D92">
        <w:t>en offentlig utredning om en ny för</w:t>
      </w:r>
      <w:r w:rsidR="00D219BE">
        <w:softHyphen/>
      </w:r>
      <w:r w:rsidRPr="00943E8A" w:rsidR="007A7D92">
        <w:t>köpslag</w:t>
      </w:r>
      <w:r w:rsidRPr="00943E8A" w:rsidR="003A6158">
        <w:t>, som bl</w:t>
      </w:r>
      <w:r w:rsidRPr="00943E8A" w:rsidR="00D353B6">
        <w:t>.a.</w:t>
      </w:r>
      <w:r w:rsidRPr="00943E8A" w:rsidR="003A6158">
        <w:t xml:space="preserve"> föreslår att staten</w:t>
      </w:r>
      <w:r w:rsidRPr="00943E8A" w:rsidR="00542AAB">
        <w:t xml:space="preserve"> </w:t>
      </w:r>
      <w:r w:rsidRPr="00943E8A" w:rsidR="003A6158">
        <w:t>ska ha förköpsrätt till fast egendom som är viktig för det militära och civila försvaret samt för att bekämpa organiserad brottslighet.</w:t>
      </w:r>
      <w:r w:rsidRPr="00EC1665" w:rsidR="00950350">
        <w:rPr>
          <w:rStyle w:val="Fotnotsreferens"/>
        </w:rPr>
        <w:footnoteReference w:id="19"/>
      </w:r>
      <w:r w:rsidRPr="00943E8A" w:rsidR="003A6158">
        <w:t xml:space="preserve"> Energianläggningar, som elnät, nämns som exempel på sådana objekt. Vänsterpartiet anser att det bör förtydligas att elnäten är avgörande för</w:t>
      </w:r>
      <w:r w:rsidRPr="003E67AC" w:rsidR="003A6158">
        <w:t xml:space="preserve"> civilförsvaret och</w:t>
      </w:r>
      <w:r w:rsidRPr="003E67AC" w:rsidR="003A6158">
        <w:rPr>
          <w:lang w:eastAsia="sv-SE"/>
        </w:rPr>
        <w:t xml:space="preserve"> föreslår att kommuner ges förköpsrätt i första hand och staten i andra hand.</w:t>
      </w:r>
    </w:p>
    <w:p w:rsidRPr="003E67AC" w:rsidR="00067C0A" w:rsidP="00943E8A" w:rsidRDefault="0035569A" w14:paraId="2415E5D2" w14:textId="65AC1E56">
      <w:pPr>
        <w:rPr>
          <w:lang w:eastAsia="sv-SE"/>
        </w:rPr>
      </w:pPr>
      <w:r w:rsidRPr="003E67AC">
        <w:rPr>
          <w:lang w:eastAsia="sv-SE"/>
        </w:rPr>
        <w:t>Vänsterpartiets förslag:</w:t>
      </w:r>
    </w:p>
    <w:p w:rsidRPr="003E67AC" w:rsidR="00CC0947" w:rsidP="00943E8A" w:rsidRDefault="00067C0A" w14:paraId="5F6DD84B" w14:textId="1714B511">
      <w:pPr>
        <w:pStyle w:val="ListaPunkt"/>
        <w:ind w:left="284" w:hanging="284"/>
      </w:pPr>
      <w:r w:rsidRPr="003E67AC">
        <w:lastRenderedPageBreak/>
        <w:t>Skatt på elnätsföretagens övervinster</w:t>
      </w:r>
      <w:r w:rsidRPr="003E67AC" w:rsidR="00CC0947">
        <w:t>.</w:t>
      </w:r>
      <w:r w:rsidRPr="00943E8A" w:rsidR="00402AD9">
        <w:rPr>
          <w:rStyle w:val="Fotnotsreferens"/>
        </w:rPr>
        <w:footnoteReference w:id="20"/>
      </w:r>
      <w:r w:rsidRPr="003E67AC">
        <w:t xml:space="preserve"> </w:t>
      </w:r>
    </w:p>
    <w:p w:rsidRPr="003E67AC" w:rsidR="00961C20" w:rsidP="00943E8A" w:rsidRDefault="00067C0A" w14:paraId="2AA7E7B9" w14:textId="2ED1E04F">
      <w:pPr>
        <w:pStyle w:val="ListaPunkt"/>
        <w:ind w:left="284" w:hanging="284"/>
      </w:pPr>
      <w:r w:rsidRPr="003E67AC">
        <w:t>Förköpsrätt för det offentliga.</w:t>
      </w:r>
    </w:p>
    <w:p w:rsidRPr="003E67AC" w:rsidR="00C96BBF" w:rsidP="006C5821" w:rsidRDefault="00F57EA8" w14:paraId="65B1FCA4" w14:textId="198BD929">
      <w:pPr>
        <w:pStyle w:val="Rubrik1numrerat"/>
      </w:pPr>
      <w:bookmarkStart w:name="_Hlk196400201" w:id="26"/>
      <w:bookmarkStart w:name="_Toc197351635" w:id="27"/>
      <w:r w:rsidRPr="003E67AC">
        <w:t>Rusta hushållen i krisen</w:t>
      </w:r>
      <w:bookmarkEnd w:id="27"/>
    </w:p>
    <w:p w:rsidRPr="003E67AC" w:rsidR="007851F5" w:rsidP="00E42CA1" w:rsidRDefault="0027032A" w14:paraId="2B9B7559" w14:textId="408E436C">
      <w:pPr>
        <w:pStyle w:val="Normalutanindragellerluft"/>
        <w:rPr>
          <w:rFonts w:eastAsia="Times New Roman"/>
          <w:lang w:eastAsia="sv-SE"/>
        </w:rPr>
      </w:pPr>
      <w:r w:rsidRPr="003E67AC">
        <w:rPr>
          <w:rFonts w:eastAsia="Times New Roman"/>
          <w:lang w:eastAsia="sv-SE"/>
        </w:rPr>
        <w:t>Till följd av de senaste årens höga inflation har omkring tio års reallöneökning raderats ut. De senaste årens snabba prisökningar på basvaror såsom el, boende, mat och driv</w:t>
      </w:r>
      <w:r w:rsidR="00D219BE">
        <w:rPr>
          <w:rFonts w:eastAsia="Times New Roman"/>
          <w:lang w:eastAsia="sv-SE"/>
        </w:rPr>
        <w:softHyphen/>
      </w:r>
      <w:r w:rsidRPr="003E67AC">
        <w:rPr>
          <w:rFonts w:eastAsia="Times New Roman"/>
          <w:lang w:eastAsia="sv-SE"/>
        </w:rPr>
        <w:t xml:space="preserve">medel gör att fler hushåll får svårt att klara sin grundläggande försörjning. </w:t>
      </w:r>
    </w:p>
    <w:p w:rsidRPr="003E67AC" w:rsidR="001236A1" w:rsidP="00241E0D" w:rsidRDefault="00241E0D" w14:paraId="236101FD" w14:textId="06C601D8">
      <w:pPr>
        <w:rPr>
          <w:lang w:eastAsia="sv-SE"/>
        </w:rPr>
      </w:pPr>
      <w:r w:rsidRPr="003E67AC">
        <w:rPr>
          <w:lang w:eastAsia="sv-SE"/>
        </w:rPr>
        <w:t>Över 330</w:t>
      </w:r>
      <w:r w:rsidRPr="003E67AC" w:rsidR="00D776B4">
        <w:rPr>
          <w:lang w:eastAsia="sv-SE"/>
        </w:rPr>
        <w:t> </w:t>
      </w:r>
      <w:r w:rsidRPr="003E67AC">
        <w:rPr>
          <w:lang w:eastAsia="sv-SE"/>
        </w:rPr>
        <w:t xml:space="preserve">000 </w:t>
      </w:r>
      <w:r w:rsidRPr="003E67AC" w:rsidR="009960B3">
        <w:rPr>
          <w:lang w:eastAsia="sv-SE"/>
        </w:rPr>
        <w:t xml:space="preserve">fler </w:t>
      </w:r>
      <w:r w:rsidRPr="003E67AC">
        <w:rPr>
          <w:lang w:eastAsia="sv-SE"/>
        </w:rPr>
        <w:t>människor lev</w:t>
      </w:r>
      <w:r w:rsidR="009960B3">
        <w:rPr>
          <w:lang w:eastAsia="sv-SE"/>
        </w:rPr>
        <w:t>d</w:t>
      </w:r>
      <w:r w:rsidRPr="003E67AC">
        <w:rPr>
          <w:lang w:eastAsia="sv-SE"/>
        </w:rPr>
        <w:t xml:space="preserve">e </w:t>
      </w:r>
      <w:r w:rsidRPr="003E67AC" w:rsidR="0027032A">
        <w:rPr>
          <w:lang w:eastAsia="sv-SE"/>
        </w:rPr>
        <w:t>i materiell och social fattigdom</w:t>
      </w:r>
      <w:r w:rsidRPr="003E67AC">
        <w:rPr>
          <w:rStyle w:val="Fotnotsreferens"/>
          <w:lang w:eastAsia="sv-SE"/>
        </w:rPr>
        <w:footnoteReference w:id="21"/>
      </w:r>
      <w:r w:rsidRPr="003E67AC" w:rsidR="0027032A">
        <w:rPr>
          <w:lang w:eastAsia="sv-SE"/>
        </w:rPr>
        <w:t xml:space="preserve"> </w:t>
      </w:r>
      <w:r w:rsidRPr="003E67AC">
        <w:rPr>
          <w:lang w:eastAsia="sv-SE"/>
        </w:rPr>
        <w:t xml:space="preserve">i Sverige </w:t>
      </w:r>
      <w:r w:rsidRPr="003E67AC" w:rsidR="0027032A">
        <w:rPr>
          <w:lang w:eastAsia="sv-SE"/>
        </w:rPr>
        <w:t>202</w:t>
      </w:r>
      <w:r w:rsidRPr="003E67AC">
        <w:rPr>
          <w:lang w:eastAsia="sv-SE"/>
        </w:rPr>
        <w:t>4 än 2021. Det är en ökning med över 90 procent.</w:t>
      </w:r>
      <w:r w:rsidRPr="003E67AC" w:rsidR="0027032A">
        <w:rPr>
          <w:lang w:eastAsia="sv-SE"/>
        </w:rPr>
        <w:t xml:space="preserve"> För måttet allvarlig materiell och social fattigdom</w:t>
      </w:r>
      <w:r w:rsidRPr="003E67AC">
        <w:rPr>
          <w:rStyle w:val="Fotnotsreferens"/>
          <w:lang w:eastAsia="sv-SE"/>
        </w:rPr>
        <w:footnoteReference w:id="22"/>
      </w:r>
      <w:r w:rsidRPr="003E67AC" w:rsidR="0027032A">
        <w:rPr>
          <w:lang w:eastAsia="sv-SE"/>
        </w:rPr>
        <w:t xml:space="preserve"> är ökningen ännu tydligare och uppgår till </w:t>
      </w:r>
      <w:r w:rsidRPr="003E67AC">
        <w:rPr>
          <w:lang w:eastAsia="sv-SE"/>
        </w:rPr>
        <w:t>över 110</w:t>
      </w:r>
      <w:r w:rsidRPr="003E67AC" w:rsidR="0027032A">
        <w:rPr>
          <w:lang w:eastAsia="sv-SE"/>
        </w:rPr>
        <w:t xml:space="preserve"> procent, vilket motsvarar </w:t>
      </w:r>
      <w:r w:rsidRPr="003E67AC">
        <w:rPr>
          <w:lang w:eastAsia="sv-SE"/>
        </w:rPr>
        <w:t xml:space="preserve">närmare </w:t>
      </w:r>
      <w:r w:rsidRPr="003E67AC" w:rsidR="0027032A">
        <w:rPr>
          <w:lang w:eastAsia="sv-SE"/>
        </w:rPr>
        <w:t>1</w:t>
      </w:r>
      <w:r w:rsidRPr="003E67AC">
        <w:rPr>
          <w:lang w:eastAsia="sv-SE"/>
        </w:rPr>
        <w:t>70</w:t>
      </w:r>
      <w:r w:rsidRPr="003E67AC" w:rsidR="00D776B4">
        <w:rPr>
          <w:lang w:eastAsia="sv-SE"/>
        </w:rPr>
        <w:t> </w:t>
      </w:r>
      <w:r w:rsidRPr="003E67AC" w:rsidR="0027032A">
        <w:rPr>
          <w:lang w:eastAsia="sv-SE"/>
        </w:rPr>
        <w:t>000</w:t>
      </w:r>
      <w:r w:rsidRPr="003E67AC">
        <w:rPr>
          <w:lang w:eastAsia="sv-SE"/>
        </w:rPr>
        <w:t xml:space="preserve"> </w:t>
      </w:r>
      <w:r w:rsidRPr="003E67AC" w:rsidR="0027032A">
        <w:rPr>
          <w:lang w:eastAsia="sv-SE"/>
        </w:rPr>
        <w:t>människor</w:t>
      </w:r>
      <w:r w:rsidRPr="003E67AC" w:rsidR="003D0546">
        <w:rPr>
          <w:lang w:eastAsia="sv-SE"/>
        </w:rPr>
        <w:t xml:space="preserve"> (se figur </w:t>
      </w:r>
      <w:r w:rsidRPr="003E67AC" w:rsidR="001E5A9D">
        <w:rPr>
          <w:lang w:eastAsia="sv-SE"/>
        </w:rPr>
        <w:t>13</w:t>
      </w:r>
      <w:r w:rsidRPr="003E67AC" w:rsidR="003D0546">
        <w:rPr>
          <w:lang w:eastAsia="sv-SE"/>
        </w:rPr>
        <w:t xml:space="preserve"> nedan)</w:t>
      </w:r>
      <w:r w:rsidRPr="003E67AC" w:rsidR="0027032A">
        <w:rPr>
          <w:lang w:eastAsia="sv-SE"/>
        </w:rPr>
        <w:t xml:space="preserve">. </w:t>
      </w:r>
    </w:p>
    <w:p w:rsidRPr="003E67AC" w:rsidR="001236A1" w:rsidP="0022557B" w:rsidRDefault="001236A1" w14:paraId="390DF57F" w14:textId="4B2E4AB7">
      <w:pPr>
        <w:pStyle w:val="Tabellrubrik"/>
        <w:spacing w:before="300"/>
        <w:rPr>
          <w:lang w:eastAsia="sv-SE"/>
        </w:rPr>
      </w:pPr>
      <w:r w:rsidRPr="003E67AC">
        <w:rPr>
          <w:lang w:eastAsia="sv-SE"/>
        </w:rPr>
        <w:t xml:space="preserve">Figur </w:t>
      </w:r>
      <w:r w:rsidRPr="003E67AC" w:rsidR="004F1979">
        <w:rPr>
          <w:lang w:eastAsia="sv-SE"/>
        </w:rPr>
        <w:t>13</w:t>
      </w:r>
      <w:r w:rsidRPr="003E67AC">
        <w:rPr>
          <w:lang w:eastAsia="sv-SE"/>
        </w:rPr>
        <w:t xml:space="preserve"> </w:t>
      </w:r>
      <w:r w:rsidRPr="003E67AC">
        <w:t>Fattigdomens</w:t>
      </w:r>
      <w:r w:rsidRPr="003E67AC">
        <w:rPr>
          <w:lang w:eastAsia="sv-SE"/>
        </w:rPr>
        <w:t xml:space="preserve"> utveckling i Sverige 2021</w:t>
      </w:r>
      <w:r w:rsidRPr="003E67AC" w:rsidR="001931F3">
        <w:rPr>
          <w:lang w:eastAsia="sv-SE"/>
        </w:rPr>
        <w:t>–</w:t>
      </w:r>
      <w:r w:rsidRPr="003E67AC">
        <w:rPr>
          <w:lang w:eastAsia="sv-SE"/>
        </w:rPr>
        <w:t>2024, antal människor</w:t>
      </w:r>
    </w:p>
    <w:p w:rsidRPr="003E67AC" w:rsidR="001236A1" w:rsidP="0022557B" w:rsidRDefault="001236A1" w14:paraId="25F81F84" w14:textId="2822118E">
      <w:pPr>
        <w:ind w:left="-425"/>
        <w:jc w:val="both"/>
        <w:rPr>
          <w:lang w:eastAsia="sv-SE"/>
        </w:rPr>
      </w:pPr>
      <w:r w:rsidRPr="003E67AC">
        <w:rPr>
          <w:noProof/>
          <w14:numSpacing w14:val="default"/>
        </w:rPr>
        <w:drawing>
          <wp:inline distT="0" distB="0" distL="0" distR="0" wp14:anchorId="3E0840A3" wp14:editId="39D007FA">
            <wp:extent cx="5400000" cy="3236400"/>
            <wp:effectExtent l="0" t="0" r="10795" b="2540"/>
            <wp:docPr id="11" name="Diagram 11" descr="">
              <a:extLst xmlns:a="http://schemas.openxmlformats.org/drawingml/2006/main">
                <a:ext uri="{FF2B5EF4-FFF2-40B4-BE49-F238E27FC236}">
                  <a16:creationId xmlns:a16="http://schemas.microsoft.com/office/drawing/2014/main" id="{A04B2144-CFAB-46C5-9450-A8FC137ADB61}"/>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Pr="003E67AC" w:rsidR="001236A1" w:rsidP="0022557B" w:rsidRDefault="001236A1" w14:paraId="5BFFAC98" w14:textId="76A9EAB5">
      <w:pPr>
        <w:pStyle w:val="Klla"/>
        <w:spacing w:before="40"/>
        <w:rPr>
          <w:lang w:eastAsia="sv-SE"/>
        </w:rPr>
      </w:pPr>
      <w:r w:rsidRPr="003E67AC">
        <w:rPr>
          <w:lang w:eastAsia="sv-SE"/>
        </w:rPr>
        <w:t>Källa: SCB</w:t>
      </w:r>
      <w:r w:rsidR="00322DA6">
        <w:rPr>
          <w:lang w:eastAsia="sv-SE"/>
        </w:rPr>
        <w:t>.</w:t>
      </w:r>
    </w:p>
    <w:p w:rsidRPr="003E67AC" w:rsidR="0027032A" w:rsidP="00EC7099" w:rsidRDefault="00241E0D" w14:paraId="5E4BD5E4" w14:textId="5BCF4730">
      <w:pPr>
        <w:pStyle w:val="Normalutanindragellerluft"/>
        <w:spacing w:before="150"/>
        <w:rPr>
          <w:lang w:eastAsia="sv-SE"/>
        </w:rPr>
      </w:pPr>
      <w:r w:rsidRPr="003E67AC">
        <w:rPr>
          <w:lang w:eastAsia="sv-SE"/>
        </w:rPr>
        <w:t>Antalet människor som saknar kontantmarginal öka</w:t>
      </w:r>
      <w:r w:rsidR="00322DA6">
        <w:rPr>
          <w:lang w:eastAsia="sv-SE"/>
        </w:rPr>
        <w:t>de</w:t>
      </w:r>
      <w:r w:rsidRPr="003E67AC">
        <w:rPr>
          <w:lang w:eastAsia="sv-SE"/>
        </w:rPr>
        <w:t xml:space="preserve"> med över 22 procent</w:t>
      </w:r>
      <w:r w:rsidR="00322DA6">
        <w:rPr>
          <w:lang w:eastAsia="sv-SE"/>
        </w:rPr>
        <w:t>,</w:t>
      </w:r>
      <w:r w:rsidRPr="003E67AC">
        <w:rPr>
          <w:lang w:eastAsia="sv-SE"/>
        </w:rPr>
        <w:t xml:space="preserve"> och över 35 procent fler ang</w:t>
      </w:r>
      <w:r w:rsidR="00322DA6">
        <w:rPr>
          <w:lang w:eastAsia="sv-SE"/>
        </w:rPr>
        <w:t>av</w:t>
      </w:r>
      <w:r w:rsidRPr="003E67AC">
        <w:rPr>
          <w:lang w:eastAsia="sv-SE"/>
        </w:rPr>
        <w:t xml:space="preserve"> att de ha</w:t>
      </w:r>
      <w:r w:rsidR="00322DA6">
        <w:rPr>
          <w:lang w:eastAsia="sv-SE"/>
        </w:rPr>
        <w:t>de</w:t>
      </w:r>
      <w:r w:rsidRPr="003E67AC">
        <w:rPr>
          <w:lang w:eastAsia="sv-SE"/>
        </w:rPr>
        <w:t xml:space="preserve"> svårt att få ekonomin att gå ihop 2024 </w:t>
      </w:r>
      <w:r w:rsidR="00322DA6">
        <w:rPr>
          <w:lang w:eastAsia="sv-SE"/>
        </w:rPr>
        <w:t>jämfört med</w:t>
      </w:r>
      <w:r w:rsidRPr="003E67AC">
        <w:rPr>
          <w:lang w:eastAsia="sv-SE"/>
        </w:rPr>
        <w:t xml:space="preserve"> 2021. </w:t>
      </w:r>
      <w:r w:rsidRPr="003E67AC">
        <w:rPr>
          <w:lang w:eastAsia="sv-SE"/>
        </w:rPr>
        <w:lastRenderedPageBreak/>
        <w:t>Antalet som inte ha</w:t>
      </w:r>
      <w:r w:rsidR="00322DA6">
        <w:rPr>
          <w:lang w:eastAsia="sv-SE"/>
        </w:rPr>
        <w:t>de</w:t>
      </w:r>
      <w:r w:rsidRPr="003E67AC">
        <w:rPr>
          <w:lang w:eastAsia="sv-SE"/>
        </w:rPr>
        <w:t xml:space="preserve"> råd att köpa nya kläder eller varje vecka spendera en mindre summa på sig själv fördubbla</w:t>
      </w:r>
      <w:r w:rsidR="00322DA6">
        <w:rPr>
          <w:lang w:eastAsia="sv-SE"/>
        </w:rPr>
        <w:t>de</w:t>
      </w:r>
      <w:r w:rsidRPr="003E67AC">
        <w:rPr>
          <w:lang w:eastAsia="sv-SE"/>
        </w:rPr>
        <w:t xml:space="preserve">s </w:t>
      </w:r>
      <w:r w:rsidRPr="003E67AC" w:rsidR="00322DA6">
        <w:rPr>
          <w:lang w:eastAsia="sv-SE"/>
        </w:rPr>
        <w:t xml:space="preserve">nästan </w:t>
      </w:r>
      <w:r w:rsidRPr="003E67AC">
        <w:rPr>
          <w:lang w:eastAsia="sv-SE"/>
        </w:rPr>
        <w:t>under perioden.</w:t>
      </w:r>
      <w:r w:rsidRPr="003E67AC">
        <w:rPr>
          <w:rStyle w:val="Fotnotsreferens"/>
          <w:lang w:eastAsia="sv-SE"/>
        </w:rPr>
        <w:footnoteReference w:id="23"/>
      </w:r>
      <w:r w:rsidRPr="003E67AC">
        <w:rPr>
          <w:lang w:eastAsia="sv-SE"/>
        </w:rPr>
        <w:t xml:space="preserve"> </w:t>
      </w:r>
    </w:p>
    <w:p w:rsidRPr="003E67AC" w:rsidR="003D0546" w:rsidP="00E42CA1" w:rsidRDefault="003D0546" w14:paraId="01A41DCF" w14:textId="2071714C">
      <w:pPr>
        <w:rPr>
          <w:lang w:eastAsia="sv-SE"/>
        </w:rPr>
      </w:pPr>
      <w:r w:rsidRPr="003E67AC">
        <w:rPr>
          <w:lang w:eastAsia="sv-SE"/>
        </w:rPr>
        <w:t xml:space="preserve">Kronofogden rapporterar fortsatt om dramatiska ökningar av antalet skuldsatta och de samlade skuldbeloppen (se figur </w:t>
      </w:r>
      <w:r w:rsidRPr="003E67AC" w:rsidR="001E5A9D">
        <w:rPr>
          <w:lang w:eastAsia="sv-SE"/>
        </w:rPr>
        <w:t>14</w:t>
      </w:r>
      <w:r w:rsidRPr="003E67AC">
        <w:rPr>
          <w:lang w:eastAsia="sv-SE"/>
        </w:rPr>
        <w:t xml:space="preserve"> nedan). Vidare fortsätter antalet ansökningar om och v</w:t>
      </w:r>
      <w:r w:rsidRPr="003E67AC" w:rsidR="003544ED">
        <w:rPr>
          <w:lang w:eastAsia="sv-SE"/>
        </w:rPr>
        <w:t>e</w:t>
      </w:r>
      <w:r w:rsidRPr="003E67AC">
        <w:rPr>
          <w:lang w:eastAsia="sv-SE"/>
        </w:rPr>
        <w:t>rkst</w:t>
      </w:r>
      <w:r w:rsidRPr="003E67AC" w:rsidR="003544ED">
        <w:rPr>
          <w:lang w:eastAsia="sv-SE"/>
        </w:rPr>
        <w:t>ä</w:t>
      </w:r>
      <w:r w:rsidRPr="003E67AC">
        <w:rPr>
          <w:lang w:eastAsia="sv-SE"/>
        </w:rPr>
        <w:t>llande av vräkningar att öka. Det gäller även vräkningar där barn är berörda.</w:t>
      </w:r>
      <w:r w:rsidRPr="003E67AC">
        <w:rPr>
          <w:rStyle w:val="Fotnotsreferens"/>
          <w:lang w:eastAsia="sv-SE"/>
        </w:rPr>
        <w:footnoteReference w:id="24"/>
      </w:r>
      <w:r w:rsidRPr="003E67AC">
        <w:rPr>
          <w:lang w:eastAsia="sv-SE"/>
        </w:rPr>
        <w:t xml:space="preserve"> </w:t>
      </w:r>
    </w:p>
    <w:p w:rsidRPr="003E67AC" w:rsidR="001236A1" w:rsidP="0022557B" w:rsidRDefault="001236A1" w14:paraId="0D0A7330" w14:textId="2867C501">
      <w:pPr>
        <w:pStyle w:val="Tabellrubrik"/>
        <w:spacing w:before="300"/>
        <w:rPr>
          <w:lang w:eastAsia="sv-SE"/>
        </w:rPr>
      </w:pPr>
      <w:r w:rsidRPr="003E67AC">
        <w:rPr>
          <w:lang w:eastAsia="sv-SE"/>
        </w:rPr>
        <w:t xml:space="preserve">Figur </w:t>
      </w:r>
      <w:r w:rsidRPr="003E67AC" w:rsidR="004F1979">
        <w:rPr>
          <w:lang w:eastAsia="sv-SE"/>
        </w:rPr>
        <w:t>14</w:t>
      </w:r>
      <w:r w:rsidRPr="003E67AC">
        <w:rPr>
          <w:lang w:eastAsia="sv-SE"/>
        </w:rPr>
        <w:t xml:space="preserve"> Antalet skuldsatta och skuldbeloppet i indrivningsdatabasen</w:t>
      </w:r>
    </w:p>
    <w:p w:rsidRPr="003E67AC" w:rsidR="001236A1" w:rsidP="0022557B" w:rsidRDefault="001236A1" w14:paraId="040EEFDD" w14:textId="7D1FBF0D">
      <w:pPr>
        <w:ind w:left="-454"/>
        <w:rPr>
          <w:lang w:eastAsia="sv-SE"/>
        </w:rPr>
      </w:pPr>
      <w:r w:rsidRPr="003E67AC">
        <w:rPr>
          <w:noProof/>
        </w:rPr>
        <w:drawing>
          <wp:inline distT="0" distB="0" distL="0" distR="0" wp14:anchorId="45F13FAC" wp14:editId="64DF0888">
            <wp:extent cx="5400000" cy="2815560"/>
            <wp:effectExtent l="0" t="0" r="10795" b="4445"/>
            <wp:docPr id="12" name="Diagram 12" desc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Pr="003E67AC" w:rsidR="003D0546" w:rsidP="0022557B" w:rsidRDefault="003D0546" w14:paraId="4A3D2087" w14:textId="1A7120DF">
      <w:pPr>
        <w:pStyle w:val="Klla"/>
        <w:spacing w:before="40"/>
        <w:rPr>
          <w:lang w:eastAsia="sv-SE"/>
        </w:rPr>
      </w:pPr>
      <w:r w:rsidRPr="003E67AC">
        <w:rPr>
          <w:lang w:eastAsia="sv-SE"/>
        </w:rPr>
        <w:t>Källa: Kronofogden</w:t>
      </w:r>
      <w:r w:rsidR="008217D6">
        <w:rPr>
          <w:lang w:eastAsia="sv-SE"/>
        </w:rPr>
        <w:t>.</w:t>
      </w:r>
    </w:p>
    <w:p w:rsidRPr="003E67AC" w:rsidR="00C9050A" w:rsidP="00EC7099" w:rsidRDefault="00C9050A" w14:paraId="45E807AC" w14:textId="2CBD5C8E">
      <w:pPr>
        <w:pStyle w:val="Normalutanindragellerluft"/>
        <w:spacing w:before="150"/>
        <w:rPr>
          <w:lang w:eastAsia="sv-SE"/>
        </w:rPr>
      </w:pPr>
      <w:r w:rsidRPr="003E67AC">
        <w:rPr>
          <w:lang w:eastAsia="sv-SE"/>
        </w:rPr>
        <w:t xml:space="preserve">Enligt nya siffror från Swedbank har </w:t>
      </w:r>
      <w:r w:rsidRPr="003E67AC">
        <w:t>barnbidraget</w:t>
      </w:r>
      <w:r w:rsidRPr="003E67AC" w:rsidR="00E10C46">
        <w:t>s</w:t>
      </w:r>
      <w:r w:rsidRPr="003E67AC">
        <w:rPr>
          <w:lang w:eastAsia="sv-SE"/>
        </w:rPr>
        <w:t xml:space="preserve"> reala värde </w:t>
      </w:r>
      <w:r w:rsidRPr="003E67AC" w:rsidR="00EF45DD">
        <w:rPr>
          <w:lang w:eastAsia="sv-SE"/>
        </w:rPr>
        <w:t>inte någon gång</w:t>
      </w:r>
      <w:r w:rsidRPr="003E67AC">
        <w:rPr>
          <w:lang w:eastAsia="sv-SE"/>
        </w:rPr>
        <w:t xml:space="preserve"> under de senaste 50 åren som banken följt hushållens ekonomi varit så lågt som i år. </w:t>
      </w:r>
      <w:r w:rsidRPr="003E67AC" w:rsidR="0064549D">
        <w:rPr>
          <w:lang w:eastAsia="sv-SE"/>
        </w:rPr>
        <w:t>När banken började sina mätningar 1974 täckte barnbidraget 32 procent av en genomsnittlig tio</w:t>
      </w:r>
      <w:r w:rsidR="00D219BE">
        <w:rPr>
          <w:lang w:eastAsia="sv-SE"/>
        </w:rPr>
        <w:softHyphen/>
      </w:r>
      <w:r w:rsidRPr="003E67AC" w:rsidR="0064549D">
        <w:rPr>
          <w:lang w:eastAsia="sv-SE"/>
        </w:rPr>
        <w:t>årings nödvändiga levnadskostnader (exklusive boendet)</w:t>
      </w:r>
      <w:r w:rsidR="008217D6">
        <w:rPr>
          <w:lang w:eastAsia="sv-SE"/>
        </w:rPr>
        <w:t xml:space="preserve"> – a</w:t>
      </w:r>
      <w:r w:rsidRPr="003E67AC" w:rsidR="0064549D">
        <w:rPr>
          <w:lang w:eastAsia="sv-SE"/>
        </w:rPr>
        <w:t xml:space="preserve">tt jämföra med </w:t>
      </w:r>
      <w:r w:rsidRPr="003E67AC">
        <w:rPr>
          <w:lang w:eastAsia="sv-SE"/>
        </w:rPr>
        <w:t>2025</w:t>
      </w:r>
      <w:r w:rsidRPr="003E67AC" w:rsidR="0064549D">
        <w:rPr>
          <w:lang w:eastAsia="sv-SE"/>
        </w:rPr>
        <w:t xml:space="preserve"> då det</w:t>
      </w:r>
      <w:r w:rsidRPr="003E67AC">
        <w:rPr>
          <w:lang w:eastAsia="sv-SE"/>
        </w:rPr>
        <w:t xml:space="preserve"> täcker 25 procent. För sju år sedan höjdes barnbidraget till nuvarande nivå (1</w:t>
      </w:r>
      <w:r w:rsidRPr="003E67AC" w:rsidR="0077294A">
        <w:rPr>
          <w:lang w:eastAsia="sv-SE"/>
        </w:rPr>
        <w:t> </w:t>
      </w:r>
      <w:r w:rsidRPr="003E67AC">
        <w:rPr>
          <w:lang w:eastAsia="sv-SE"/>
        </w:rPr>
        <w:t>250 kronor i månaden). Då räckte det till 36 procent av en genomsnittlig tioårings nödvändiga levnadskostnader (exklusive boendet). Även underhållsstödet, som ensamstående föräldrar kan få från Försäkringskassan, har minskat med 18 procent i fasta priser sedan den senaste höjningen 20</w:t>
      </w:r>
      <w:r w:rsidRPr="003E67AC" w:rsidR="006A7FF6">
        <w:rPr>
          <w:lang w:eastAsia="sv-SE"/>
        </w:rPr>
        <w:t>21</w:t>
      </w:r>
      <w:r w:rsidRPr="003E67AC">
        <w:rPr>
          <w:lang w:eastAsia="sv-SE"/>
        </w:rPr>
        <w:t>, enligt Swedbanks beräkningar.</w:t>
      </w:r>
      <w:r w:rsidRPr="003E67AC">
        <w:rPr>
          <w:rStyle w:val="Fotnotsreferens"/>
          <w:lang w:eastAsia="sv-SE"/>
        </w:rPr>
        <w:footnoteReference w:id="25"/>
      </w:r>
    </w:p>
    <w:p w:rsidRPr="003E67AC" w:rsidR="00B92B7C" w:rsidP="00E42CA1" w:rsidRDefault="00241E0D" w14:paraId="56539855" w14:textId="55B0441F">
      <w:pPr>
        <w:rPr>
          <w:lang w:eastAsia="sv-SE"/>
        </w:rPr>
      </w:pPr>
      <w:r w:rsidRPr="003E67AC">
        <w:rPr>
          <w:lang w:eastAsia="sv-SE"/>
        </w:rPr>
        <w:t>Den här utvecklingen syns inte bara i statistiken. Hjälporganisationer har under flera år vittnat om hur de har behöv</w:t>
      </w:r>
      <w:r w:rsidRPr="003E67AC" w:rsidR="00B92B7C">
        <w:rPr>
          <w:lang w:eastAsia="sv-SE"/>
        </w:rPr>
        <w:t>t</w:t>
      </w:r>
      <w:r w:rsidRPr="003E67AC">
        <w:rPr>
          <w:lang w:eastAsia="sv-SE"/>
        </w:rPr>
        <w:t xml:space="preserve"> ställa om sin</w:t>
      </w:r>
      <w:r w:rsidRPr="003E67AC" w:rsidR="00B92B7C">
        <w:rPr>
          <w:lang w:eastAsia="sv-SE"/>
        </w:rPr>
        <w:t>a</w:t>
      </w:r>
      <w:r w:rsidRPr="003E67AC">
        <w:rPr>
          <w:lang w:eastAsia="sv-SE"/>
        </w:rPr>
        <w:t xml:space="preserve"> verksamheter för att möta nya grupper</w:t>
      </w:r>
      <w:r w:rsidRPr="003E67AC" w:rsidR="00B92B7C">
        <w:rPr>
          <w:lang w:eastAsia="sv-SE"/>
        </w:rPr>
        <w:t xml:space="preserve"> och ta ett allt större ansvar när de offentliga skyddsnäten monteras ned</w:t>
      </w:r>
      <w:r w:rsidRPr="003E67AC">
        <w:rPr>
          <w:lang w:eastAsia="sv-SE"/>
        </w:rPr>
        <w:t>.</w:t>
      </w:r>
      <w:r w:rsidRPr="003E67AC" w:rsidR="00B92B7C">
        <w:rPr>
          <w:lang w:eastAsia="sv-SE"/>
        </w:rPr>
        <w:t xml:space="preserve"> </w:t>
      </w:r>
      <w:r w:rsidRPr="003E67AC" w:rsidR="00BB558C">
        <w:rPr>
          <w:lang w:eastAsia="sv-SE"/>
        </w:rPr>
        <w:t xml:space="preserve">I en undersökning </w:t>
      </w:r>
      <w:r w:rsidRPr="003E67AC" w:rsidR="00BB558C">
        <w:rPr>
          <w:lang w:eastAsia="sv-SE"/>
        </w:rPr>
        <w:lastRenderedPageBreak/>
        <w:t xml:space="preserve">som Rädda </w:t>
      </w:r>
      <w:r w:rsidR="008217D6">
        <w:rPr>
          <w:lang w:eastAsia="sv-SE"/>
        </w:rPr>
        <w:t>B</w:t>
      </w:r>
      <w:r w:rsidRPr="003E67AC" w:rsidR="00BB558C">
        <w:rPr>
          <w:lang w:eastAsia="sv-SE"/>
        </w:rPr>
        <w:t xml:space="preserve">arnen, Röda </w:t>
      </w:r>
      <w:r w:rsidR="008217D6">
        <w:rPr>
          <w:lang w:eastAsia="sv-SE"/>
        </w:rPr>
        <w:t>K</w:t>
      </w:r>
      <w:r w:rsidRPr="003E67AC" w:rsidR="00BB558C">
        <w:rPr>
          <w:lang w:eastAsia="sv-SE"/>
        </w:rPr>
        <w:t xml:space="preserve">orset, Hyresgästföreningen och Majblomman nyligen publicerat framgår att </w:t>
      </w:r>
      <w:r w:rsidRPr="003E67AC" w:rsidR="00B92B7C">
        <w:rPr>
          <w:lang w:eastAsia="sv-SE"/>
        </w:rPr>
        <w:t xml:space="preserve">29 procent av de ensamstående föräldrarna med låga inkomster </w:t>
      </w:r>
      <w:r w:rsidRPr="003E67AC" w:rsidR="00BB558C">
        <w:rPr>
          <w:lang w:eastAsia="sv-SE"/>
        </w:rPr>
        <w:t xml:space="preserve">har </w:t>
      </w:r>
      <w:r w:rsidRPr="003E67AC" w:rsidR="00B92B7C">
        <w:rPr>
          <w:lang w:eastAsia="sv-SE"/>
        </w:rPr>
        <w:t>haft svårigheter med att äta sig mätta</w:t>
      </w:r>
      <w:r w:rsidRPr="003E67AC" w:rsidR="00BB558C">
        <w:rPr>
          <w:lang w:eastAsia="sv-SE"/>
        </w:rPr>
        <w:t>. Det</w:t>
      </w:r>
      <w:r w:rsidRPr="003E67AC" w:rsidR="00B92B7C">
        <w:rPr>
          <w:lang w:eastAsia="sv-SE"/>
        </w:rPr>
        <w:t xml:space="preserve"> är en ökning med 9</w:t>
      </w:r>
      <w:r w:rsidR="00BF2BC7">
        <w:rPr>
          <w:lang w:eastAsia="sv-SE"/>
        </w:rPr>
        <w:t> </w:t>
      </w:r>
      <w:r w:rsidRPr="003E67AC" w:rsidR="00B92B7C">
        <w:rPr>
          <w:lang w:eastAsia="sv-SE"/>
        </w:rPr>
        <w:t>procentenheter jämfört med 2024. 50 procent bland ensamstående föräldrar med låg inkomst uppger att de vid något eller flera tillfällen har haft svårt att ha råd att köpa näringsrik mat.</w:t>
      </w:r>
      <w:r w:rsidRPr="003E67AC" w:rsidR="00BB558C">
        <w:rPr>
          <w:lang w:eastAsia="sv-SE"/>
        </w:rPr>
        <w:t xml:space="preserve"> </w:t>
      </w:r>
      <w:r w:rsidRPr="003E67AC" w:rsidR="00B92B7C">
        <w:rPr>
          <w:lang w:eastAsia="sv-SE"/>
        </w:rPr>
        <w:t>Bland sammanboende föräldrar med låga inkomster är motsvarande siffra 30 procent. 44 procent bland ensamstående föräldrar har behövt låna pengar av en närstående, vän eller bank för att betala grundläggande utgifter som hyra, el och mat. Motsvarande siffra bland sammanboende med låg inkomst är 30 procent.</w:t>
      </w:r>
    </w:p>
    <w:p w:rsidRPr="003E67AC" w:rsidR="00241E0D" w:rsidP="00E42CA1" w:rsidRDefault="00B92B7C" w14:paraId="7466AC8D" w14:textId="5F4700DB">
      <w:pPr>
        <w:rPr>
          <w:lang w:eastAsia="sv-SE"/>
        </w:rPr>
      </w:pPr>
      <w:r w:rsidRPr="003E67AC">
        <w:rPr>
          <w:lang w:eastAsia="sv-SE"/>
        </w:rPr>
        <w:t>60 procent</w:t>
      </w:r>
      <w:r w:rsidRPr="003E67AC" w:rsidR="00BB558C">
        <w:rPr>
          <w:lang w:eastAsia="sv-SE"/>
        </w:rPr>
        <w:t xml:space="preserve"> </w:t>
      </w:r>
      <w:r w:rsidRPr="003E67AC">
        <w:rPr>
          <w:lang w:eastAsia="sv-SE"/>
        </w:rPr>
        <w:t>av ensamstående föräldrar med låg inkomst oroar sig för sin försörjning de kommande sex månaderna. Motsvarande siffra för sammanboende föräldrar med låg inkomst är 37 procent, medan endast 7</w:t>
      </w:r>
      <w:r w:rsidR="00BF2BC7">
        <w:rPr>
          <w:lang w:eastAsia="sv-SE"/>
        </w:rPr>
        <w:t> </w:t>
      </w:r>
      <w:r w:rsidRPr="003E67AC">
        <w:rPr>
          <w:lang w:eastAsia="sv-SE"/>
        </w:rPr>
        <w:t xml:space="preserve">procent i </w:t>
      </w:r>
      <w:r w:rsidRPr="003E67AC" w:rsidR="00BB558C">
        <w:rPr>
          <w:lang w:eastAsia="sv-SE"/>
        </w:rPr>
        <w:t xml:space="preserve">undersökningens </w:t>
      </w:r>
      <w:r w:rsidRPr="003E67AC">
        <w:rPr>
          <w:lang w:eastAsia="sv-SE"/>
        </w:rPr>
        <w:t>kontrollgrupp delar samma oro.</w:t>
      </w:r>
      <w:r w:rsidRPr="003E67AC" w:rsidR="00BB558C">
        <w:rPr>
          <w:lang w:eastAsia="sv-SE"/>
        </w:rPr>
        <w:t xml:space="preserve"> </w:t>
      </w:r>
      <w:r w:rsidRPr="003E67AC">
        <w:rPr>
          <w:lang w:eastAsia="sv-SE"/>
        </w:rPr>
        <w:t>27 procent av ensamstående och 21 procent av sammanboende föräldrar har haft svårigheter att kunna betala räkningar koppla</w:t>
      </w:r>
      <w:r w:rsidR="00BF2BC7">
        <w:rPr>
          <w:lang w:eastAsia="sv-SE"/>
        </w:rPr>
        <w:t>de</w:t>
      </w:r>
      <w:r w:rsidRPr="003E67AC">
        <w:rPr>
          <w:lang w:eastAsia="sv-SE"/>
        </w:rPr>
        <w:t xml:space="preserve"> till sitt boende de senaste 6</w:t>
      </w:r>
      <w:r w:rsidR="00BF2BC7">
        <w:rPr>
          <w:lang w:eastAsia="sv-SE"/>
        </w:rPr>
        <w:t> </w:t>
      </w:r>
      <w:r w:rsidRPr="003E67AC">
        <w:rPr>
          <w:lang w:eastAsia="sv-SE"/>
        </w:rPr>
        <w:t>månaderna.</w:t>
      </w:r>
    </w:p>
    <w:p w:rsidRPr="003E67AC" w:rsidR="00BB558C" w:rsidP="00E42CA1" w:rsidRDefault="00BB558C" w14:paraId="45FB9DCB" w14:textId="687D1C26">
      <w:pPr>
        <w:rPr>
          <w:lang w:eastAsia="sv-SE"/>
        </w:rPr>
      </w:pPr>
      <w:r w:rsidRPr="003E67AC">
        <w:rPr>
          <w:lang w:eastAsia="sv-SE"/>
        </w:rPr>
        <w:t xml:space="preserve">I undersökningen beskriver de svarande hur de har svårt att få råd till mat i slutet av månaden och tvingas </w:t>
      </w:r>
      <w:r w:rsidR="00BF2BC7">
        <w:rPr>
          <w:lang w:eastAsia="sv-SE"/>
        </w:rPr>
        <w:t xml:space="preserve">att </w:t>
      </w:r>
      <w:r w:rsidRPr="003E67AC">
        <w:rPr>
          <w:lang w:eastAsia="sv-SE"/>
        </w:rPr>
        <w:t>avstå från att köpa kläder som barnen behöver eller delta i olika aktiviteter.</w:t>
      </w:r>
      <w:r w:rsidRPr="003E67AC">
        <w:rPr>
          <w:rStyle w:val="Fotnotsreferens"/>
          <w:lang w:eastAsia="sv-SE"/>
        </w:rPr>
        <w:footnoteReference w:id="26"/>
      </w:r>
      <w:r w:rsidRPr="003E67AC">
        <w:rPr>
          <w:lang w:eastAsia="sv-SE"/>
        </w:rPr>
        <w:t xml:space="preserve"> </w:t>
      </w:r>
    </w:p>
    <w:p w:rsidRPr="003E67AC" w:rsidR="00757DBE" w:rsidP="006C5821" w:rsidRDefault="00757DBE" w14:paraId="702442B4" w14:textId="6A9E2F53">
      <w:pPr>
        <w:pStyle w:val="Rubrik2numrerat"/>
      </w:pPr>
      <w:bookmarkStart w:name="_Toc197351636" w:id="28"/>
      <w:r w:rsidRPr="003E67AC">
        <w:t>Regeringen förvärrar för hushållen</w:t>
      </w:r>
      <w:bookmarkEnd w:id="28"/>
    </w:p>
    <w:p w:rsidRPr="003E67AC" w:rsidR="000F7AD0" w:rsidP="00E42CA1" w:rsidRDefault="000F7AD0" w14:paraId="00E681A5" w14:textId="71DC1DC7">
      <w:pPr>
        <w:pStyle w:val="Normalutanindragellerluft"/>
        <w:rPr>
          <w:lang w:eastAsia="sv-SE"/>
        </w:rPr>
      </w:pPr>
      <w:r w:rsidRPr="003E67AC">
        <w:rPr>
          <w:lang w:eastAsia="sv-SE"/>
        </w:rPr>
        <w:t xml:space="preserve">Trots den ökade fattigdomen och ekonomiska utsattheten </w:t>
      </w:r>
      <w:r w:rsidR="00873F07">
        <w:rPr>
          <w:lang w:eastAsia="sv-SE"/>
        </w:rPr>
        <w:t>minskade</w:t>
      </w:r>
      <w:r w:rsidRPr="003E67AC">
        <w:rPr>
          <w:lang w:eastAsia="sv-SE"/>
        </w:rPr>
        <w:t xml:space="preserve"> utbetalningen av ekonomiskt bistånd med nästan 900 miljoner kronor i löpande priser mellan 2021 och 2024. Sammantaget har den totala utbetalningen av ekonomiskt bistånd endast ökat med drygt 400 miljoner kronor i löpande priser sedan 1994, med vissa skiftningar i båda riktningar</w:t>
      </w:r>
      <w:r w:rsidRPr="003E67AC" w:rsidR="0077294A">
        <w:rPr>
          <w:lang w:eastAsia="sv-SE"/>
        </w:rPr>
        <w:t>na</w:t>
      </w:r>
      <w:r w:rsidRPr="003E67AC">
        <w:rPr>
          <w:lang w:eastAsia="sv-SE"/>
        </w:rPr>
        <w:t xml:space="preserve"> under perioden. Trots det vill regeringen strama åt rätten till och nivåerna i </w:t>
      </w:r>
      <w:r w:rsidRPr="00D219BE">
        <w:rPr>
          <w:spacing w:val="-2"/>
          <w:lang w:eastAsia="sv-SE"/>
        </w:rPr>
        <w:t>det ekonomiska biståndet, ofta med udden riktad mot utrikes</w:t>
      </w:r>
      <w:r w:rsidRPr="00D219BE" w:rsidR="003E5FC7">
        <w:rPr>
          <w:spacing w:val="-2"/>
          <w:lang w:eastAsia="sv-SE"/>
        </w:rPr>
        <w:t xml:space="preserve"> </w:t>
      </w:r>
      <w:r w:rsidRPr="00D219BE">
        <w:rPr>
          <w:spacing w:val="-2"/>
          <w:lang w:eastAsia="sv-SE"/>
        </w:rPr>
        <w:t>födda</w:t>
      </w:r>
      <w:r w:rsidRPr="00D219BE" w:rsidR="00E10C46">
        <w:rPr>
          <w:spacing w:val="-2"/>
          <w:lang w:eastAsia="sv-SE"/>
        </w:rPr>
        <w:t xml:space="preserve"> utifrån föreställningen</w:t>
      </w:r>
      <w:r w:rsidRPr="003E67AC" w:rsidR="00E10C46">
        <w:rPr>
          <w:lang w:eastAsia="sv-SE"/>
        </w:rPr>
        <w:t xml:space="preserve"> </w:t>
      </w:r>
      <w:r w:rsidRPr="00D219BE" w:rsidR="00E10C46">
        <w:rPr>
          <w:spacing w:val="-2"/>
          <w:lang w:eastAsia="sv-SE"/>
        </w:rPr>
        <w:t>att de lever på bidrag</w:t>
      </w:r>
      <w:r w:rsidRPr="00D219BE">
        <w:rPr>
          <w:spacing w:val="-2"/>
          <w:lang w:eastAsia="sv-SE"/>
        </w:rPr>
        <w:t>. Sedan 2000 har dock andelen utrikes</w:t>
      </w:r>
      <w:r w:rsidRPr="00D219BE" w:rsidR="003E5FC7">
        <w:rPr>
          <w:spacing w:val="-2"/>
          <w:lang w:eastAsia="sv-SE"/>
        </w:rPr>
        <w:t xml:space="preserve"> </w:t>
      </w:r>
      <w:r w:rsidRPr="00D219BE">
        <w:rPr>
          <w:spacing w:val="-2"/>
          <w:lang w:eastAsia="sv-SE"/>
        </w:rPr>
        <w:t>födda som uppbär ekonomiskt</w:t>
      </w:r>
      <w:r w:rsidRPr="003E67AC">
        <w:rPr>
          <w:lang w:eastAsia="sv-SE"/>
        </w:rPr>
        <w:t xml:space="preserve"> bistånd minskat från drygt 12 procent till 3,6 procent 2023. </w:t>
      </w:r>
    </w:p>
    <w:p w:rsidRPr="003E67AC" w:rsidR="00960C0E" w:rsidP="00BB558C" w:rsidRDefault="000F7AD0" w14:paraId="7ACB7BCD" w14:textId="779470A6">
      <w:pPr>
        <w:rPr>
          <w:lang w:eastAsia="sv-SE"/>
        </w:rPr>
      </w:pPr>
      <w:r w:rsidRPr="003E67AC">
        <w:rPr>
          <w:lang w:eastAsia="sv-SE"/>
        </w:rPr>
        <w:t xml:space="preserve">Bostadsbidraget är en annan ersättning som riktas till de </w:t>
      </w:r>
      <w:r w:rsidR="00F74A92">
        <w:rPr>
          <w:lang w:eastAsia="sv-SE"/>
        </w:rPr>
        <w:t xml:space="preserve">hushåll som har det </w:t>
      </w:r>
      <w:r w:rsidRPr="003E67AC">
        <w:rPr>
          <w:lang w:eastAsia="sv-SE"/>
        </w:rPr>
        <w:t>allra sämst ställ</w:t>
      </w:r>
      <w:r w:rsidR="00F74A92">
        <w:rPr>
          <w:lang w:eastAsia="sv-SE"/>
        </w:rPr>
        <w:t>t och</w:t>
      </w:r>
      <w:r w:rsidRPr="003E67AC">
        <w:rPr>
          <w:lang w:eastAsia="sv-SE"/>
        </w:rPr>
        <w:t xml:space="preserve"> som </w:t>
      </w:r>
      <w:r w:rsidR="00F74A92">
        <w:rPr>
          <w:lang w:eastAsia="sv-SE"/>
        </w:rPr>
        <w:t xml:space="preserve">har </w:t>
      </w:r>
      <w:r w:rsidRPr="003E67AC">
        <w:rPr>
          <w:lang w:eastAsia="sv-SE"/>
        </w:rPr>
        <w:t xml:space="preserve">urholkats </w:t>
      </w:r>
      <w:r w:rsidRPr="003E67AC" w:rsidR="0053735C">
        <w:rPr>
          <w:lang w:eastAsia="sv-SE"/>
        </w:rPr>
        <w:t xml:space="preserve">kraftigt </w:t>
      </w:r>
      <w:r w:rsidRPr="003E67AC">
        <w:rPr>
          <w:lang w:eastAsia="sv-SE"/>
        </w:rPr>
        <w:t>genom åren. Antalet hushåll som tar emot bostadsbidrag har halverats på 25 år.</w:t>
      </w:r>
      <w:r w:rsidRPr="003E67AC" w:rsidR="008F1003">
        <w:rPr>
          <w:lang w:eastAsia="sv-SE"/>
        </w:rPr>
        <w:t xml:space="preserve"> Sedan regeringen tillträdde med stöd av S</w:t>
      </w:r>
      <w:r w:rsidRPr="003E67AC" w:rsidR="002E7326">
        <w:rPr>
          <w:lang w:eastAsia="sv-SE"/>
        </w:rPr>
        <w:t>verige</w:t>
      </w:r>
      <w:r w:rsidR="00D219BE">
        <w:rPr>
          <w:lang w:eastAsia="sv-SE"/>
        </w:rPr>
        <w:softHyphen/>
      </w:r>
      <w:r w:rsidRPr="003E67AC" w:rsidR="002E7326">
        <w:rPr>
          <w:lang w:eastAsia="sv-SE"/>
        </w:rPr>
        <w:t>demokraterna</w:t>
      </w:r>
      <w:r w:rsidRPr="003E67AC" w:rsidR="008F1003">
        <w:rPr>
          <w:lang w:eastAsia="sv-SE"/>
        </w:rPr>
        <w:t xml:space="preserve"> har den skurit ned bostadsbidraget med närmare 700 miljoner </w:t>
      </w:r>
      <w:r w:rsidRPr="003E67AC" w:rsidR="008F1003">
        <w:rPr>
          <w:lang w:eastAsia="sv-SE"/>
        </w:rPr>
        <w:lastRenderedPageBreak/>
        <w:t>kronor</w:t>
      </w:r>
      <w:r w:rsidR="008C60EF">
        <w:rPr>
          <w:lang w:eastAsia="sv-SE"/>
        </w:rPr>
        <w:t>,</w:t>
      </w:r>
      <w:r w:rsidRPr="003E67AC" w:rsidR="008F1003">
        <w:rPr>
          <w:lang w:eastAsia="sv-SE"/>
        </w:rPr>
        <w:t xml:space="preserve"> och antalet mottagare har fortsatt </w:t>
      </w:r>
      <w:r w:rsidR="00B73980">
        <w:rPr>
          <w:lang w:eastAsia="sv-SE"/>
        </w:rPr>
        <w:t xml:space="preserve">att </w:t>
      </w:r>
      <w:r w:rsidRPr="003E67AC" w:rsidR="008F1003">
        <w:rPr>
          <w:lang w:eastAsia="sv-SE"/>
        </w:rPr>
        <w:t xml:space="preserve">minska. I budgeten för 2025 drev </w:t>
      </w:r>
      <w:r w:rsidRPr="003E67AC" w:rsidR="00867104">
        <w:rPr>
          <w:lang w:eastAsia="sv-SE"/>
        </w:rPr>
        <w:t>regeringen</w:t>
      </w:r>
      <w:r w:rsidRPr="003E67AC" w:rsidR="008F1003">
        <w:rPr>
          <w:lang w:eastAsia="sv-SE"/>
        </w:rPr>
        <w:t xml:space="preserve"> igenom en nedtrappning av tilläggsbidraget i bostadsbidraget och aviserade att det ska fasas ut.</w:t>
      </w:r>
      <w:r w:rsidRPr="003E67AC" w:rsidR="006A7FF6">
        <w:rPr>
          <w:lang w:eastAsia="sv-SE"/>
        </w:rPr>
        <w:t xml:space="preserve"> Under mandatperioden prognostiseras de samlade utgifterna för bostadsbidraget minska med över </w:t>
      </w:r>
      <w:r w:rsidRPr="003E67AC" w:rsidR="00C73A8F">
        <w:rPr>
          <w:lang w:eastAsia="sv-SE"/>
        </w:rPr>
        <w:t>1</w:t>
      </w:r>
      <w:r w:rsidR="00B73980">
        <w:rPr>
          <w:lang w:eastAsia="sv-SE"/>
        </w:rPr>
        <w:t> </w:t>
      </w:r>
      <w:r w:rsidRPr="003E67AC" w:rsidR="006A7FF6">
        <w:rPr>
          <w:lang w:eastAsia="sv-SE"/>
        </w:rPr>
        <w:t>miljard kronor eller nästan 25 procent.</w:t>
      </w:r>
      <w:r w:rsidRPr="003E67AC" w:rsidR="00537912">
        <w:rPr>
          <w:rStyle w:val="Fotnotsreferens"/>
          <w:lang w:eastAsia="sv-SE"/>
        </w:rPr>
        <w:footnoteReference w:id="27"/>
      </w:r>
      <w:r w:rsidRPr="003E67AC" w:rsidR="008F1003">
        <w:rPr>
          <w:lang w:eastAsia="sv-SE"/>
        </w:rPr>
        <w:t xml:space="preserve"> </w:t>
      </w:r>
    </w:p>
    <w:p w:rsidRPr="003E67AC" w:rsidR="000F7AD0" w:rsidP="00E42CA1" w:rsidRDefault="00960C0E" w14:paraId="242BA34A" w14:textId="70448E3C">
      <w:pPr>
        <w:rPr>
          <w:lang w:eastAsia="sv-SE"/>
        </w:rPr>
      </w:pPr>
      <w:r w:rsidRPr="003E67AC">
        <w:rPr>
          <w:lang w:eastAsia="sv-SE"/>
        </w:rPr>
        <w:t>Regeringen och S</w:t>
      </w:r>
      <w:r w:rsidRPr="003E67AC" w:rsidR="002E7326">
        <w:rPr>
          <w:lang w:eastAsia="sv-SE"/>
        </w:rPr>
        <w:t>verigedemokraterna</w:t>
      </w:r>
      <w:r w:rsidRPr="003E67AC">
        <w:rPr>
          <w:lang w:eastAsia="sv-SE"/>
        </w:rPr>
        <w:t xml:space="preserve"> har dessutom drivit igenom höjda kostnader för läkemedel. Det handlar i många fall om läkemedel som är livsnödvändiga eller avgörande för människors tillvaro. Den som har små eller inga marginaler</w:t>
      </w:r>
      <w:r w:rsidRPr="003E67AC" w:rsidR="008F1003">
        <w:rPr>
          <w:lang w:eastAsia="sv-SE"/>
        </w:rPr>
        <w:t xml:space="preserve"> </w:t>
      </w:r>
      <w:r w:rsidRPr="003E67AC">
        <w:rPr>
          <w:lang w:eastAsia="sv-SE"/>
        </w:rPr>
        <w:t xml:space="preserve">kommer </w:t>
      </w:r>
      <w:r w:rsidR="00B73980">
        <w:rPr>
          <w:lang w:eastAsia="sv-SE"/>
        </w:rPr>
        <w:t xml:space="preserve">att </w:t>
      </w:r>
      <w:r w:rsidRPr="003E67AC">
        <w:rPr>
          <w:lang w:eastAsia="sv-SE"/>
        </w:rPr>
        <w:t>tvinga</w:t>
      </w:r>
      <w:r w:rsidRPr="003E67AC" w:rsidR="002E7326">
        <w:rPr>
          <w:lang w:eastAsia="sv-SE"/>
        </w:rPr>
        <w:t>s</w:t>
      </w:r>
      <w:r w:rsidRPr="003E67AC">
        <w:rPr>
          <w:lang w:eastAsia="sv-SE"/>
        </w:rPr>
        <w:t xml:space="preserve"> </w:t>
      </w:r>
      <w:r w:rsidR="00B73980">
        <w:rPr>
          <w:lang w:eastAsia="sv-SE"/>
        </w:rPr>
        <w:t xml:space="preserve">att </w:t>
      </w:r>
      <w:r w:rsidRPr="003E67AC">
        <w:rPr>
          <w:lang w:eastAsia="sv-SE"/>
        </w:rPr>
        <w:t>välja mellan att ta sin medicin eller skära ne</w:t>
      </w:r>
      <w:r w:rsidR="00B73980">
        <w:rPr>
          <w:lang w:eastAsia="sv-SE"/>
        </w:rPr>
        <w:t>d</w:t>
      </w:r>
      <w:r w:rsidRPr="003E67AC">
        <w:rPr>
          <w:lang w:eastAsia="sv-SE"/>
        </w:rPr>
        <w:t xml:space="preserve"> på något annat som är nödvändigt för att få livet att fungera. </w:t>
      </w:r>
    </w:p>
    <w:p w:rsidRPr="003E67AC" w:rsidR="00757DBE" w:rsidP="00E42CA1" w:rsidRDefault="00140E5E" w14:paraId="32D2E1FB" w14:textId="3E06F7F3">
      <w:pPr>
        <w:rPr>
          <w:lang w:eastAsia="sv-SE"/>
        </w:rPr>
      </w:pPr>
      <w:r w:rsidRPr="003E67AC">
        <w:rPr>
          <w:lang w:eastAsia="sv-SE"/>
        </w:rPr>
        <w:t>I</w:t>
      </w:r>
      <w:r w:rsidRPr="003E67AC" w:rsidR="002E7326">
        <w:rPr>
          <w:lang w:eastAsia="sv-SE"/>
        </w:rPr>
        <w:t> </w:t>
      </w:r>
      <w:r w:rsidRPr="003E67AC">
        <w:rPr>
          <w:lang w:eastAsia="sv-SE"/>
        </w:rPr>
        <w:t>stället har den sittande regeringen</w:t>
      </w:r>
      <w:r w:rsidRPr="003E67AC" w:rsidR="00960C0E">
        <w:rPr>
          <w:lang w:eastAsia="sv-SE"/>
        </w:rPr>
        <w:t xml:space="preserve"> med stöd av S</w:t>
      </w:r>
      <w:r w:rsidRPr="003E67AC" w:rsidR="006C2AC5">
        <w:rPr>
          <w:lang w:eastAsia="sv-SE"/>
        </w:rPr>
        <w:t>verigedemokraterna</w:t>
      </w:r>
      <w:r w:rsidRPr="003E67AC">
        <w:rPr>
          <w:lang w:eastAsia="sv-SE"/>
        </w:rPr>
        <w:t xml:space="preserve"> prioriterat skattesänkningar för de allra rikaste. I budgeten för 2025 sänkte regeringen skatten med över 33 miljarder kronor. En satsning som framför</w:t>
      </w:r>
      <w:r w:rsidRPr="003E67AC" w:rsidR="00591F5F">
        <w:rPr>
          <w:lang w:eastAsia="sv-SE"/>
        </w:rPr>
        <w:t xml:space="preserve"> </w:t>
      </w:r>
      <w:r w:rsidRPr="003E67AC">
        <w:rPr>
          <w:lang w:eastAsia="sv-SE"/>
        </w:rPr>
        <w:t>allt gynnade de</w:t>
      </w:r>
      <w:r w:rsidR="00B73980">
        <w:rPr>
          <w:lang w:eastAsia="sv-SE"/>
        </w:rPr>
        <w:t>m</w:t>
      </w:r>
      <w:r w:rsidRPr="003E67AC">
        <w:rPr>
          <w:lang w:eastAsia="sv-SE"/>
        </w:rPr>
        <w:t xml:space="preserve"> med högst inkomster. SVT avslöjade nyligen att regeringen och S</w:t>
      </w:r>
      <w:r w:rsidRPr="003E67AC" w:rsidR="006C2AC5">
        <w:rPr>
          <w:lang w:eastAsia="sv-SE"/>
        </w:rPr>
        <w:t>verigedemokraterna</w:t>
      </w:r>
      <w:r w:rsidRPr="003E67AC">
        <w:rPr>
          <w:lang w:eastAsia="sv-SE"/>
        </w:rPr>
        <w:t xml:space="preserve"> förhandlat om att i vårändringsbudgeten avsätta resurser för att betala ut ett extra barnbidrag men att S</w:t>
      </w:r>
      <w:r w:rsidRPr="003E67AC" w:rsidR="006C2AC5">
        <w:rPr>
          <w:lang w:eastAsia="sv-SE"/>
        </w:rPr>
        <w:t>verigedemokraterna</w:t>
      </w:r>
      <w:r w:rsidRPr="003E67AC">
        <w:rPr>
          <w:lang w:eastAsia="sv-SE"/>
        </w:rPr>
        <w:t xml:space="preserve"> sagt nej till det. Uppgiften bekräftas av en SD-källa som menar att partiet inte vill ge pengar till ”migranter”. S</w:t>
      </w:r>
      <w:r w:rsidRPr="003E67AC" w:rsidR="006C2AC5">
        <w:rPr>
          <w:lang w:eastAsia="sv-SE"/>
        </w:rPr>
        <w:t xml:space="preserve">verigedemokraternas </w:t>
      </w:r>
      <w:r w:rsidRPr="003E67AC">
        <w:rPr>
          <w:lang w:eastAsia="sv-SE"/>
        </w:rPr>
        <w:t xml:space="preserve">hat mot </w:t>
      </w:r>
      <w:r w:rsidRPr="003E67AC" w:rsidR="00FF00B8">
        <w:rPr>
          <w:lang w:eastAsia="sv-SE"/>
        </w:rPr>
        <w:t xml:space="preserve">människor som är födda </w:t>
      </w:r>
      <w:r w:rsidRPr="003E67AC" w:rsidR="006C2AC5">
        <w:rPr>
          <w:lang w:eastAsia="sv-SE"/>
        </w:rPr>
        <w:t>u</w:t>
      </w:r>
      <w:r w:rsidRPr="003E67AC" w:rsidR="00FF00B8">
        <w:rPr>
          <w:lang w:eastAsia="sv-SE"/>
        </w:rPr>
        <w:t>tanför Sverige</w:t>
      </w:r>
      <w:r w:rsidRPr="003E67AC">
        <w:rPr>
          <w:lang w:eastAsia="sv-SE"/>
        </w:rPr>
        <w:t xml:space="preserve"> är alltså så starkt att partiet inte vill hjälpa barnfamiljer i ekonomisk utsatthet eftersom det också skulle innebära att </w:t>
      </w:r>
      <w:r w:rsidRPr="003E67AC" w:rsidR="00FF00B8">
        <w:rPr>
          <w:lang w:eastAsia="sv-SE"/>
        </w:rPr>
        <w:t>utrikes</w:t>
      </w:r>
      <w:r w:rsidR="00CD4E29">
        <w:rPr>
          <w:lang w:eastAsia="sv-SE"/>
        </w:rPr>
        <w:t xml:space="preserve"> </w:t>
      </w:r>
      <w:r w:rsidRPr="003E67AC" w:rsidR="00FF00B8">
        <w:rPr>
          <w:lang w:eastAsia="sv-SE"/>
        </w:rPr>
        <w:t xml:space="preserve">födda skulle få mer pengar. </w:t>
      </w:r>
    </w:p>
    <w:p w:rsidRPr="003E67AC" w:rsidR="00757DBE" w:rsidP="006C5821" w:rsidRDefault="00757DBE" w14:paraId="6FF00E02" w14:textId="30F2E217">
      <w:pPr>
        <w:pStyle w:val="Rubrik2numrerat"/>
      </w:pPr>
      <w:bookmarkStart w:name="_Toc197351637" w:id="29"/>
      <w:r w:rsidRPr="003E67AC">
        <w:t>Vänsterpartiets stöd till de mest utsatta hushållen</w:t>
      </w:r>
      <w:bookmarkEnd w:id="29"/>
    </w:p>
    <w:p w:rsidRPr="003E67AC" w:rsidR="00757DBE" w:rsidP="00E42CA1" w:rsidRDefault="00757DBE" w14:paraId="1DDD6AC1" w14:textId="74F5989B">
      <w:pPr>
        <w:pStyle w:val="Normalutanindragellerluft"/>
      </w:pPr>
      <w:r w:rsidRPr="003E67AC">
        <w:t xml:space="preserve">Med Vänsterpartiets politik hade de mest utsatta hushållen stått betydligt bättre rustade i dagens ekonomiskt tuffa tider. I budgeten för 2025 föreslog vi </w:t>
      </w:r>
      <w:r w:rsidR="00EA6CB7">
        <w:t xml:space="preserve">en </w:t>
      </w:r>
      <w:r w:rsidRPr="003E67AC">
        <w:t xml:space="preserve">höjd och stärkt </w:t>
      </w:r>
      <w:r w:rsidR="00EA6CB7">
        <w:t>a</w:t>
      </w:r>
      <w:r w:rsidR="00EA6CB7">
        <w:noBreakHyphen/>
      </w:r>
      <w:r w:rsidRPr="003E67AC">
        <w:t>kassa, kraftiga höjningar och förstärkningar av sjukförsäkringen och bostadsbidraget samt ett höjt och indexerat barnbidrag. Vi har också föreslagit sänkta taxor i kollek</w:t>
      </w:r>
      <w:r w:rsidR="00D219BE">
        <w:softHyphen/>
      </w:r>
      <w:r w:rsidRPr="003E67AC">
        <w:t>tiv</w:t>
      </w:r>
      <w:r w:rsidR="00D219BE">
        <w:softHyphen/>
      </w:r>
      <w:r w:rsidRPr="003E67AC">
        <w:t>trafiken, lägre barnomsorgsavgifter för hushåll med låga inkomster och a</w:t>
      </w:r>
      <w:r w:rsidR="00532E6E">
        <w:t>vskaffat</w:t>
      </w:r>
      <w:r w:rsidRPr="003E67AC">
        <w:t xml:space="preserve"> karensavdrag. Sammantaget hade en </w:t>
      </w:r>
      <w:r w:rsidRPr="003E67AC" w:rsidR="00142DD3">
        <w:t>tvåbarns</w:t>
      </w:r>
      <w:r w:rsidRPr="003E67AC">
        <w:t xml:space="preserve">familj </w:t>
      </w:r>
      <w:r w:rsidRPr="003E67AC" w:rsidR="00142DD3">
        <w:t>där föräldrarna är</w:t>
      </w:r>
      <w:r w:rsidRPr="003E67AC">
        <w:t xml:space="preserve"> kommunal</w:t>
      </w:r>
      <w:r w:rsidR="00D219BE">
        <w:softHyphen/>
      </w:r>
      <w:r w:rsidRPr="003E67AC">
        <w:t>arbetare, varav en är sjukskriven</w:t>
      </w:r>
      <w:r w:rsidRPr="003E67AC" w:rsidR="00442B9A">
        <w:t>,</w:t>
      </w:r>
      <w:r w:rsidRPr="003E67AC" w:rsidR="00142DD3">
        <w:t xml:space="preserve"> fått omkring 6</w:t>
      </w:r>
      <w:r w:rsidRPr="003E67AC" w:rsidR="00442B9A">
        <w:t> </w:t>
      </w:r>
      <w:r w:rsidRPr="003E67AC" w:rsidR="00142DD3">
        <w:t xml:space="preserve">430 kronor mer per månad som en direkt konsekvens av vår politik. Utöver det hade våra förslag om att reglera bank-, livsmedels- och elmarknaderna lett till ytterligare sänkta utgifter för svenska hushåll. </w:t>
      </w:r>
    </w:p>
    <w:p w:rsidRPr="003E67AC" w:rsidR="00142DD3" w:rsidP="00142DD3" w:rsidRDefault="00142DD3" w14:paraId="3007A22E" w14:textId="56771344">
      <w:r w:rsidRPr="003E67AC">
        <w:lastRenderedPageBreak/>
        <w:t xml:space="preserve">En vårändringsbudget tillåter inte lika omfattande satsningar som höstbudgeten eftersom statens intäkter inte kan justeras på samma sätt genom skatteändringar. Vänsterpartiet anser att regeringen bör prioritera de mest utsatta barnfamiljerna i det nuvarande läget. Därför bör regeringen betala ut extra barnbidrag under juni och juli </w:t>
      </w:r>
      <w:r w:rsidRPr="003E67AC" w:rsidR="00280024">
        <w:t>så</w:t>
      </w:r>
      <w:r w:rsidRPr="003E67AC">
        <w:t xml:space="preserve"> att Sveriges barnfamiljer ska få en bättre sommar. För de mest utsatta barnhushållen är sommaren extra ekonomiskt krävande eftersom barnen inte får mat i skolan och pengarna inte räcker till semesteraktiviteter. </w:t>
      </w:r>
    </w:p>
    <w:p w:rsidRPr="003E67AC" w:rsidR="00142DD3" w:rsidP="00142DD3" w:rsidRDefault="00142DD3" w14:paraId="7199DF70" w14:textId="55BA47B2">
      <w:r w:rsidRPr="003E67AC">
        <w:t>Regeringen bör också förlänga och höja tilläggsbidraget i bostadsbidraget till 40 procent av de</w:t>
      </w:r>
      <w:r w:rsidRPr="003E67AC" w:rsidR="00B45818">
        <w:t>t</w:t>
      </w:r>
      <w:r w:rsidRPr="003E67AC">
        <w:t xml:space="preserve"> preliminära bidraget</w:t>
      </w:r>
      <w:r w:rsidRPr="003E67AC" w:rsidR="009912B3">
        <w:t xml:space="preserve"> och betala ut extra bostadsbidrag under juni och juli.</w:t>
      </w:r>
      <w:r w:rsidRPr="003E67AC">
        <w:t xml:space="preserve"> Samtidigt </w:t>
      </w:r>
      <w:r w:rsidRPr="003E67AC" w:rsidR="00E76A5B">
        <w:t xml:space="preserve">måste regeringen snarast ta tag i att reformera bostadsbidraget och införa månadsavstämning så </w:t>
      </w:r>
      <w:r w:rsidR="003B541F">
        <w:t xml:space="preserve">att </w:t>
      </w:r>
      <w:r w:rsidRPr="003E67AC" w:rsidR="00E76A5B">
        <w:t>färre blir återbetalningsskyldiga</w:t>
      </w:r>
      <w:r w:rsidRPr="003E67AC" w:rsidR="005C76AB">
        <w:t>.</w:t>
      </w:r>
    </w:p>
    <w:p w:rsidRPr="003E67AC" w:rsidR="009912B3" w:rsidP="00142DD3" w:rsidRDefault="009912B3" w14:paraId="071E23A7" w14:textId="13D3F795">
      <w:r w:rsidRPr="003E67AC">
        <w:t>De sämst ställda pensionärerna och personer som uppbär sjuk- eller aktivitets</w:t>
      </w:r>
      <w:r w:rsidR="00D219BE">
        <w:softHyphen/>
      </w:r>
      <w:r w:rsidRPr="003E67AC">
        <w:t>ersättning har också en mycket ansträngd ekonomi. Vänsterpartiet föreslår därför en höjning av bostadstillägget för ålderspensionärer och personer med sjuk- eller aktivitets</w:t>
      </w:r>
      <w:r w:rsidR="00D219BE">
        <w:softHyphen/>
      </w:r>
      <w:r w:rsidRPr="003E67AC">
        <w:t>ersättning. Vi vill höja bostadskostnadstaket</w:t>
      </w:r>
      <w:r w:rsidRPr="003E67AC" w:rsidR="009C17BE">
        <w:t xml:space="preserve"> under perioden juli till december 2025</w:t>
      </w:r>
      <w:r w:rsidRPr="003E67AC">
        <w:t xml:space="preserve"> med 20 procent, vilket motsvarar 1</w:t>
      </w:r>
      <w:r w:rsidRPr="003E67AC" w:rsidR="006157D8">
        <w:t> </w:t>
      </w:r>
      <w:r w:rsidRPr="003E67AC">
        <w:t>500 kronor per månad. Det betyder att maxbeloppet höjs med 1</w:t>
      </w:r>
      <w:r w:rsidRPr="003E67AC" w:rsidR="00B45818">
        <w:t> </w:t>
      </w:r>
      <w:r w:rsidRPr="003E67AC">
        <w:t xml:space="preserve">050 kronor på månad. </w:t>
      </w:r>
      <w:bookmarkStart w:name="_Hlk196299529" w:id="30"/>
      <w:r w:rsidRPr="003E67AC" w:rsidR="009C17BE">
        <w:t>De</w:t>
      </w:r>
      <w:r w:rsidRPr="003E67AC" w:rsidR="00B45818">
        <w:t>n</w:t>
      </w:r>
      <w:r w:rsidRPr="003E67AC" w:rsidR="009C17BE">
        <w:t xml:space="preserve"> totala kost</w:t>
      </w:r>
      <w:r w:rsidRPr="003E67AC" w:rsidR="00B45818">
        <w:t>n</w:t>
      </w:r>
      <w:r w:rsidRPr="003E67AC" w:rsidR="009C17BE">
        <w:t xml:space="preserve">aden för </w:t>
      </w:r>
      <w:r w:rsidRPr="003E67AC" w:rsidR="00280024">
        <w:t>förslagen</w:t>
      </w:r>
      <w:r w:rsidRPr="003E67AC" w:rsidR="00B45818">
        <w:t xml:space="preserve"> </w:t>
      </w:r>
      <w:r w:rsidRPr="003E67AC" w:rsidR="009C17BE">
        <w:t xml:space="preserve">uppgår till omkring </w:t>
      </w:r>
      <w:r w:rsidRPr="003E67AC" w:rsidR="00280024">
        <w:t>7,4</w:t>
      </w:r>
      <w:r w:rsidR="00D219BE">
        <w:t> </w:t>
      </w:r>
      <w:r w:rsidRPr="003E67AC">
        <w:t>m</w:t>
      </w:r>
      <w:r w:rsidRPr="003E67AC" w:rsidR="009C17BE">
        <w:t>iljarder kronor.</w:t>
      </w:r>
    </w:p>
    <w:p w:rsidRPr="003E67AC" w:rsidR="005C76AB" w:rsidP="00E42CA1" w:rsidRDefault="005C76AB" w14:paraId="7CA578CB" w14:textId="77777777">
      <w:pPr>
        <w:rPr>
          <w:lang w:eastAsia="sv-SE"/>
        </w:rPr>
      </w:pPr>
      <w:r w:rsidRPr="003E67AC">
        <w:rPr>
          <w:lang w:eastAsia="sv-SE"/>
        </w:rPr>
        <w:t>Vänsterpartiets förslag:</w:t>
      </w:r>
    </w:p>
    <w:p w:rsidRPr="003E67AC" w:rsidR="00914B4B" w:rsidP="00E42CA1" w:rsidRDefault="00914B4B" w14:paraId="10E033E2" w14:textId="6DC3E305">
      <w:pPr>
        <w:pStyle w:val="ListaPunkt"/>
        <w:ind w:left="284" w:hanging="284"/>
        <w:rPr>
          <w:lang w:eastAsia="sv-SE"/>
        </w:rPr>
      </w:pPr>
      <w:r w:rsidRPr="003E67AC">
        <w:rPr>
          <w:lang w:eastAsia="sv-SE"/>
        </w:rPr>
        <w:t>Betala ut extra barnbidrag (1</w:t>
      </w:r>
      <w:r w:rsidRPr="003E67AC" w:rsidR="00B45818">
        <w:rPr>
          <w:lang w:eastAsia="sv-SE"/>
        </w:rPr>
        <w:t> </w:t>
      </w:r>
      <w:r w:rsidRPr="003E67AC">
        <w:rPr>
          <w:lang w:eastAsia="sv-SE"/>
        </w:rPr>
        <w:t>250 kr</w:t>
      </w:r>
      <w:r w:rsidRPr="003E67AC" w:rsidR="00B45818">
        <w:rPr>
          <w:lang w:eastAsia="sv-SE"/>
        </w:rPr>
        <w:t xml:space="preserve">onor per </w:t>
      </w:r>
      <w:r w:rsidRPr="003E67AC">
        <w:rPr>
          <w:lang w:eastAsia="sv-SE"/>
        </w:rPr>
        <w:t>mån</w:t>
      </w:r>
      <w:r w:rsidRPr="003E67AC" w:rsidR="00B45818">
        <w:rPr>
          <w:lang w:eastAsia="sv-SE"/>
        </w:rPr>
        <w:t>ad</w:t>
      </w:r>
      <w:r w:rsidRPr="003E67AC">
        <w:rPr>
          <w:lang w:eastAsia="sv-SE"/>
        </w:rPr>
        <w:t>, totalt 2</w:t>
      </w:r>
      <w:r w:rsidRPr="003E67AC" w:rsidR="00B45818">
        <w:rPr>
          <w:lang w:eastAsia="sv-SE"/>
        </w:rPr>
        <w:t> </w:t>
      </w:r>
      <w:r w:rsidRPr="003E67AC">
        <w:rPr>
          <w:lang w:eastAsia="sv-SE"/>
        </w:rPr>
        <w:t>500 kr</w:t>
      </w:r>
      <w:r w:rsidRPr="003E67AC" w:rsidR="00B45818">
        <w:rPr>
          <w:lang w:eastAsia="sv-SE"/>
        </w:rPr>
        <w:t>onor</w:t>
      </w:r>
      <w:r w:rsidRPr="003E67AC">
        <w:rPr>
          <w:lang w:eastAsia="sv-SE"/>
        </w:rPr>
        <w:t>) i juni och juli (</w:t>
      </w:r>
      <w:r w:rsidRPr="003E67AC" w:rsidR="00B45818">
        <w:rPr>
          <w:lang w:eastAsia="sv-SE"/>
        </w:rPr>
        <w:t>k</w:t>
      </w:r>
      <w:r w:rsidRPr="003E67AC">
        <w:rPr>
          <w:lang w:eastAsia="sv-SE"/>
        </w:rPr>
        <w:t>ostnad: 4,8 miljarder kronor).</w:t>
      </w:r>
    </w:p>
    <w:p w:rsidRPr="003E67AC" w:rsidR="00914B4B" w:rsidP="00E42CA1" w:rsidRDefault="00914B4B" w14:paraId="04333188" w14:textId="6AB09811">
      <w:pPr>
        <w:pStyle w:val="ListaPunkt"/>
        <w:ind w:left="284" w:hanging="284"/>
        <w:rPr>
          <w:lang w:eastAsia="sv-SE"/>
        </w:rPr>
      </w:pPr>
      <w:r w:rsidRPr="003E67AC">
        <w:rPr>
          <w:lang w:eastAsia="sv-SE"/>
        </w:rPr>
        <w:t>Förläng och höj tilläggsbidraget i bostadsbidraget till 40 procent av de</w:t>
      </w:r>
      <w:r w:rsidR="00835EE9">
        <w:rPr>
          <w:lang w:eastAsia="sv-SE"/>
        </w:rPr>
        <w:t>t</w:t>
      </w:r>
      <w:r w:rsidRPr="003E67AC">
        <w:rPr>
          <w:lang w:eastAsia="sv-SE"/>
        </w:rPr>
        <w:t xml:space="preserve"> preliminära bidraget, maximalt 2</w:t>
      </w:r>
      <w:r w:rsidRPr="003E67AC" w:rsidR="00B45818">
        <w:rPr>
          <w:lang w:eastAsia="sv-SE"/>
        </w:rPr>
        <w:t> </w:t>
      </w:r>
      <w:r w:rsidRPr="003E67AC">
        <w:rPr>
          <w:lang w:eastAsia="sv-SE"/>
        </w:rPr>
        <w:t>100 kr</w:t>
      </w:r>
      <w:r w:rsidRPr="003E67AC" w:rsidR="00B45818">
        <w:rPr>
          <w:lang w:eastAsia="sv-SE"/>
        </w:rPr>
        <w:t>onor</w:t>
      </w:r>
      <w:r w:rsidRPr="003E67AC">
        <w:rPr>
          <w:lang w:eastAsia="sv-SE"/>
        </w:rPr>
        <w:t xml:space="preserve"> mer per månad (</w:t>
      </w:r>
      <w:r w:rsidRPr="003E67AC" w:rsidR="00B45818">
        <w:rPr>
          <w:lang w:eastAsia="sv-SE"/>
        </w:rPr>
        <w:t>k</w:t>
      </w:r>
      <w:r w:rsidRPr="003E67AC">
        <w:rPr>
          <w:lang w:eastAsia="sv-SE"/>
        </w:rPr>
        <w:t>ostnad: 650 miljoner kronor).</w:t>
      </w:r>
    </w:p>
    <w:p w:rsidRPr="003E67AC" w:rsidR="00914B4B" w:rsidP="00E42CA1" w:rsidRDefault="00914B4B" w14:paraId="3AFFEC5F" w14:textId="017573A1">
      <w:pPr>
        <w:pStyle w:val="ListaPunkt"/>
        <w:ind w:left="284" w:hanging="284"/>
        <w:rPr>
          <w:lang w:eastAsia="sv-SE"/>
        </w:rPr>
      </w:pPr>
      <w:r w:rsidRPr="003E67AC">
        <w:rPr>
          <w:lang w:eastAsia="sv-SE"/>
        </w:rPr>
        <w:t>Betala ut extra bostadsbidrag i juni och juli, maximalt 7</w:t>
      </w:r>
      <w:r w:rsidRPr="003E67AC" w:rsidR="00B45818">
        <w:rPr>
          <w:lang w:eastAsia="sv-SE"/>
        </w:rPr>
        <w:t> </w:t>
      </w:r>
      <w:r w:rsidRPr="003E67AC">
        <w:rPr>
          <w:lang w:eastAsia="sv-SE"/>
        </w:rPr>
        <w:t>300 kr</w:t>
      </w:r>
      <w:r w:rsidRPr="003E67AC" w:rsidR="00B45818">
        <w:rPr>
          <w:lang w:eastAsia="sv-SE"/>
        </w:rPr>
        <w:t xml:space="preserve">onor per </w:t>
      </w:r>
      <w:r w:rsidRPr="003E67AC">
        <w:rPr>
          <w:lang w:eastAsia="sv-SE"/>
        </w:rPr>
        <w:t>mån</w:t>
      </w:r>
      <w:r w:rsidRPr="003E67AC" w:rsidR="00B45818">
        <w:rPr>
          <w:lang w:eastAsia="sv-SE"/>
        </w:rPr>
        <w:t>ad</w:t>
      </w:r>
      <w:r w:rsidRPr="003E67AC">
        <w:rPr>
          <w:lang w:eastAsia="sv-SE"/>
        </w:rPr>
        <w:t>, totalt 14</w:t>
      </w:r>
      <w:r w:rsidRPr="003E67AC" w:rsidR="00B45818">
        <w:rPr>
          <w:lang w:eastAsia="sv-SE"/>
        </w:rPr>
        <w:t> </w:t>
      </w:r>
      <w:r w:rsidRPr="003E67AC">
        <w:rPr>
          <w:lang w:eastAsia="sv-SE"/>
        </w:rPr>
        <w:t>600 kronor (</w:t>
      </w:r>
      <w:r w:rsidRPr="003E67AC" w:rsidR="00B45818">
        <w:rPr>
          <w:lang w:eastAsia="sv-SE"/>
        </w:rPr>
        <w:t>k</w:t>
      </w:r>
      <w:r w:rsidRPr="003E67AC">
        <w:rPr>
          <w:lang w:eastAsia="sv-SE"/>
        </w:rPr>
        <w:t xml:space="preserve">ostnad: 365 miljoner kronor). </w:t>
      </w:r>
    </w:p>
    <w:p w:rsidRPr="003E67AC" w:rsidR="003C0EB1" w:rsidP="00E42CA1" w:rsidRDefault="003C0EB1" w14:paraId="61B06D31" w14:textId="660C5223">
      <w:pPr>
        <w:pStyle w:val="ListaPunkt"/>
        <w:ind w:left="284" w:hanging="284"/>
      </w:pPr>
      <w:r w:rsidRPr="003E67AC">
        <w:t xml:space="preserve">Inför månadsavstämning så </w:t>
      </w:r>
      <w:r w:rsidR="00835EE9">
        <w:t xml:space="preserve">att </w:t>
      </w:r>
      <w:r w:rsidRPr="003E67AC">
        <w:t>färre blir återbetalningsskyldiga.</w:t>
      </w:r>
    </w:p>
    <w:p w:rsidRPr="003E67AC" w:rsidR="000C56E2" w:rsidP="00E42CA1" w:rsidRDefault="00914B4B" w14:paraId="77369982" w14:textId="03803405">
      <w:pPr>
        <w:pStyle w:val="ListaPunkt"/>
        <w:ind w:left="284" w:hanging="284"/>
      </w:pPr>
      <w:r w:rsidRPr="003E67AC">
        <w:rPr>
          <w:lang w:eastAsia="sv-SE"/>
        </w:rPr>
        <w:t>Höj bostadstillägget för ålderspensionärer och i sjuk- och aktivitetsersättningen under andra halvan av 2025, maximalt 1</w:t>
      </w:r>
      <w:r w:rsidRPr="003E67AC" w:rsidR="00B45818">
        <w:rPr>
          <w:lang w:eastAsia="sv-SE"/>
        </w:rPr>
        <w:t> </w:t>
      </w:r>
      <w:r w:rsidRPr="003E67AC">
        <w:rPr>
          <w:lang w:eastAsia="sv-SE"/>
        </w:rPr>
        <w:t>050 kr</w:t>
      </w:r>
      <w:r w:rsidRPr="003E67AC" w:rsidR="00B45818">
        <w:rPr>
          <w:lang w:eastAsia="sv-SE"/>
        </w:rPr>
        <w:t xml:space="preserve">onor per </w:t>
      </w:r>
      <w:r w:rsidRPr="003E67AC">
        <w:rPr>
          <w:lang w:eastAsia="sv-SE"/>
        </w:rPr>
        <w:t>mån</w:t>
      </w:r>
      <w:r w:rsidRPr="003E67AC" w:rsidR="00B45818">
        <w:rPr>
          <w:lang w:eastAsia="sv-SE"/>
        </w:rPr>
        <w:t>ad</w:t>
      </w:r>
      <w:r w:rsidRPr="003E67AC">
        <w:rPr>
          <w:lang w:eastAsia="sv-SE"/>
        </w:rPr>
        <w:t xml:space="preserve"> (</w:t>
      </w:r>
      <w:r w:rsidRPr="003E67AC" w:rsidR="00B45818">
        <w:rPr>
          <w:lang w:eastAsia="sv-SE"/>
        </w:rPr>
        <w:t>k</w:t>
      </w:r>
      <w:r w:rsidRPr="003E67AC">
        <w:rPr>
          <w:lang w:eastAsia="sv-SE"/>
        </w:rPr>
        <w:t>ostnad: 1,6</w:t>
      </w:r>
      <w:r w:rsidR="00835EE9">
        <w:rPr>
          <w:lang w:eastAsia="sv-SE"/>
        </w:rPr>
        <w:t> </w:t>
      </w:r>
      <w:r w:rsidRPr="003E67AC">
        <w:rPr>
          <w:lang w:eastAsia="sv-SE"/>
        </w:rPr>
        <w:t>miljarder kronor).</w:t>
      </w:r>
      <w:r w:rsidRPr="003E67AC" w:rsidR="00D11D0D">
        <w:rPr>
          <w:rStyle w:val="Fotnotsreferens"/>
          <w:lang w:eastAsia="sv-SE"/>
        </w:rPr>
        <w:footnoteReference w:id="28"/>
      </w:r>
    </w:p>
    <w:p w:rsidRPr="003E67AC" w:rsidR="00C96BBF" w:rsidP="006C5821" w:rsidRDefault="0095136F" w14:paraId="05D68092" w14:textId="5FD11F0C">
      <w:pPr>
        <w:pStyle w:val="Rubrik1numrerat"/>
      </w:pPr>
      <w:bookmarkStart w:name="_Toc197351638" w:id="31"/>
      <w:bookmarkEnd w:id="26"/>
      <w:bookmarkEnd w:id="30"/>
      <w:r w:rsidRPr="003E67AC">
        <w:lastRenderedPageBreak/>
        <w:t xml:space="preserve">Ett robust </w:t>
      </w:r>
      <w:r w:rsidRPr="003E67AC" w:rsidR="00B65D12">
        <w:t xml:space="preserve">samhälle för ett starkt </w:t>
      </w:r>
      <w:r w:rsidRPr="003E67AC">
        <w:t>totalförsvar</w:t>
      </w:r>
      <w:bookmarkEnd w:id="31"/>
    </w:p>
    <w:p w:rsidRPr="003E67AC" w:rsidR="00544093" w:rsidP="00E42CA1" w:rsidRDefault="00DD4829" w14:paraId="5579A530" w14:textId="45CDCC1F">
      <w:pPr>
        <w:pStyle w:val="Normalutanindragellerluft"/>
      </w:pPr>
      <w:r w:rsidRPr="003E67AC">
        <w:t>Sverige och världen står i</w:t>
      </w:r>
      <w:r w:rsidRPr="003E67AC" w:rsidR="00331658">
        <w:t> </w:t>
      </w:r>
      <w:r w:rsidRPr="003E67AC">
        <w:t>dag inför större utmaningar än på länge</w:t>
      </w:r>
      <w:r w:rsidR="00835EE9">
        <w:t>,</w:t>
      </w:r>
      <w:r w:rsidRPr="003E67AC">
        <w:t xml:space="preserve"> och vi befinner oss i ett i många avseenden nytt säkerhetspolitiskt läge. Den säkerhetspolitiska situationen i Europa har förändrats och försämrats. Vi ser växande motsättningar, militär upprustning och ökad konfrontation på vår kontinent och i vårt närområde. Rysslands fullskaliga invasion av Ukraina, Donald Trumps presidentskap i USA och Sveriges medlemskap i Nato är faktorer som spelar in. Vänsterpartiet ser ett stort behov av att stärka total</w:t>
      </w:r>
      <w:r w:rsidR="00D219BE">
        <w:softHyphen/>
      </w:r>
      <w:r w:rsidRPr="003E67AC">
        <w:t>försvaret.</w:t>
      </w:r>
      <w:r w:rsidRPr="003E67AC" w:rsidR="00544093">
        <w:t xml:space="preserve"> Det är nödvändigt för att skapa ett trovärdigt svenskt försvar och ett robust samhälle som kan stå emot kriser och konflikter. </w:t>
      </w:r>
    </w:p>
    <w:p w:rsidRPr="003E67AC" w:rsidR="001F0637" w:rsidP="00E42CA1" w:rsidRDefault="00DB66D2" w14:paraId="6A210160" w14:textId="384B3700">
      <w:r w:rsidRPr="003E67AC">
        <w:t xml:space="preserve">Den svenska försvarsförmågan behöver snabbt förstärkas. Det innebär stora satsningar på </w:t>
      </w:r>
      <w:r w:rsidRPr="003E67AC" w:rsidR="00663185">
        <w:t xml:space="preserve">både </w:t>
      </w:r>
      <w:r w:rsidRPr="003E67AC">
        <w:t xml:space="preserve">militärt </w:t>
      </w:r>
      <w:r w:rsidRPr="003E67AC" w:rsidR="00663185">
        <w:t>och civilt</w:t>
      </w:r>
      <w:r w:rsidRPr="003E67AC">
        <w:t xml:space="preserve"> försvar och en </w:t>
      </w:r>
      <w:r w:rsidRPr="003E67AC" w:rsidR="00663185">
        <w:t>försvarsmakt</w:t>
      </w:r>
      <w:r w:rsidRPr="003E67AC">
        <w:t xml:space="preserve"> med goda villkor och löner för personalen, men också ett bredare fokus på samhällets funktionalitet. </w:t>
      </w:r>
      <w:r w:rsidRPr="003E67AC" w:rsidR="00DD4829">
        <w:t xml:space="preserve">En central del av det säkerhetspolitiska arbetet är att göra samhället mer jämlikt och stärka samhällets bottenplatta – välfärden. Samtidigt behövs omfattande investeringar i infrastruktur, elförsörjning och klimatåtgärder. </w:t>
      </w:r>
      <w:r w:rsidRPr="003E67AC" w:rsidR="009B7032">
        <w:t xml:space="preserve">Investeringar som måste göras i fredstid för att kunna fungera vid stora kriser. </w:t>
      </w:r>
    </w:p>
    <w:p w:rsidRPr="003E67AC" w:rsidR="00C23597" w:rsidP="00E42CA1" w:rsidRDefault="00C23597" w14:paraId="6016EA22" w14:textId="1C6B4056">
      <w:r w:rsidRPr="003E67AC">
        <w:t>När samhällets orättvisor och klassklyftorna ökar skapas en mer gynnsam grogrund för grov kriminalitet, särskilt i de fattigaste områdena. Välfärden och de skyddsnät som ska finnas runt barn som ligger i riskzonen för att hamna i gängens klor har monterats ne</w:t>
      </w:r>
      <w:r w:rsidR="009758CB">
        <w:t>d</w:t>
      </w:r>
      <w:r w:rsidRPr="003E67AC">
        <w:t>. Resultatet av det ser vi nu. Det är ett svek och ett samhällsmisslyckande. För att få ne</w:t>
      </w:r>
      <w:r w:rsidR="00DD057D">
        <w:t>d</w:t>
      </w:r>
      <w:r w:rsidRPr="003E67AC">
        <w:t xml:space="preserve"> brottsligheten går det inte bara att vara hård mot de kriminella; det gäller att vara smartare än de kriminella. Vissa straff kan behöva höjas, men mycket mer fokus måste riktas mot att förhindra rekryteringen av nya barn till gängkriminalitet.</w:t>
      </w:r>
    </w:p>
    <w:p w:rsidRPr="003E67AC" w:rsidR="009B7032" w:rsidP="00E42CA1" w:rsidRDefault="001F0637" w14:paraId="1646AA06" w14:textId="0EBE24E8">
      <w:r w:rsidRPr="003E67AC">
        <w:t xml:space="preserve">Svensk välfärd </w:t>
      </w:r>
      <w:r w:rsidRPr="003E67AC" w:rsidR="00DC0132">
        <w:t xml:space="preserve">är </w:t>
      </w:r>
      <w:r w:rsidRPr="003E67AC">
        <w:t xml:space="preserve">naturligtvis i första hand </w:t>
      </w:r>
      <w:r w:rsidRPr="003E67AC" w:rsidR="00DC0132">
        <w:t>till</w:t>
      </w:r>
      <w:r w:rsidRPr="003E67AC">
        <w:t xml:space="preserve"> för att tillgodose civila behov under normala omständigheter. Men det handlar också om att bygga Sverige starkt i händelse av </w:t>
      </w:r>
      <w:r w:rsidR="000657F7">
        <w:t xml:space="preserve">en </w:t>
      </w:r>
      <w:r w:rsidRPr="003E67AC">
        <w:t>kris och konflikt. E</w:t>
      </w:r>
      <w:r w:rsidRPr="003E67AC" w:rsidR="00496FEF">
        <w:t xml:space="preserve">tt robust samhälle </w:t>
      </w:r>
      <w:r w:rsidRPr="003E67AC" w:rsidR="00DD4829">
        <w:t xml:space="preserve">i normalläge och fredstid </w:t>
      </w:r>
      <w:r w:rsidRPr="003E67AC">
        <w:t xml:space="preserve">är </w:t>
      </w:r>
      <w:r w:rsidRPr="003E67AC" w:rsidR="00DD4829">
        <w:t>grunden</w:t>
      </w:r>
      <w:r w:rsidRPr="003E67AC">
        <w:t xml:space="preserve"> för detta</w:t>
      </w:r>
      <w:r w:rsidRPr="003E67AC" w:rsidR="00DD4829">
        <w:t xml:space="preserve">. </w:t>
      </w:r>
      <w:r w:rsidRPr="003E67AC" w:rsidR="00496FEF">
        <w:t>Det</w:t>
      </w:r>
      <w:r w:rsidRPr="003E67AC" w:rsidR="00DD4829">
        <w:t xml:space="preserve"> bygger på att alla invånare</w:t>
      </w:r>
      <w:r w:rsidRPr="003E67AC" w:rsidR="00496FEF">
        <w:t xml:space="preserve"> </w:t>
      </w:r>
      <w:r w:rsidRPr="003E67AC" w:rsidR="00DD4829">
        <w:t>får den välfärd</w:t>
      </w:r>
      <w:r w:rsidRPr="003E67AC" w:rsidR="00496FEF">
        <w:t>,</w:t>
      </w:r>
      <w:r w:rsidRPr="003E67AC" w:rsidR="00DD4829">
        <w:t xml:space="preserve"> den hjälp och det stöd som de behöver. Det betyder att alla ska ha en trygg bostad, att förskola och äldreomsorg ska ge våra yngsta och äldsta en trygg och givande vardag </w:t>
      </w:r>
      <w:r w:rsidRPr="003E67AC" w:rsidR="00496FEF">
        <w:t>och</w:t>
      </w:r>
      <w:r w:rsidRPr="003E67AC" w:rsidR="00DD4829">
        <w:t xml:space="preserve"> att alla ska känna sig säkra såväl på gator och torg som i det egna hemmet.</w:t>
      </w:r>
      <w:r w:rsidRPr="003E67AC" w:rsidR="009C3214">
        <w:t xml:space="preserve"> </w:t>
      </w:r>
      <w:r w:rsidRPr="003E67AC" w:rsidR="009B7032">
        <w:t xml:space="preserve">Personalbrist, dåliga arbetsvillkor och bristande kompetensförsörjning i delar av </w:t>
      </w:r>
      <w:r w:rsidR="00DD057D">
        <w:t xml:space="preserve">den </w:t>
      </w:r>
      <w:r w:rsidRPr="003E67AC" w:rsidR="009B7032">
        <w:t>offentlig</w:t>
      </w:r>
      <w:r w:rsidR="00DD057D">
        <w:t>a</w:t>
      </w:r>
      <w:r w:rsidRPr="003E67AC" w:rsidR="009B7032">
        <w:t xml:space="preserve"> sektor</w:t>
      </w:r>
      <w:r w:rsidR="00DD057D">
        <w:t>n</w:t>
      </w:r>
      <w:r w:rsidRPr="003E67AC" w:rsidR="009B7032">
        <w:t xml:space="preserve"> är problem som måste åtgärdas för en fungerande verksamhet på både kort och lång sikt. </w:t>
      </w:r>
    </w:p>
    <w:p w:rsidRPr="003E67AC" w:rsidR="00DC0132" w:rsidP="00E42CA1" w:rsidRDefault="001F0637" w14:paraId="0BB98AFF" w14:textId="0CADA345">
      <w:r w:rsidRPr="003E67AC">
        <w:t xml:space="preserve">Att rusta Sverige för kris och konflikt handlar </w:t>
      </w:r>
      <w:r w:rsidRPr="003E67AC" w:rsidR="00DD4829">
        <w:t xml:space="preserve">om </w:t>
      </w:r>
      <w:r w:rsidRPr="003E67AC">
        <w:t xml:space="preserve">såväl </w:t>
      </w:r>
      <w:r w:rsidR="00626A2D">
        <w:t xml:space="preserve">att ha </w:t>
      </w:r>
      <w:r w:rsidRPr="003E67AC" w:rsidR="00626A2D">
        <w:t xml:space="preserve">en beredskap för </w:t>
      </w:r>
      <w:r w:rsidRPr="003E67AC" w:rsidR="00DD4829">
        <w:t xml:space="preserve">militära hot och hybridhot </w:t>
      </w:r>
      <w:r w:rsidRPr="003E67AC">
        <w:t>som</w:t>
      </w:r>
      <w:r w:rsidRPr="003E67AC" w:rsidR="00DD4829">
        <w:t xml:space="preserve"> att möta effekterna av klimatförändringen</w:t>
      </w:r>
      <w:r w:rsidR="00626A2D">
        <w:t xml:space="preserve"> och</w:t>
      </w:r>
      <w:r w:rsidRPr="003E67AC" w:rsidR="00DD4829">
        <w:t xml:space="preserve"> risken för </w:t>
      </w:r>
      <w:r w:rsidRPr="003E67AC" w:rsidR="00DD4829">
        <w:lastRenderedPageBreak/>
        <w:t xml:space="preserve">långvariga leveransuppehåll i </w:t>
      </w:r>
      <w:r w:rsidR="00626A2D">
        <w:t xml:space="preserve">fråga om </w:t>
      </w:r>
      <w:r w:rsidRPr="003E67AC" w:rsidR="00DD4829">
        <w:t xml:space="preserve">el och livsmedel och andra civila svårigheter. Ett återuppbyggande av totalförsvaret, med alla de ekonomiska och personella resurser som det kräver, handlar i högsta grad om att rusta välfärden, att ta tillbaka kontrollen över vår infrastruktur och </w:t>
      </w:r>
      <w:r w:rsidR="00626A2D">
        <w:t xml:space="preserve">att </w:t>
      </w:r>
      <w:r w:rsidRPr="003E67AC" w:rsidR="00DD4829">
        <w:t xml:space="preserve">bygga ut järnvägen. </w:t>
      </w:r>
    </w:p>
    <w:p w:rsidRPr="003E67AC" w:rsidR="00DE73A2" w:rsidP="00E42CA1" w:rsidRDefault="00DE73A2" w14:paraId="0D2283E0" w14:textId="3FD7EA62">
      <w:r w:rsidRPr="00D219BE">
        <w:rPr>
          <w:spacing w:val="-1"/>
        </w:rPr>
        <w:t>Dessutom krävs klimatanpassning i en rad samhällsviktiga verksamheter. Det handlar</w:t>
      </w:r>
      <w:r w:rsidRPr="003E67AC">
        <w:t xml:space="preserve"> om behov motsvarande miljardtals kronor under de kommande åren. Samhällets mot</w:t>
      </w:r>
      <w:r w:rsidR="00D219BE">
        <w:softHyphen/>
      </w:r>
      <w:r w:rsidRPr="003E67AC">
        <w:t>ståndskraft är helt avhängig hur väl vi klarar den utmaningen. Uteblivna investeringar har en direkt påverkan på hela totalförsvarets förmåga att genomföra sitt uppdrag – att skydda och försvara Sverige.</w:t>
      </w:r>
    </w:p>
    <w:p w:rsidRPr="003E67AC" w:rsidR="00D42F7C" w:rsidP="00E42CA1" w:rsidRDefault="00D42F7C" w14:paraId="5EA10608" w14:textId="17876C5E">
      <w:r w:rsidRPr="003E67AC">
        <w:t>Infrastrukturen och transporter är avgörande för att det svenska totalförsvaret ska fungera, precis som det är viktigt för att hela det civila samhället ska fungera varje dag. Sverige har tyvärr i</w:t>
      </w:r>
      <w:r w:rsidRPr="003E67AC" w:rsidR="0012605F">
        <w:t> </w:t>
      </w:r>
      <w:r w:rsidRPr="003E67AC">
        <w:t xml:space="preserve">dag starkt eftersatta investeringar i infrastrukturen. Det rör sig bl.a. om investeringar i alla former av transportinfrastruktur, inte minst järnväg. Sverige har i fredstid fler tågförseningar än vad Ukraina har i krigstid. </w:t>
      </w:r>
    </w:p>
    <w:p w:rsidRPr="003E67AC" w:rsidR="00D42F7C" w:rsidP="00E42CA1" w:rsidRDefault="00E926D1" w14:paraId="23D36DCC" w14:textId="5FB80F03">
      <w:r w:rsidRPr="003E67AC">
        <w:t xml:space="preserve">Det svenska Natomedlemskapet ställer dessutom nya krav på svensk infrastruktur, inte minst </w:t>
      </w:r>
      <w:r w:rsidR="00891295">
        <w:t xml:space="preserve">på </w:t>
      </w:r>
      <w:r w:rsidRPr="003E67AC">
        <w:t>järnvägssystemet. En rapport från Stockholms Handelskammare och konsultbolaget WSP uppskattar Natorelaterade investeringar i svensk transport</w:t>
      </w:r>
      <w:r w:rsidR="00D219BE">
        <w:softHyphen/>
      </w:r>
      <w:r w:rsidRPr="003E67AC">
        <w:t xml:space="preserve">infrastruktur till 111 miljarder kronor, varav 92 miljarder </w:t>
      </w:r>
      <w:r w:rsidRPr="003E67AC" w:rsidR="0012605F">
        <w:t xml:space="preserve">kronor </w:t>
      </w:r>
      <w:r w:rsidRPr="003E67AC">
        <w:t>i järnvägen. Det är utöver de satsningar som redan är inkluderade i den nationella planen</w:t>
      </w:r>
      <w:r w:rsidRPr="003E67AC" w:rsidR="001522FD">
        <w:t xml:space="preserve"> för </w:t>
      </w:r>
      <w:r w:rsidRPr="003E67AC">
        <w:t>investeringar i transportinfrastrukturen.</w:t>
      </w:r>
      <w:r w:rsidRPr="003E67AC">
        <w:rPr>
          <w:rStyle w:val="Fotnotsreferens"/>
        </w:rPr>
        <w:footnoteReference w:id="29"/>
      </w:r>
      <w:r w:rsidRPr="003E67AC" w:rsidR="001522FD">
        <w:t xml:space="preserve"> </w:t>
      </w:r>
    </w:p>
    <w:p w:rsidRPr="003E67AC" w:rsidR="004A71FD" w:rsidP="00E42CA1" w:rsidRDefault="00AF7A7B" w14:paraId="7A8850FD" w14:textId="6EB4767C">
      <w:r w:rsidRPr="003E67AC">
        <w:t>I Vänsterpartiets budgetmotion för 2025 (</w:t>
      </w:r>
      <w:r w:rsidRPr="003E67AC" w:rsidR="0012605F">
        <w:t xml:space="preserve">mot. </w:t>
      </w:r>
      <w:r w:rsidRPr="003E67AC">
        <w:t>2024/25:1924) föresl</w:t>
      </w:r>
      <w:r w:rsidRPr="003E67AC" w:rsidR="004A71FD">
        <w:t>år</w:t>
      </w:r>
      <w:r w:rsidRPr="003E67AC">
        <w:t xml:space="preserve"> vi en rad åtgärder som skulle stärka Sveriges totalförsvar. Det handlar både om </w:t>
      </w:r>
      <w:r w:rsidR="00ED14CC">
        <w:t xml:space="preserve">att </w:t>
      </w:r>
      <w:r w:rsidRPr="003E67AC">
        <w:t>invester</w:t>
      </w:r>
      <w:r w:rsidR="00ED14CC">
        <w:t>a</w:t>
      </w:r>
      <w:r w:rsidRPr="003E67AC">
        <w:t xml:space="preserve"> </w:t>
      </w:r>
      <w:r w:rsidRPr="003E67AC" w:rsidR="0035320B">
        <w:t xml:space="preserve">i samhällskritisk infrastruktur och </w:t>
      </w:r>
      <w:r w:rsidRPr="003E67AC">
        <w:t xml:space="preserve">om att stärka kommuner och regioner för att t.ex. kunna bibehålla </w:t>
      </w:r>
      <w:r w:rsidRPr="003E67AC" w:rsidR="00FE7238">
        <w:t xml:space="preserve">personaltäthet. </w:t>
      </w:r>
      <w:r w:rsidRPr="003E67AC">
        <w:t>I motionen återfinns satsningar på kommun</w:t>
      </w:r>
      <w:r w:rsidRPr="003E67AC" w:rsidR="00D721E0">
        <w:t>er och regioner</w:t>
      </w:r>
      <w:r w:rsidRPr="003E67AC">
        <w:t xml:space="preserve"> på drygt 33 miljarder kronor</w:t>
      </w:r>
      <w:r w:rsidRPr="003E67AC" w:rsidR="00DE66D5">
        <w:t>. Dessutom satsar vi</w:t>
      </w:r>
      <w:r w:rsidRPr="003E67AC" w:rsidR="004A71FD">
        <w:t xml:space="preserve"> drygt 4</w:t>
      </w:r>
      <w:r w:rsidR="00ED14CC">
        <w:t> </w:t>
      </w:r>
      <w:r w:rsidRPr="003E67AC" w:rsidR="004A71FD">
        <w:t xml:space="preserve">miljarder kronor på stärkt elöverföringskapacitet och ett hållbart energisystem samt 19 miljarder </w:t>
      </w:r>
      <w:r w:rsidRPr="003E67AC" w:rsidR="0012605F">
        <w:t xml:space="preserve">kronor </w:t>
      </w:r>
      <w:r w:rsidRPr="003E67AC" w:rsidR="004A71FD">
        <w:t>på hållbara transporter och åtgärda</w:t>
      </w:r>
      <w:r w:rsidR="00677744">
        <w:t>nde av</w:t>
      </w:r>
      <w:r w:rsidRPr="003E67AC" w:rsidR="004A71FD">
        <w:t xml:space="preserve"> underhållsskulden </w:t>
      </w:r>
      <w:r w:rsidR="00677744">
        <w:t>för</w:t>
      </w:r>
      <w:r w:rsidRPr="003E67AC" w:rsidR="004A71FD">
        <w:t xml:space="preserve"> järnvägen.</w:t>
      </w:r>
    </w:p>
    <w:p w:rsidRPr="003E67AC" w:rsidR="002B3288" w:rsidP="00E42CA1" w:rsidRDefault="00C41BAE" w14:paraId="4F78650B" w14:textId="24B34204">
      <w:r w:rsidRPr="003E67AC">
        <w:t>Vänsterpartiet vill</w:t>
      </w:r>
      <w:r w:rsidRPr="003E67AC" w:rsidR="004A71FD">
        <w:t xml:space="preserve"> </w:t>
      </w:r>
      <w:r w:rsidRPr="003E67AC">
        <w:t>se ett omfattande klimatinvesteringspaket</w:t>
      </w:r>
      <w:r w:rsidRPr="003E67AC" w:rsidR="004A71FD">
        <w:t xml:space="preserve"> på över 700 miljarder kronor</w:t>
      </w:r>
      <w:r w:rsidRPr="003E67AC">
        <w:t xml:space="preserve"> som sträcker sig över tio år. </w:t>
      </w:r>
      <w:r w:rsidRPr="003E67AC" w:rsidR="004A71FD">
        <w:t>Där ingår t.ex.</w:t>
      </w:r>
      <w:r w:rsidRPr="003E67AC">
        <w:t xml:space="preserve"> investeringar på 490 miljarder kronor i en stärkt transportinfrastruktur med fokus på järnvägsutbyggnad och 100 miljarder kronor i ett robust elnät och förnybar elproduktion. </w:t>
      </w:r>
    </w:p>
    <w:p w:rsidRPr="003E67AC" w:rsidR="00544093" w:rsidP="006C5821" w:rsidRDefault="00544093" w14:paraId="6EF7FAD4" w14:textId="4D0654B8">
      <w:pPr>
        <w:pStyle w:val="Rubrik1numrerat"/>
      </w:pPr>
      <w:bookmarkStart w:name="_Toc197351639" w:id="32"/>
      <w:r w:rsidRPr="003E67AC">
        <w:lastRenderedPageBreak/>
        <w:t>Bygg Sverige starkt</w:t>
      </w:r>
      <w:bookmarkEnd w:id="32"/>
    </w:p>
    <w:p w:rsidRPr="003E67AC" w:rsidR="0049282F" w:rsidP="00FA5E76" w:rsidRDefault="0049282F" w14:paraId="1B3DB462" w14:textId="4DEE8C44">
      <w:pPr>
        <w:pStyle w:val="Rubrik2numrerat"/>
        <w:spacing w:before="440"/>
      </w:pPr>
      <w:bookmarkStart w:name="_Toc197351640" w:id="33"/>
      <w:r w:rsidRPr="003E67AC">
        <w:t>Behov av omfattande investeringar i</w:t>
      </w:r>
      <w:r w:rsidRPr="003E67AC" w:rsidR="001E1808">
        <w:t xml:space="preserve"> </w:t>
      </w:r>
      <w:r w:rsidRPr="003E67AC" w:rsidR="00A35E56">
        <w:t>kommunal</w:t>
      </w:r>
      <w:r w:rsidRPr="003E67AC" w:rsidR="005525C4">
        <w:t xml:space="preserve"> och regional</w:t>
      </w:r>
      <w:r w:rsidRPr="003E67AC" w:rsidR="001E1808">
        <w:t xml:space="preserve"> </w:t>
      </w:r>
      <w:r w:rsidRPr="003E67AC">
        <w:t>infrastruktur</w:t>
      </w:r>
      <w:bookmarkEnd w:id="33"/>
    </w:p>
    <w:p w:rsidRPr="003E67AC" w:rsidR="00F1345D" w:rsidP="00852FCB" w:rsidRDefault="0049282F" w14:paraId="22C62C7A" w14:textId="6804B082">
      <w:pPr>
        <w:pStyle w:val="Normalutanindragellerluft"/>
      </w:pPr>
      <w:r w:rsidRPr="003E67AC">
        <w:t xml:space="preserve">Sveriges kommuner och regioner står inför stora investeringsbehov. </w:t>
      </w:r>
      <w:r w:rsidRPr="003E67AC" w:rsidR="00DA0A5A">
        <w:t xml:space="preserve">Regeringens egen myndighet för tillväxtpolitiska utvärderingar och analyser – </w:t>
      </w:r>
      <w:r w:rsidRPr="003E67AC" w:rsidR="00E16CDB">
        <w:t>Tillväxt</w:t>
      </w:r>
      <w:r w:rsidRPr="003E67AC" w:rsidR="002C31A1">
        <w:t>analys</w:t>
      </w:r>
      <w:r w:rsidRPr="003E67AC" w:rsidR="00DA0A5A">
        <w:t xml:space="preserve"> – </w:t>
      </w:r>
      <w:r w:rsidRPr="003E67AC" w:rsidR="00E16CDB">
        <w:t>skriver</w:t>
      </w:r>
      <w:r w:rsidRPr="003E67AC" w:rsidR="00DA0A5A">
        <w:t xml:space="preserve"> </w:t>
      </w:r>
      <w:r w:rsidRPr="003E67AC" w:rsidR="00E16CDB">
        <w:t xml:space="preserve">i sitt remissvar </w:t>
      </w:r>
      <w:r w:rsidR="00AC5198">
        <w:t>till</w:t>
      </w:r>
      <w:r w:rsidRPr="003E67AC" w:rsidR="00E16CDB">
        <w:t xml:space="preserve"> regeringens förslag om tillfälligt höjd subventionsgrad för rotavdraget att det är ett förhållandevis dyrt förslag med oklara effekter. Myndigheten menar att för att stimulera byggsektorn hade det sannolikt varit effektivare med renovering av offentligt ägda lokaler.</w:t>
      </w:r>
      <w:r w:rsidRPr="003E67AC" w:rsidR="004C27AA">
        <w:rPr>
          <w:rStyle w:val="Fotnotsreferens"/>
        </w:rPr>
        <w:footnoteReference w:id="30"/>
      </w:r>
      <w:r w:rsidRPr="003E67AC" w:rsidR="00E16CDB">
        <w:t xml:space="preserve"> Detta skulle i princip kunna vara samma typ av renoveringar som ger en individ rätt till </w:t>
      </w:r>
      <w:r w:rsidR="00AC5198">
        <w:t>rot</w:t>
      </w:r>
      <w:r w:rsidRPr="003E67AC" w:rsidR="00E16CDB">
        <w:t>avdrag och använder samma typ av arbetskraft</w:t>
      </w:r>
      <w:r w:rsidRPr="003E67AC" w:rsidR="003406A8">
        <w:t xml:space="preserve"> – me</w:t>
      </w:r>
      <w:r w:rsidRPr="003E67AC" w:rsidR="008C4715">
        <w:t>d</w:t>
      </w:r>
      <w:r w:rsidRPr="003E67AC" w:rsidR="003406A8">
        <w:t xml:space="preserve"> </w:t>
      </w:r>
      <w:r w:rsidRPr="003E67AC" w:rsidR="008C4715">
        <w:t>skillnaden att det har ett</w:t>
      </w:r>
      <w:r w:rsidRPr="003E67AC" w:rsidR="003406A8">
        <w:t xml:space="preserve"> </w:t>
      </w:r>
      <w:r w:rsidRPr="003E67AC" w:rsidR="008C4715">
        <w:t>samhällsekonomiskt motiv</w:t>
      </w:r>
      <w:r w:rsidRPr="003E67AC" w:rsidR="00E16CDB">
        <w:t xml:space="preserve">. </w:t>
      </w:r>
    </w:p>
    <w:p w:rsidRPr="003E67AC" w:rsidR="006B1129" w:rsidP="00E42CA1" w:rsidRDefault="006B1129" w14:paraId="686CEA2F" w14:textId="23588E98">
      <w:r w:rsidRPr="003E67AC">
        <w:t xml:space="preserve">Många offentliga byggnader har liksom vatten- och avloppsledningar runtom i landet nått slutet på sin tekniska livslängd. Enligt branschorganisationen Svenskt Vatten har </w:t>
      </w:r>
      <w:r w:rsidR="00AC5198">
        <w:t>va</w:t>
      </w:r>
      <w:r w:rsidRPr="003E67AC">
        <w:t>-branschen ett årligt investeringsbehov på minst 31 miljarder kronor fram till 2040.</w:t>
      </w:r>
      <w:r w:rsidRPr="003E67AC">
        <w:rPr>
          <w:rStyle w:val="Fotnotsreferens"/>
        </w:rPr>
        <w:footnoteReference w:id="31"/>
      </w:r>
      <w:r w:rsidRPr="003E67AC">
        <w:t xml:space="preserve"> Det riskerar i sin tur att leda till mångdubblade </w:t>
      </w:r>
      <w:r w:rsidR="00AC5198">
        <w:t>va</w:t>
      </w:r>
      <w:r w:rsidRPr="003E67AC">
        <w:t xml:space="preserve">-avgifter för hushåll och företag. Det krävs också </w:t>
      </w:r>
      <w:r w:rsidRPr="003E67AC" w:rsidR="00870BA2">
        <w:t xml:space="preserve">satsningar på klimatanpassningar och </w:t>
      </w:r>
      <w:r w:rsidRPr="003E67AC">
        <w:t xml:space="preserve">ett omfattande underhåll av t.ex. gator, broar och belysning. </w:t>
      </w:r>
      <w:r w:rsidRPr="003E67AC" w:rsidR="00CB3B8C">
        <w:t>Den underhålls- och investeringsskuld vi nu står inför kommer att få stora effekter på samhällets funktionalitet om de</w:t>
      </w:r>
      <w:r w:rsidR="00AC5198">
        <w:t>n</w:t>
      </w:r>
      <w:r w:rsidRPr="003E67AC" w:rsidR="00CB3B8C">
        <w:t xml:space="preserve"> inte möts med lång</w:t>
      </w:r>
      <w:r w:rsidR="00D219BE">
        <w:softHyphen/>
      </w:r>
      <w:r w:rsidRPr="003E67AC" w:rsidR="00CB3B8C">
        <w:t>siktiga åtgärder som påbörjas här och nu.</w:t>
      </w:r>
    </w:p>
    <w:p w:rsidRPr="003E67AC" w:rsidR="00724844" w:rsidP="00E42CA1" w:rsidRDefault="00C9447D" w14:paraId="66BB5999" w14:textId="176330FE">
      <w:r w:rsidRPr="003E67AC">
        <w:t>I Sverige finns drygt 64</w:t>
      </w:r>
      <w:r w:rsidRPr="003E67AC" w:rsidR="007504BA">
        <w:t> </w:t>
      </w:r>
      <w:r w:rsidRPr="003E67AC">
        <w:t xml:space="preserve">000 skyddsrum för att skydda befolkningen i händelse av krig. Det är fastighetsägarnas ansvar att se till att </w:t>
      </w:r>
      <w:r w:rsidRPr="003E67AC" w:rsidR="005511A9">
        <w:t>skyddsrummen</w:t>
      </w:r>
      <w:r w:rsidRPr="003E67AC">
        <w:t xml:space="preserve"> svarar upp mot de krav som ställs</w:t>
      </w:r>
      <w:r w:rsidRPr="003E67AC" w:rsidR="005511A9">
        <w:t>, vilket innebär att ett stort ekonomiskt ansvar landar på kommunerna.</w:t>
      </w:r>
      <w:r w:rsidRPr="003E67AC" w:rsidR="00F57C10">
        <w:t xml:space="preserve"> Under 2025 satsas 100 miljoner kronor</w:t>
      </w:r>
      <w:r w:rsidRPr="003E67AC" w:rsidR="001878AB">
        <w:t xml:space="preserve"> via Myndigheten för samhällsskydd och beredskap</w:t>
      </w:r>
      <w:r w:rsidRPr="003E67AC" w:rsidR="00F57C10">
        <w:t xml:space="preserve"> på att kontrollera, utföra tillsyn och rusta upp skyddsrum.</w:t>
      </w:r>
      <w:r w:rsidRPr="003E67AC" w:rsidR="00F57C10">
        <w:rPr>
          <w:rStyle w:val="Fotnotsreferens"/>
        </w:rPr>
        <w:footnoteReference w:id="32"/>
      </w:r>
      <w:r w:rsidRPr="003E67AC" w:rsidR="001878AB">
        <w:t xml:space="preserve"> Utslaget på samtliga skydds</w:t>
      </w:r>
      <w:r w:rsidR="00D219BE">
        <w:softHyphen/>
      </w:r>
      <w:r w:rsidRPr="003E67AC" w:rsidR="001878AB">
        <w:t>rum blir det ca 1</w:t>
      </w:r>
      <w:r w:rsidRPr="003E67AC" w:rsidR="007504BA">
        <w:t> </w:t>
      </w:r>
      <w:r w:rsidRPr="003E67AC" w:rsidR="001878AB">
        <w:t>600 kronor styck</w:t>
      </w:r>
      <w:r w:rsidRPr="003E67AC" w:rsidR="00C418DD">
        <w:t>,</w:t>
      </w:r>
      <w:r w:rsidRPr="003E67AC" w:rsidR="001878AB">
        <w:t xml:space="preserve"> vilket </w:t>
      </w:r>
      <w:r w:rsidRPr="003E67AC" w:rsidR="00B1574C">
        <w:t xml:space="preserve">inte </w:t>
      </w:r>
      <w:r w:rsidRPr="003E67AC" w:rsidR="00C418DD">
        <w:t xml:space="preserve">räcker till </w:t>
      </w:r>
      <w:r w:rsidRPr="003E67AC" w:rsidR="00B1574C">
        <w:t xml:space="preserve">mycket mer än </w:t>
      </w:r>
      <w:r w:rsidRPr="003E67AC" w:rsidR="00C418DD">
        <w:t>den</w:t>
      </w:r>
      <w:r w:rsidRPr="003E67AC" w:rsidR="001878AB">
        <w:t xml:space="preserve"> nödvändig</w:t>
      </w:r>
      <w:r w:rsidRPr="003E67AC" w:rsidR="00C418DD">
        <w:t>a</w:t>
      </w:r>
      <w:r w:rsidRPr="003E67AC" w:rsidR="001878AB">
        <w:t xml:space="preserve"> skyltning</w:t>
      </w:r>
      <w:r w:rsidRPr="003E67AC" w:rsidR="00C418DD">
        <w:t>en</w:t>
      </w:r>
      <w:r w:rsidRPr="003E67AC" w:rsidR="001878AB">
        <w:t xml:space="preserve">. </w:t>
      </w:r>
    </w:p>
    <w:p w:rsidRPr="003E67AC" w:rsidR="00C9447D" w:rsidP="00E42CA1" w:rsidRDefault="00E92329" w14:paraId="0292510F" w14:textId="61516614">
      <w:r w:rsidRPr="00D219BE">
        <w:rPr>
          <w:spacing w:val="-1"/>
        </w:rPr>
        <w:t>Vi beräknar att de akuta behoven bara vad gäller vatten och avlopp, klimatanpassning</w:t>
      </w:r>
      <w:r w:rsidRPr="003E67AC">
        <w:t xml:space="preserve"> och underhåll av gator, broar och belysning </w:t>
      </w:r>
      <w:r w:rsidRPr="003E67AC" w:rsidR="00DD5B9E">
        <w:t>når</w:t>
      </w:r>
      <w:r w:rsidRPr="003E67AC" w:rsidR="00964AFE">
        <w:t xml:space="preserve"> upp </w:t>
      </w:r>
      <w:r w:rsidRPr="003E67AC" w:rsidR="00DD5B9E">
        <w:t>e</w:t>
      </w:r>
      <w:r w:rsidRPr="003E67AC" w:rsidR="00964AFE">
        <w:t>mot</w:t>
      </w:r>
      <w:r w:rsidRPr="003E67AC">
        <w:t xml:space="preserve"> 20 miljarder kronor redan i år. </w:t>
      </w:r>
      <w:r w:rsidRPr="003E67AC" w:rsidR="001878AB">
        <w:t xml:space="preserve">Det krävs med andra ord rejäla tillskott till kommuner och regioner </w:t>
      </w:r>
      <w:r w:rsidRPr="003E67AC" w:rsidR="001878AB">
        <w:lastRenderedPageBreak/>
        <w:t xml:space="preserve">för att de ska kunna klara av sina grundläggande uppgifter, inte minst vad gäller civil beredskap. </w:t>
      </w:r>
    </w:p>
    <w:p w:rsidRPr="003E67AC" w:rsidR="00D80766" w:rsidP="00852FCB" w:rsidRDefault="005F468F" w14:paraId="02FA4D2B" w14:textId="0474A4BA">
      <w:r w:rsidRPr="003E67AC">
        <w:t>Förra året gick mer än 2 000 byggföretag i konkurs – den högsta nivån på 30 år.</w:t>
      </w:r>
      <w:r w:rsidRPr="003E67AC">
        <w:rPr>
          <w:rStyle w:val="Fotnotsreferens"/>
        </w:rPr>
        <w:footnoteReference w:id="33"/>
      </w:r>
      <w:r w:rsidRPr="003E67AC">
        <w:t xml:space="preserve"> </w:t>
      </w:r>
      <w:r w:rsidRPr="003E67AC" w:rsidR="00786954">
        <w:t xml:space="preserve">Arbetslösheten i Byggnads </w:t>
      </w:r>
      <w:r w:rsidR="00F55CBA">
        <w:t>a</w:t>
      </w:r>
      <w:r w:rsidRPr="003E67AC" w:rsidR="00786954">
        <w:t xml:space="preserve">-kassa låg i februari </w:t>
      </w:r>
      <w:r w:rsidRPr="003E67AC" w:rsidR="00D20E97">
        <w:t xml:space="preserve">2025 </w:t>
      </w:r>
      <w:r w:rsidRPr="003E67AC" w:rsidR="00786954">
        <w:t>på rekordhöga 10,7 procent.</w:t>
      </w:r>
      <w:r w:rsidRPr="003E67AC" w:rsidR="00786954">
        <w:rPr>
          <w:rStyle w:val="Fotnotsreferens"/>
        </w:rPr>
        <w:footnoteReference w:id="34"/>
      </w:r>
      <w:r w:rsidRPr="003E67AC" w:rsidR="00786954">
        <w:t xml:space="preserve"> </w:t>
      </w:r>
      <w:r w:rsidRPr="003E67AC" w:rsidR="00050F34">
        <w:t xml:space="preserve">Det är dessutom </w:t>
      </w:r>
      <w:r w:rsidRPr="003E67AC" w:rsidR="00FF495D">
        <w:t>den bransch</w:t>
      </w:r>
      <w:r w:rsidRPr="003E67AC" w:rsidR="00786954">
        <w:t xml:space="preserve"> </w:t>
      </w:r>
      <w:r w:rsidR="00F55CBA">
        <w:t xml:space="preserve">som har </w:t>
      </w:r>
      <w:r w:rsidRPr="003E67AC" w:rsidR="00786954">
        <w:t>flest varsel.</w:t>
      </w:r>
      <w:r w:rsidRPr="003E67AC" w:rsidR="00FF495D">
        <w:t xml:space="preserve"> Under januari</w:t>
      </w:r>
      <w:r w:rsidRPr="003E67AC" w:rsidR="007504BA">
        <w:t>–</w:t>
      </w:r>
      <w:r w:rsidRPr="003E67AC" w:rsidR="00FF495D">
        <w:t>mars 2025 varslades 2</w:t>
      </w:r>
      <w:r w:rsidRPr="003E67AC" w:rsidR="007504BA">
        <w:t> </w:t>
      </w:r>
      <w:r w:rsidRPr="003E67AC" w:rsidR="00FF495D">
        <w:t>588 personer</w:t>
      </w:r>
      <w:r w:rsidRPr="003E67AC" w:rsidR="000021C0">
        <w:t>.</w:t>
      </w:r>
      <w:r w:rsidRPr="003E67AC" w:rsidR="00FF495D">
        <w:rPr>
          <w:rStyle w:val="Fotnotsreferens"/>
        </w:rPr>
        <w:footnoteReference w:id="35"/>
      </w:r>
      <w:r w:rsidRPr="003E67AC" w:rsidR="00FF495D">
        <w:t xml:space="preserve"> </w:t>
      </w:r>
      <w:r w:rsidRPr="003E67AC" w:rsidR="000021C0">
        <w:t xml:space="preserve">Sverige behöver en ny bostadspolitik med betydligt högre ambitioner än vad som varit fallet de senaste decennierna och inte minst sedan den sittande regeringen tillträdde. </w:t>
      </w:r>
    </w:p>
    <w:p w:rsidRPr="003E67AC" w:rsidR="00723B13" w:rsidP="00852FCB" w:rsidRDefault="00D80766" w14:paraId="082F329E" w14:textId="0BAB3ACF">
      <w:r w:rsidRPr="003E67AC">
        <w:t xml:space="preserve">Vänsterpartiet föreslår </w:t>
      </w:r>
      <w:r w:rsidRPr="003E67AC" w:rsidR="00EB1C18">
        <w:t xml:space="preserve">en satsning på s.k. </w:t>
      </w:r>
      <w:r w:rsidRPr="003E67AC">
        <w:t xml:space="preserve">beredskapsjobb i </w:t>
      </w:r>
      <w:r w:rsidRPr="003E67AC" w:rsidR="006B1129">
        <w:t>lågkonjunkturen</w:t>
      </w:r>
      <w:r w:rsidRPr="003E67AC">
        <w:t xml:space="preserve">. </w:t>
      </w:r>
      <w:r w:rsidRPr="003E67AC" w:rsidR="00EB1C18">
        <w:t>Vår modell</w:t>
      </w:r>
      <w:r w:rsidRPr="003E67AC" w:rsidR="006F0A2C">
        <w:t xml:space="preserve"> för beredskapsjobb</w:t>
      </w:r>
      <w:r w:rsidRPr="003E67AC" w:rsidR="00EB1C18">
        <w:t xml:space="preserve"> </w:t>
      </w:r>
      <w:r w:rsidRPr="003E67AC" w:rsidR="00693E83">
        <w:t>består av två delar</w:t>
      </w:r>
      <w:r w:rsidRPr="003E67AC" w:rsidR="00723B13">
        <w:t>. Dels står staten för hälften av investeringskostnaden för planerade projekt i kommuner och regioner som påbörjas under 2025</w:t>
      </w:r>
      <w:r w:rsidRPr="003E67AC" w:rsidR="00734F67">
        <w:t xml:space="preserve">, </w:t>
      </w:r>
      <w:r w:rsidRPr="003E67AC" w:rsidR="00723B13">
        <w:t>dels bidrar staten genom en arbetsmarknadspolitisk åtgärd med statligt anställningsstöd.</w:t>
      </w:r>
    </w:p>
    <w:p w:rsidRPr="003E67AC" w:rsidR="00693E83" w:rsidP="00852FCB" w:rsidRDefault="00723B13" w14:paraId="22E0BC34" w14:textId="6D4A5981">
      <w:r w:rsidRPr="003E67AC">
        <w:t xml:space="preserve">Projekten ska bidra </w:t>
      </w:r>
      <w:r w:rsidRPr="003E67AC" w:rsidR="00D80766">
        <w:t>till att stärka samhällets robusthet och resiliens</w:t>
      </w:r>
      <w:r w:rsidRPr="003E67AC">
        <w:t xml:space="preserve">. Det kan </w:t>
      </w:r>
      <w:r w:rsidRPr="003E67AC" w:rsidR="00EB1C18">
        <w:t xml:space="preserve">t.ex. handla om att bygga ut och förstärka infrastruktur, rusta </w:t>
      </w:r>
      <w:r w:rsidR="00004971">
        <w:t>va</w:t>
      </w:r>
      <w:r w:rsidRPr="003E67AC" w:rsidR="00EB1C18">
        <w:t xml:space="preserve">-system, renovera skyddsrum </w:t>
      </w:r>
      <w:r w:rsidRPr="00D219BE" w:rsidR="00EB1C18">
        <w:rPr>
          <w:spacing w:val="-1"/>
        </w:rPr>
        <w:t>eller stärka energisystemet</w:t>
      </w:r>
      <w:r w:rsidRPr="00D219BE" w:rsidR="0061365E">
        <w:rPr>
          <w:spacing w:val="-1"/>
        </w:rPr>
        <w:t xml:space="preserve"> eller annan samhällskritisk verksamhet</w:t>
      </w:r>
      <w:r w:rsidRPr="00D219BE" w:rsidR="00D80766">
        <w:rPr>
          <w:spacing w:val="-1"/>
        </w:rPr>
        <w:t>.</w:t>
      </w:r>
      <w:r w:rsidRPr="00D219BE" w:rsidR="00EB1C18">
        <w:rPr>
          <w:spacing w:val="-1"/>
        </w:rPr>
        <w:t xml:space="preserve"> </w:t>
      </w:r>
      <w:r w:rsidRPr="00D219BE" w:rsidR="00693E83">
        <w:rPr>
          <w:spacing w:val="-1"/>
        </w:rPr>
        <w:t>Det</w:t>
      </w:r>
      <w:r w:rsidRPr="00D219BE" w:rsidR="003F7CF0">
        <w:rPr>
          <w:spacing w:val="-1"/>
        </w:rPr>
        <w:t xml:space="preserve"> handlar </w:t>
      </w:r>
      <w:r w:rsidRPr="00D219BE" w:rsidR="00693E83">
        <w:rPr>
          <w:spacing w:val="-1"/>
        </w:rPr>
        <w:t xml:space="preserve">också </w:t>
      </w:r>
      <w:r w:rsidRPr="00D219BE" w:rsidR="003F7CF0">
        <w:rPr>
          <w:spacing w:val="-1"/>
        </w:rPr>
        <w:t>om</w:t>
      </w:r>
      <w:r w:rsidRPr="003E67AC" w:rsidR="003F7CF0">
        <w:t xml:space="preserve"> att</w:t>
      </w:r>
      <w:r w:rsidRPr="003E67AC" w:rsidR="00693E83">
        <w:t xml:space="preserve"> möjliggöra för kommuner och regioner att</w:t>
      </w:r>
      <w:r w:rsidRPr="003E67AC" w:rsidR="003F7CF0">
        <w:t xml:space="preserve"> bygga ut och bibehålla vårdinfrastruktur, </w:t>
      </w:r>
      <w:r w:rsidRPr="00D219BE" w:rsidR="003F7CF0">
        <w:rPr>
          <w:spacing w:val="-2"/>
          <w:lang w:eastAsia="sv-SE"/>
        </w:rPr>
        <w:t>d</w:t>
      </w:r>
      <w:r w:rsidRPr="00D219BE" w:rsidR="00734F67">
        <w:rPr>
          <w:spacing w:val="-2"/>
          <w:lang w:eastAsia="sv-SE"/>
        </w:rPr>
        <w:t>v</w:t>
      </w:r>
      <w:r w:rsidRPr="00D219BE" w:rsidR="003F7CF0">
        <w:rPr>
          <w:spacing w:val="-2"/>
          <w:lang w:eastAsia="sv-SE"/>
        </w:rPr>
        <w:t>s. den infrastruktur som utgörs av sjukhusfastigheter och andra typer av vårdbyggnader</w:t>
      </w:r>
      <w:r w:rsidRPr="003E67AC" w:rsidR="003F7CF0">
        <w:rPr>
          <w:lang w:eastAsia="sv-SE"/>
        </w:rPr>
        <w:t xml:space="preserve"> tillsammans med teknik och utrustning. Där ingår också transporter som ambulanser, sjuktransporter, luftburen ambulanssjukvård och liknande</w:t>
      </w:r>
      <w:r w:rsidRPr="003E67AC" w:rsidR="00FF772B">
        <w:rPr>
          <w:lang w:eastAsia="sv-SE"/>
        </w:rPr>
        <w:t xml:space="preserve"> (s</w:t>
      </w:r>
      <w:r w:rsidRPr="003E67AC" w:rsidR="003F7CF0">
        <w:rPr>
          <w:lang w:eastAsia="sv-SE"/>
        </w:rPr>
        <w:t xml:space="preserve">e </w:t>
      </w:r>
      <w:r w:rsidRPr="003E67AC" w:rsidR="00FF772B">
        <w:rPr>
          <w:lang w:eastAsia="sv-SE"/>
        </w:rPr>
        <w:t xml:space="preserve">vidare </w:t>
      </w:r>
      <w:r w:rsidRPr="003E67AC" w:rsidR="003F7CF0">
        <w:rPr>
          <w:lang w:eastAsia="sv-SE"/>
        </w:rPr>
        <w:t>avsnitt 9.2</w:t>
      </w:r>
      <w:r w:rsidRPr="003E67AC" w:rsidR="00FF772B">
        <w:rPr>
          <w:lang w:eastAsia="sv-SE"/>
        </w:rPr>
        <w:t>)</w:t>
      </w:r>
      <w:r w:rsidRPr="003E67AC" w:rsidR="003F7CF0">
        <w:rPr>
          <w:lang w:eastAsia="sv-SE"/>
        </w:rPr>
        <w:t xml:space="preserve">. </w:t>
      </w:r>
      <w:r w:rsidRPr="003E67AC" w:rsidR="003F7CF0">
        <w:t>För att projektet ska omfattas krävs att v</w:t>
      </w:r>
      <w:r w:rsidRPr="003E67AC" w:rsidR="00EB1C18">
        <w:t xml:space="preserve">erksamheten ska ägas och drivas i offentlig regi. </w:t>
      </w:r>
    </w:p>
    <w:p w:rsidRPr="003E67AC" w:rsidR="000021C0" w:rsidP="00852FCB" w:rsidRDefault="00693E83" w14:paraId="66022DBA" w14:textId="0A65565A">
      <w:r w:rsidRPr="003E67AC">
        <w:t>Modellen innebär också ett</w:t>
      </w:r>
      <w:r w:rsidRPr="003E67AC" w:rsidR="00EB1C18">
        <w:t xml:space="preserve"> anställningsstöd inom de aktuella projekten, där staten tar </w:t>
      </w:r>
      <w:r w:rsidRPr="003E67AC" w:rsidR="00D80766">
        <w:t>80 procent av kostnaderna. Villkoret</w:t>
      </w:r>
      <w:r w:rsidRPr="003E67AC" w:rsidR="00EB1C18">
        <w:t xml:space="preserve"> för detta</w:t>
      </w:r>
      <w:r w:rsidRPr="003E67AC" w:rsidR="00D80766">
        <w:t xml:space="preserve"> ska vara 100 dagar i arbetslöshet och en utbildning inom bygg och anläggning eller motsvarande kvalifikationer. Befinner man sig i arbetslöshet har man företräde till anställning. </w:t>
      </w:r>
      <w:r w:rsidRPr="003E67AC" w:rsidR="00C52FD9">
        <w:t xml:space="preserve">Givetvis ska de </w:t>
      </w:r>
      <w:r w:rsidRPr="003E67AC" w:rsidR="00D80766">
        <w:t>i likhet med andra subventionerade anställningar ha fulla rättigheter och lön som andra anställda.</w:t>
      </w:r>
      <w:r w:rsidRPr="003E67AC" w:rsidR="007B0F93">
        <w:t xml:space="preserve"> Vi avsätter </w:t>
      </w:r>
      <w:r w:rsidRPr="003E67AC" w:rsidR="00242477">
        <w:t>4</w:t>
      </w:r>
      <w:r w:rsidR="00F55CBA">
        <w:t> </w:t>
      </w:r>
      <w:r w:rsidRPr="003E67AC" w:rsidR="007B0F93">
        <w:t xml:space="preserve">miljarder kronor under 2025 med intentionen att skala upp modellen under kommande år. </w:t>
      </w:r>
    </w:p>
    <w:p w:rsidRPr="003E67AC" w:rsidR="0049282F" w:rsidP="00852FCB" w:rsidRDefault="0049282F" w14:paraId="258F6249" w14:textId="77777777">
      <w:r w:rsidRPr="003E67AC">
        <w:t>Vänsterpartiets förslag:</w:t>
      </w:r>
    </w:p>
    <w:p w:rsidRPr="003E67AC" w:rsidR="0049282F" w:rsidP="00852FCB" w:rsidRDefault="00D80766" w14:paraId="08BA5B98" w14:textId="0EAC3572">
      <w:pPr>
        <w:pStyle w:val="ListaPunkt"/>
        <w:ind w:left="284" w:hanging="284"/>
      </w:pPr>
      <w:r w:rsidRPr="003E67AC">
        <w:rPr>
          <w:lang w:eastAsia="sv-SE"/>
        </w:rPr>
        <w:lastRenderedPageBreak/>
        <w:t xml:space="preserve">Investera </w:t>
      </w:r>
      <w:r w:rsidRPr="003E67AC" w:rsidR="00242477">
        <w:rPr>
          <w:lang w:eastAsia="sv-SE"/>
        </w:rPr>
        <w:t>4</w:t>
      </w:r>
      <w:r w:rsidR="000178B1">
        <w:rPr>
          <w:lang w:eastAsia="sv-SE"/>
        </w:rPr>
        <w:t> </w:t>
      </w:r>
      <w:r w:rsidRPr="003E67AC" w:rsidR="00D32C3A">
        <w:rPr>
          <w:lang w:eastAsia="sv-SE"/>
        </w:rPr>
        <w:t>miljarder kronor</w:t>
      </w:r>
      <w:r w:rsidRPr="003E67AC" w:rsidR="007B0F93">
        <w:rPr>
          <w:lang w:eastAsia="sv-SE"/>
        </w:rPr>
        <w:t xml:space="preserve"> 2025</w:t>
      </w:r>
      <w:r w:rsidRPr="003E67AC" w:rsidR="00D32C3A">
        <w:rPr>
          <w:lang w:eastAsia="sv-SE"/>
        </w:rPr>
        <w:t xml:space="preserve"> för en modell med</w:t>
      </w:r>
      <w:r w:rsidRPr="003E67AC" w:rsidR="00DD3C85">
        <w:rPr>
          <w:lang w:eastAsia="sv-SE"/>
        </w:rPr>
        <w:t xml:space="preserve"> </w:t>
      </w:r>
      <w:r w:rsidRPr="003E67AC">
        <w:rPr>
          <w:lang w:eastAsia="sv-SE"/>
        </w:rPr>
        <w:t>beredskapsjobb</w:t>
      </w:r>
      <w:r w:rsidRPr="003E67AC" w:rsidR="003F7CF0">
        <w:rPr>
          <w:lang w:eastAsia="sv-SE"/>
        </w:rPr>
        <w:t xml:space="preserve">, varav </w:t>
      </w:r>
      <w:r w:rsidRPr="003E67AC" w:rsidR="00723B13">
        <w:rPr>
          <w:lang w:eastAsia="sv-SE"/>
        </w:rPr>
        <w:t>1</w:t>
      </w:r>
      <w:r w:rsidR="000178B1">
        <w:rPr>
          <w:lang w:eastAsia="sv-SE"/>
        </w:rPr>
        <w:t> </w:t>
      </w:r>
      <w:r w:rsidRPr="003E67AC" w:rsidR="00723B13">
        <w:rPr>
          <w:lang w:eastAsia="sv-SE"/>
        </w:rPr>
        <w:t xml:space="preserve">miljard kronor </w:t>
      </w:r>
      <w:r w:rsidRPr="003E67AC" w:rsidR="003F7CF0">
        <w:rPr>
          <w:lang w:eastAsia="sv-SE"/>
        </w:rPr>
        <w:t>öronmärks för att bygga ut och bibehålla vårdinfrastruktur</w:t>
      </w:r>
      <w:r w:rsidRPr="003E67AC">
        <w:rPr>
          <w:lang w:eastAsia="sv-SE"/>
        </w:rPr>
        <w:t>.</w:t>
      </w:r>
      <w:r w:rsidRPr="003E67AC" w:rsidR="00D32C3A">
        <w:rPr>
          <w:lang w:eastAsia="sv-SE"/>
        </w:rPr>
        <w:t xml:space="preserve"> </w:t>
      </w:r>
    </w:p>
    <w:p w:rsidRPr="003E67AC" w:rsidR="00DD4829" w:rsidP="006C5821" w:rsidRDefault="00DD4829" w14:paraId="290282E8" w14:textId="25FA2215">
      <w:pPr>
        <w:pStyle w:val="Rubrik2numrerat"/>
      </w:pPr>
      <w:bookmarkStart w:name="_Toc197351641" w:id="34"/>
      <w:r w:rsidRPr="003E67AC">
        <w:t>Välfärden är samhällets bottenplatta</w:t>
      </w:r>
      <w:bookmarkEnd w:id="34"/>
    </w:p>
    <w:p w:rsidRPr="003E67AC" w:rsidR="00C23597" w:rsidP="00852FCB" w:rsidRDefault="00B97B72" w14:paraId="6B59F4D4" w14:textId="5858A678">
      <w:pPr>
        <w:pStyle w:val="Normalutanindragellerluft"/>
      </w:pPr>
      <w:r w:rsidRPr="003E67AC">
        <w:t>Sverige lider av</w:t>
      </w:r>
      <w:r w:rsidRPr="003E67AC" w:rsidR="00DD4829">
        <w:t xml:space="preserve"> en underfinansierad hälso- och sjukvård som inte förmår </w:t>
      </w:r>
      <w:r w:rsidR="000178B1">
        <w:t xml:space="preserve">att </w:t>
      </w:r>
      <w:r w:rsidRPr="003E67AC" w:rsidR="00DD4829">
        <w:t>möta de behov som finns och som kommer att finnas framöver. En ojämlik vård över landet, brist på vårdplatser i regionerna, brist på legitimerad personal och otillräckliga arbets</w:t>
      </w:r>
      <w:r w:rsidR="00D219BE">
        <w:softHyphen/>
      </w:r>
      <w:r w:rsidRPr="003E67AC" w:rsidR="00DD4829">
        <w:t xml:space="preserve">villkor är några av problemen. </w:t>
      </w:r>
    </w:p>
    <w:p w:rsidRPr="003E67AC" w:rsidR="00100D0D" w:rsidP="00852FCB" w:rsidRDefault="00DD4829" w14:paraId="79853F74" w14:textId="1F55B3A6">
      <w:r w:rsidRPr="003E67AC">
        <w:t>En underbemannad sjukvård som inte klarar av sitt uppdrag i fredstid kommer inte att kunna växla upp om behovet plötsligt ökar</w:t>
      </w:r>
      <w:r w:rsidRPr="003E67AC" w:rsidR="00DE66D5">
        <w:t xml:space="preserve"> i </w:t>
      </w:r>
      <w:r w:rsidR="000178B1">
        <w:t xml:space="preserve">en </w:t>
      </w:r>
      <w:r w:rsidRPr="003E67AC" w:rsidR="00DE66D5">
        <w:t>kris eller konflikt</w:t>
      </w:r>
      <w:r w:rsidRPr="003E67AC">
        <w:t xml:space="preserve">. </w:t>
      </w:r>
      <w:r w:rsidRPr="003E67AC" w:rsidR="00100D0D">
        <w:t>Socialstyrelsen slog 2023 fast att det råd</w:t>
      </w:r>
      <w:r w:rsidR="000178B1">
        <w:t>d</w:t>
      </w:r>
      <w:r w:rsidRPr="003E67AC" w:rsidR="00100D0D">
        <w:t>e brist på vårdplatser i alla regioner utom en.</w:t>
      </w:r>
      <w:r w:rsidRPr="003E67AC" w:rsidR="00100D0D">
        <w:rPr>
          <w:rStyle w:val="Fotnotsreferens"/>
        </w:rPr>
        <w:footnoteReference w:id="36"/>
      </w:r>
      <w:r w:rsidRPr="003E67AC" w:rsidR="00100D0D">
        <w:t xml:space="preserve"> Det leder bl.a. till överbeläggningar, långa väntetider, bristande patientsäkerhet och försämrad arbets</w:t>
      </w:r>
      <w:r w:rsidR="005771FF">
        <w:softHyphen/>
      </w:r>
      <w:r w:rsidRPr="003E67AC" w:rsidR="00100D0D">
        <w:t>miljö. Antalet vårdplatser i Sverige har minskat över tid och täcker i dagsläget inte behovet.</w:t>
      </w:r>
      <w:r w:rsidRPr="003E67AC" w:rsidR="00100D0D">
        <w:rPr>
          <w:rStyle w:val="Fotnotsreferens"/>
        </w:rPr>
        <w:footnoteReference w:id="37"/>
      </w:r>
      <w:r w:rsidRPr="003E67AC" w:rsidR="00B97B72">
        <w:t xml:space="preserve"> </w:t>
      </w:r>
    </w:p>
    <w:p w:rsidRPr="003E67AC" w:rsidR="003F2960" w:rsidP="00852FCB" w:rsidRDefault="00DD4829" w14:paraId="02BB345C" w14:textId="77777777">
      <w:r w:rsidRPr="003E67AC">
        <w:t xml:space="preserve">Sveriges kommuner och regioner har haft ett antal tuffa år. Stigande kostnader för varor, tjänster och inte minst avtalspensioner har satt hård press på framför allt regionernas ekonomi. När sedan regeringen valt att inte skjuta till de medel som behövs för att täcka kostnadsökningarna har många regioner tvingats till nedskärningar inom sjukvården. Även om kommunsektorns ekonomi nu stärks beror de förbättrade resultaten till stor del på genomförda besparingar och skattehöjningar. </w:t>
      </w:r>
    </w:p>
    <w:p w:rsidRPr="003E67AC" w:rsidR="00DD4829" w:rsidP="00852FCB" w:rsidRDefault="00DD4829" w14:paraId="62D46AB6" w14:textId="35D9A7D2">
      <w:r w:rsidRPr="003E67AC">
        <w:t xml:space="preserve">Stora nedskärningar i verksamheten på bred front i kommuner och regioner har gjort välfärden och verksamheten mycket sårbar. Det finns helt enkelt inte resurser, varken ekonomiskt eller personellt, </w:t>
      </w:r>
      <w:r w:rsidR="00785F3A">
        <w:t xml:space="preserve">för </w:t>
      </w:r>
      <w:r w:rsidRPr="003E67AC">
        <w:t>att bedriva en tillräckligt bra verksamhet ens under normala förhållanden. På samma sätt har stora privatiseringar och utförsäljningar av offentlig verksamhet gjort att många kommuner inte har rådighet över den samhällsviktiga verksamheten inom kommunens gränser, något som gör att verksam</w:t>
      </w:r>
      <w:r w:rsidR="005771FF">
        <w:softHyphen/>
      </w:r>
      <w:r w:rsidRPr="003E67AC">
        <w:t>heten blir svår att samordna och styra i kriser.</w:t>
      </w:r>
    </w:p>
    <w:p w:rsidRPr="003E67AC" w:rsidR="009D2F2D" w:rsidP="00852FCB" w:rsidRDefault="00B96BD3" w14:paraId="316B6A76" w14:textId="40DBA84C">
      <w:r w:rsidRPr="003E67AC">
        <w:t>De hårt</w:t>
      </w:r>
      <w:r w:rsidRPr="003E67AC" w:rsidR="003F2960">
        <w:t xml:space="preserve"> pressade regioner</w:t>
      </w:r>
      <w:r w:rsidRPr="003E67AC">
        <w:t>na</w:t>
      </w:r>
      <w:r w:rsidRPr="003E67AC" w:rsidR="003F2960">
        <w:t xml:space="preserve"> och kommune</w:t>
      </w:r>
      <w:r w:rsidRPr="003E67AC">
        <w:t>rna</w:t>
      </w:r>
      <w:r w:rsidRPr="003E67AC" w:rsidR="003F2960">
        <w:t xml:space="preserve"> står </w:t>
      </w:r>
      <w:r w:rsidRPr="003E67AC">
        <w:t>dessutom</w:t>
      </w:r>
      <w:r w:rsidRPr="003E67AC" w:rsidR="003F2960">
        <w:t xml:space="preserve"> inför </w:t>
      </w:r>
      <w:r w:rsidRPr="003E67AC">
        <w:t>fortsatt</w:t>
      </w:r>
      <w:r w:rsidRPr="003E67AC" w:rsidR="003F2960">
        <w:t xml:space="preserve"> stora utmaningar med en ökande pensionsskuld, höga livsmedels- och energipriser och en åldrande befolkning. </w:t>
      </w:r>
      <w:r w:rsidRPr="003E67AC" w:rsidR="00DD4829">
        <w:t>Det är</w:t>
      </w:r>
      <w:r w:rsidRPr="003E67AC">
        <w:t xml:space="preserve"> </w:t>
      </w:r>
      <w:r w:rsidRPr="003E67AC" w:rsidR="00DD4829">
        <w:t xml:space="preserve">nu viktigt att kommuner och regioner tillförs de medel som de behöver för att </w:t>
      </w:r>
      <w:r w:rsidRPr="003E67AC" w:rsidR="003F2960">
        <w:t xml:space="preserve">bygga upp sina verksamheter igen och </w:t>
      </w:r>
      <w:r w:rsidRPr="003E67AC">
        <w:t>för att kunna</w:t>
      </w:r>
      <w:r w:rsidRPr="003E67AC" w:rsidR="003F2960">
        <w:t xml:space="preserve"> </w:t>
      </w:r>
      <w:r w:rsidRPr="003E67AC" w:rsidR="00DD4829">
        <w:t xml:space="preserve">bedriva </w:t>
      </w:r>
      <w:r w:rsidRPr="003E67AC" w:rsidR="003F2960">
        <w:t>en god</w:t>
      </w:r>
      <w:r w:rsidRPr="003E67AC" w:rsidR="00DD4829">
        <w:t xml:space="preserve"> verksamhet. Det handlar ytterst om samhällets funktionalitet och är helt nödvändigt för </w:t>
      </w:r>
      <w:r w:rsidRPr="003E67AC" w:rsidR="00DD4829">
        <w:lastRenderedPageBreak/>
        <w:t>ett fungerande civilt försvar. Oavsett vilka kriser vi ställs inför kommer sjukvården att vara viktig</w:t>
      </w:r>
      <w:r w:rsidR="00785F3A">
        <w:t>,</w:t>
      </w:r>
      <w:r w:rsidRPr="003E67AC" w:rsidR="00DD4829">
        <w:t xml:space="preserve"> och i </w:t>
      </w:r>
      <w:r w:rsidRPr="003E67AC" w:rsidR="006F7291">
        <w:t>en allvarlig konflikt</w:t>
      </w:r>
      <w:r w:rsidRPr="003E67AC" w:rsidR="00DD4829">
        <w:t xml:space="preserve"> är såklart fungerande sjukvård helt centralt.</w:t>
      </w:r>
      <w:r w:rsidRPr="003E67AC" w:rsidR="009D2F2D">
        <w:t xml:space="preserve"> </w:t>
      </w:r>
    </w:p>
    <w:p w:rsidRPr="003E67AC" w:rsidR="00355384" w:rsidP="00852FCB" w:rsidRDefault="00571F8E" w14:paraId="4280DC62" w14:textId="580E8092">
      <w:r w:rsidRPr="003E67AC">
        <w:t xml:space="preserve">Mellan 1994 och 2024 </w:t>
      </w:r>
      <w:r w:rsidR="00785F3A">
        <w:t xml:space="preserve">minskade </w:t>
      </w:r>
      <w:r w:rsidRPr="003E67AC">
        <w:t>antalet akutsjukhus från 90 till 57 stycken.</w:t>
      </w:r>
      <w:r w:rsidRPr="003E67AC">
        <w:rPr>
          <w:rStyle w:val="Fotnotsreferens"/>
        </w:rPr>
        <w:footnoteReference w:id="38"/>
      </w:r>
      <w:r w:rsidRPr="0011766F" w:rsidR="00FE192D">
        <w:rPr>
          <w:vertAlign w:val="superscript"/>
        </w:rPr>
        <w:t>,</w:t>
      </w:r>
      <w:r w:rsidRPr="003E67AC" w:rsidR="004D6E0C">
        <w:t xml:space="preserve"> </w:t>
      </w:r>
      <w:r w:rsidRPr="003E67AC">
        <w:rPr>
          <w:rStyle w:val="Fotnotsreferens"/>
        </w:rPr>
        <w:footnoteReference w:id="39"/>
      </w:r>
      <w:r w:rsidRPr="003E67AC">
        <w:t xml:space="preserve"> Det innebär en minskning på </w:t>
      </w:r>
      <w:r w:rsidRPr="003E67AC" w:rsidR="00E4260E">
        <w:t>ca 37</w:t>
      </w:r>
      <w:r w:rsidRPr="003E67AC">
        <w:t xml:space="preserve"> procent under 30 år. Antalet intensivvårdsplatser har minskat med 5</w:t>
      </w:r>
      <w:r w:rsidR="00785F3A">
        <w:t> </w:t>
      </w:r>
      <w:r w:rsidRPr="003E67AC">
        <w:t>procent sedan före coronapandemin och är nu bland de lägsta i Europa.</w:t>
      </w:r>
      <w:r w:rsidRPr="003E67AC" w:rsidR="00190EE2">
        <w:rPr>
          <w:rStyle w:val="Fotnotsreferens"/>
        </w:rPr>
        <w:footnoteReference w:id="40"/>
      </w:r>
      <w:r w:rsidRPr="003E67AC">
        <w:t xml:space="preserve"> </w:t>
      </w:r>
    </w:p>
    <w:p w:rsidRPr="003E67AC" w:rsidR="00355384" w:rsidP="00852FCB" w:rsidRDefault="00355384" w14:paraId="60150ACA" w14:textId="5114688E">
      <w:r w:rsidRPr="003E67AC">
        <w:t>Försvarsberedningen ansåg i sin rapport Kraftsamling att det finns behov av särskilda beredskapssjukhus och vidare att regionerna ska ha möjlighet att vid krig dubblera antalet fysiska vårdplatser jämfört med fredstid.</w:t>
      </w:r>
      <w:r w:rsidRPr="003E67AC">
        <w:rPr>
          <w:rStyle w:val="Fotnotsreferens"/>
        </w:rPr>
        <w:footnoteReference w:id="41"/>
      </w:r>
    </w:p>
    <w:p w:rsidRPr="003E67AC" w:rsidR="00151A73" w:rsidP="00852FCB" w:rsidRDefault="00FA3402" w14:paraId="6AD531E4" w14:textId="1C08B4E2">
      <w:r w:rsidRPr="003E67AC">
        <w:t xml:space="preserve">För Vänsterpartiet är det självklart att det ska finnas akutsjukhus och </w:t>
      </w:r>
      <w:r w:rsidRPr="003E67AC" w:rsidR="00791353">
        <w:t>intensiv</w:t>
      </w:r>
      <w:r w:rsidR="005771FF">
        <w:softHyphen/>
      </w:r>
      <w:r w:rsidRPr="003E67AC" w:rsidR="00791353">
        <w:t>vårds</w:t>
      </w:r>
      <w:r w:rsidR="005771FF">
        <w:softHyphen/>
      </w:r>
      <w:r w:rsidRPr="003E67AC" w:rsidR="00791353">
        <w:t>platser</w:t>
      </w:r>
      <w:r w:rsidRPr="003E67AC" w:rsidR="00724089">
        <w:t xml:space="preserve"> tillgängliga för hela befolkningen. </w:t>
      </w:r>
      <w:r w:rsidRPr="003E67AC">
        <w:t xml:space="preserve">I de fall där regionerna själva inte klarar av det ansvaret måste staten ta ett större ansvar. Det innebär </w:t>
      </w:r>
      <w:r w:rsidRPr="003E67AC" w:rsidR="00690CF7">
        <w:t xml:space="preserve">bl.a. </w:t>
      </w:r>
      <w:r w:rsidRPr="003E67AC">
        <w:t>att nedläggningen av akutsjukvård vid sjukhuset i Sollefteå måste stoppas.</w:t>
      </w:r>
      <w:r w:rsidRPr="003E67AC" w:rsidR="00C7510F">
        <w:t xml:space="preserve"> </w:t>
      </w:r>
      <w:r w:rsidRPr="003E67AC" w:rsidR="00151A73">
        <w:t xml:space="preserve">Sjukhuset är av stor betydelse för regionens invånare </w:t>
      </w:r>
      <w:r w:rsidRPr="003E67AC" w:rsidR="00DD6EAD">
        <w:t xml:space="preserve">och </w:t>
      </w:r>
      <w:r w:rsidRPr="003E67AC" w:rsidR="00F424B6">
        <w:t>kan</w:t>
      </w:r>
      <w:r w:rsidRPr="003E67AC" w:rsidR="00151A73">
        <w:t xml:space="preserve"> dessutom </w:t>
      </w:r>
      <w:r w:rsidRPr="003E67AC" w:rsidR="00DD6EAD">
        <w:t xml:space="preserve">fylla </w:t>
      </w:r>
      <w:r w:rsidRPr="003E67AC" w:rsidR="00151A73">
        <w:t>en viktig roll som beredskapssjukhus.</w:t>
      </w:r>
      <w:r w:rsidRPr="003E67AC" w:rsidR="00D60378">
        <w:rPr>
          <w:rStyle w:val="Fotnotsreferens"/>
        </w:rPr>
        <w:footnoteReference w:id="42"/>
      </w:r>
      <w:r w:rsidRPr="0011766F" w:rsidR="0011766F">
        <w:rPr>
          <w:vertAlign w:val="superscript"/>
        </w:rPr>
        <w:t>,</w:t>
      </w:r>
      <w:r w:rsidRPr="003E67AC" w:rsidR="0063631F">
        <w:t xml:space="preserve"> </w:t>
      </w:r>
      <w:r w:rsidRPr="003E67AC" w:rsidR="00D60378">
        <w:rPr>
          <w:rStyle w:val="Fotnotsreferens"/>
        </w:rPr>
        <w:footnoteReference w:id="43"/>
      </w:r>
      <w:r w:rsidRPr="003E67AC" w:rsidR="00151A73">
        <w:t xml:space="preserve"> Sollefteå kommun har föreslagit </w:t>
      </w:r>
      <w:r w:rsidRPr="003E67AC" w:rsidR="004D5164">
        <w:t>att stat och kommun gemensamt ska åta sig att finansiera de medel som saknas</w:t>
      </w:r>
      <w:r w:rsidRPr="003E67AC" w:rsidR="00151A73">
        <w:t>.</w:t>
      </w:r>
      <w:r w:rsidRPr="003E67AC" w:rsidR="00151A73">
        <w:rPr>
          <w:rStyle w:val="Fotnotsreferens"/>
        </w:rPr>
        <w:footnoteReference w:id="44"/>
      </w:r>
      <w:r w:rsidRPr="0011766F" w:rsidR="0011766F">
        <w:rPr>
          <w:vertAlign w:val="superscript"/>
        </w:rPr>
        <w:t>,</w:t>
      </w:r>
      <w:r w:rsidRPr="003E67AC" w:rsidR="00AA05DC">
        <w:t xml:space="preserve"> </w:t>
      </w:r>
      <w:r w:rsidRPr="003E67AC" w:rsidR="002D6187">
        <w:rPr>
          <w:rStyle w:val="Fotnotsreferens"/>
        </w:rPr>
        <w:footnoteReference w:id="45"/>
      </w:r>
      <w:r w:rsidRPr="003E67AC" w:rsidR="00151A73">
        <w:t xml:space="preserve"> </w:t>
      </w:r>
    </w:p>
    <w:p w:rsidRPr="003E67AC" w:rsidR="00CB4061" w:rsidP="00852FCB" w:rsidRDefault="00C7510F" w14:paraId="12C19347" w14:textId="294137E9">
      <w:r w:rsidRPr="003E67AC">
        <w:t>I de fall det är långa avstånd till akutsjukvård måste tillgången till snabbast möjliga ambulanssjukvård garanteras. Det kan t.ex. handla om att utöka antalet ambulanser eller bygga ut den luftburna ambulanssjukvården.</w:t>
      </w:r>
      <w:r w:rsidRPr="003E67AC" w:rsidR="009420AD">
        <w:t xml:space="preserve"> </w:t>
      </w:r>
    </w:p>
    <w:p w:rsidRPr="003E67AC" w:rsidR="002A595A" w:rsidP="00852FCB" w:rsidRDefault="002A595A" w14:paraId="51F26AE5" w14:textId="2297660F">
      <w:r w:rsidRPr="003E67AC">
        <w:t xml:space="preserve">Vänsterpartiet vill se en </w:t>
      </w:r>
      <w:r w:rsidRPr="003E67AC" w:rsidR="009420AD">
        <w:t>statlig satsning</w:t>
      </w:r>
      <w:r w:rsidRPr="003E67AC">
        <w:t xml:space="preserve"> för att bygga ut </w:t>
      </w:r>
      <w:r w:rsidRPr="003E67AC" w:rsidR="005B22AE">
        <w:t xml:space="preserve">och bibehålla </w:t>
      </w:r>
      <w:r w:rsidRPr="003E67AC">
        <w:t>vård</w:t>
      </w:r>
      <w:r w:rsidR="005771FF">
        <w:softHyphen/>
      </w:r>
      <w:r w:rsidRPr="003E67AC">
        <w:t>infra</w:t>
      </w:r>
      <w:r w:rsidR="005771FF">
        <w:softHyphen/>
      </w:r>
      <w:r w:rsidRPr="003E67AC">
        <w:t>struktur</w:t>
      </w:r>
      <w:r w:rsidRPr="003E67AC" w:rsidR="009420AD">
        <w:t xml:space="preserve"> genom </w:t>
      </w:r>
      <w:r w:rsidRPr="003E67AC" w:rsidR="0079171C">
        <w:t>den</w:t>
      </w:r>
      <w:r w:rsidRPr="003E67AC" w:rsidR="009420AD">
        <w:t xml:space="preserve"> modell med beredskapsjobb</w:t>
      </w:r>
      <w:r w:rsidRPr="003E67AC" w:rsidR="0079171C">
        <w:t xml:space="preserve"> som beskrivs ovan</w:t>
      </w:r>
      <w:r w:rsidRPr="003E67AC" w:rsidR="009420AD">
        <w:t>.</w:t>
      </w:r>
      <w:r w:rsidRPr="003E67AC" w:rsidR="001F4C05">
        <w:rPr>
          <w:lang w:eastAsia="sv-SE"/>
        </w:rPr>
        <w:t xml:space="preserve"> </w:t>
      </w:r>
    </w:p>
    <w:p w:rsidRPr="003E67AC" w:rsidR="00FA3402" w:rsidP="00852FCB" w:rsidRDefault="00FA3402" w14:paraId="7084A950" w14:textId="04F20722">
      <w:bookmarkStart w:name="_Hlk196228134" w:id="35"/>
      <w:bookmarkStart w:name="_Hlk195626273" w:id="36"/>
      <w:r w:rsidRPr="003E67AC">
        <w:t>Vänsterpartiets förslag:</w:t>
      </w:r>
    </w:p>
    <w:p w:rsidRPr="003E67AC" w:rsidR="0052715B" w:rsidP="00852FCB" w:rsidRDefault="00FA3402" w14:paraId="1A04044E" w14:textId="7D776CB0">
      <w:pPr>
        <w:pStyle w:val="ListaPunkt"/>
        <w:ind w:left="284" w:hanging="284"/>
      </w:pPr>
      <w:r w:rsidRPr="003E67AC">
        <w:rPr>
          <w:lang w:eastAsia="sv-SE"/>
        </w:rPr>
        <w:t xml:space="preserve">Stoppa nedläggningen av akutsjukvård </w:t>
      </w:r>
      <w:r w:rsidRPr="003E67AC" w:rsidR="008C3E06">
        <w:rPr>
          <w:lang w:eastAsia="sv-SE"/>
        </w:rPr>
        <w:t>vid</w:t>
      </w:r>
      <w:r w:rsidRPr="003E67AC">
        <w:rPr>
          <w:lang w:eastAsia="sv-SE"/>
        </w:rPr>
        <w:t xml:space="preserve"> Sollefteå</w:t>
      </w:r>
      <w:r w:rsidRPr="003E67AC" w:rsidR="00151A73">
        <w:rPr>
          <w:lang w:eastAsia="sv-SE"/>
        </w:rPr>
        <w:t xml:space="preserve"> </w:t>
      </w:r>
      <w:r w:rsidRPr="003E67AC" w:rsidR="008C3E06">
        <w:rPr>
          <w:lang w:eastAsia="sv-SE"/>
        </w:rPr>
        <w:t xml:space="preserve">sjukhus </w:t>
      </w:r>
      <w:r w:rsidRPr="003E67AC" w:rsidR="00151A73">
        <w:rPr>
          <w:lang w:eastAsia="sv-SE"/>
        </w:rPr>
        <w:t>genom en samfinansiering där stat och kommun bidrar me</w:t>
      </w:r>
      <w:r w:rsidRPr="003E67AC" w:rsidR="00B10697">
        <w:rPr>
          <w:lang w:eastAsia="sv-SE"/>
        </w:rPr>
        <w:t>d</w:t>
      </w:r>
      <w:r w:rsidRPr="003E67AC" w:rsidR="00151A73">
        <w:rPr>
          <w:lang w:eastAsia="sv-SE"/>
        </w:rPr>
        <w:t xml:space="preserve"> 23 miljoner kronor var</w:t>
      </w:r>
      <w:r w:rsidRPr="003E67AC">
        <w:rPr>
          <w:lang w:eastAsia="sv-SE"/>
        </w:rPr>
        <w:t>.</w:t>
      </w:r>
      <w:bookmarkEnd w:id="35"/>
    </w:p>
    <w:p w:rsidRPr="003E67AC" w:rsidR="00B13DCA" w:rsidP="006C5821" w:rsidRDefault="00B13DCA" w14:paraId="03628772" w14:textId="77777777">
      <w:pPr>
        <w:pStyle w:val="Rubrik2numrerat"/>
      </w:pPr>
      <w:bookmarkStart w:name="_Toc197351642" w:id="37"/>
      <w:bookmarkEnd w:id="36"/>
      <w:r w:rsidRPr="003E67AC">
        <w:lastRenderedPageBreak/>
        <w:t>Kunskapslyft ur krisen</w:t>
      </w:r>
      <w:bookmarkEnd w:id="37"/>
    </w:p>
    <w:p w:rsidRPr="003E67AC" w:rsidR="00B13DCA" w:rsidP="00852FCB" w:rsidRDefault="00B13DCA" w14:paraId="75F2DEFA" w14:textId="7A100530">
      <w:pPr>
        <w:pStyle w:val="Normalutanindragellerluft"/>
      </w:pPr>
      <w:r w:rsidRPr="003E67AC">
        <w:t>Regeringen föreslår satsningar på yrkesvux och yrkeshögskolan i sin vårbudget.</w:t>
      </w:r>
      <w:r w:rsidRPr="003E67AC">
        <w:rPr>
          <w:rStyle w:val="Fotnotsreferens"/>
        </w:rPr>
        <w:footnoteReference w:id="46"/>
      </w:r>
      <w:r w:rsidRPr="003E67AC">
        <w:t xml:space="preserve"> Det är bra och viktigt nu när arbetslösheten är hög och har ökat. Behovet av yrkesutbildade är dessutom stort</w:t>
      </w:r>
      <w:r w:rsidR="007D2FDC">
        <w:t>;</w:t>
      </w:r>
      <w:r w:rsidRPr="003E67AC">
        <w:t xml:space="preserve"> det saknas exempelvis undersköterskor, elektriker och industriarbetare. </w:t>
      </w:r>
    </w:p>
    <w:p w:rsidRPr="003E67AC" w:rsidR="00B13DCA" w:rsidP="00B13DCA" w:rsidRDefault="00B13DCA" w14:paraId="0161105D" w14:textId="1444C366">
      <w:r w:rsidRPr="003E67AC">
        <w:t xml:space="preserve">Ur ett långsiktigt tillväxtperspektiv framstår utbildningssatsningar som en betydligt effektivare åtgärd än regeringens förslag </w:t>
      </w:r>
      <w:r w:rsidR="007D2FDC">
        <w:t xml:space="preserve">om </w:t>
      </w:r>
      <w:r w:rsidRPr="003E67AC">
        <w:t>att utöka rotavdraget. Rätt utforma</w:t>
      </w:r>
      <w:r w:rsidR="000C79F6">
        <w:t>de</w:t>
      </w:r>
      <w:r w:rsidRPr="003E67AC">
        <w:t xml:space="preserve"> kan insatser inom vuxenutbildningen tillsammans med arbetsmarknadspolitiken också vara en effektiv konjunkturåtgärd. Det kan vara åtgärder som tillfälligt ökar arbetslösas incitament till utbildning mot ett bristyrke. Tillfällig</w:t>
      </w:r>
      <w:r w:rsidR="0058298F">
        <w:t>a</w:t>
      </w:r>
      <w:r w:rsidRPr="003E67AC">
        <w:t xml:space="preserve"> och riktade förstärkningar av studiemedel är en så</w:t>
      </w:r>
      <w:r w:rsidR="0058298F">
        <w:t>da</w:t>
      </w:r>
      <w:r w:rsidRPr="003E67AC">
        <w:t>n möjlighet.</w:t>
      </w:r>
    </w:p>
    <w:p w:rsidRPr="003E67AC" w:rsidR="00B13DCA" w:rsidP="00852FCB" w:rsidRDefault="00B13DCA" w14:paraId="03BD76DD" w14:textId="11130B81">
      <w:r w:rsidRPr="003E67AC">
        <w:t>För 50 år sedan vilade vuxenutbildningen på frivilliga initiativ från såväl offentliga som privata huvudmän i form av folkbildning, korrespondenskurser, aftonskolor och liknande. Med det kommunala ansvaret har tillgängligheten ökat och rätten till kunskap stärkts. Det har bidragit till en höjd utbildningsnivå och till att rekryteringen till hög</w:t>
      </w:r>
      <w:r w:rsidR="005771FF">
        <w:softHyphen/>
      </w:r>
      <w:r w:rsidRPr="003E67AC">
        <w:t xml:space="preserve">skolan har breddats. Alla vuxna som inte har tillräckliga kunskaper ska ha rätten att få detta tillgodosett inom den </w:t>
      </w:r>
      <w:r w:rsidRPr="003E67AC">
        <w:rPr>
          <w:b/>
          <w:bCs/>
        </w:rPr>
        <w:t>kommunala vuxenutbildningen</w:t>
      </w:r>
      <w:r w:rsidRPr="003E67AC">
        <w:t xml:space="preserve">. För många människor har vuxenutbildningen inneburit en andra chans när tidigare skolformer har misslyckats. För andra har den inneburit en chans till yrkesväxling. </w:t>
      </w:r>
    </w:p>
    <w:p w:rsidRPr="003E67AC" w:rsidR="00B13DCA" w:rsidP="00852FCB" w:rsidRDefault="00B13DCA" w14:paraId="16859CCF" w14:textId="22AD0BD6">
      <w:r w:rsidRPr="003E67AC">
        <w:t xml:space="preserve">Ökad arbetsdelning och specialisering inom arbetslivet har gjort att gymnasieskolan inte fullt ut kan tillgodose behoven av utbildad arbetskraft. Yrkesutbildning kommer att ske efter gymnasieskolan i allt större utsträckning. Den </w:t>
      </w:r>
      <w:r w:rsidRPr="003E67AC">
        <w:rPr>
          <w:b/>
          <w:bCs/>
        </w:rPr>
        <w:t>eftergymnasiala yrkes</w:t>
      </w:r>
      <w:r w:rsidR="005771FF">
        <w:rPr>
          <w:b/>
          <w:bCs/>
        </w:rPr>
        <w:softHyphen/>
      </w:r>
      <w:r w:rsidRPr="003E67AC">
        <w:rPr>
          <w:b/>
          <w:bCs/>
        </w:rPr>
        <w:t>utbildningen</w:t>
      </w:r>
      <w:r w:rsidRPr="003E67AC">
        <w:t xml:space="preserve"> har med införandet av en yrkeshögskola börjat få något fastare former och en tydligare struktur. Tanken bakom yrkeshögskolans utbildningar är att de ska finnas när och där de behövs. Det innebär att innehåll</w:t>
      </w:r>
      <w:r w:rsidR="0058298F">
        <w:t>et</w:t>
      </w:r>
      <w:r w:rsidRPr="003E67AC">
        <w:t xml:space="preserve"> </w:t>
      </w:r>
      <w:r w:rsidR="0058298F">
        <w:t xml:space="preserve">i </w:t>
      </w:r>
      <w:r w:rsidRPr="003E67AC">
        <w:t>och inriktning</w:t>
      </w:r>
      <w:r w:rsidR="0058298F">
        <w:t>en</w:t>
      </w:r>
      <w:r w:rsidRPr="003E67AC">
        <w:t xml:space="preserve"> på utbildningarna varierar och att nya utbildningar inom yrkeshögskolan startar och gamla läggs ned allteftersom behovet förändras.</w:t>
      </w:r>
    </w:p>
    <w:p w:rsidRPr="003E67AC" w:rsidR="00B13DCA" w:rsidP="00852FCB" w:rsidRDefault="00B13DCA" w14:paraId="1EDD69BB" w14:textId="5F54F3E3">
      <w:r w:rsidRPr="003E67AC">
        <w:t>I många branscher som har brist på arbetskraft råder det också stor obalans mellan könen. Det syns exempelvis genom kvinnodominansen i skolan och vården och mans</w:t>
      </w:r>
      <w:r w:rsidR="005771FF">
        <w:softHyphen/>
      </w:r>
      <w:r w:rsidRPr="003E67AC">
        <w:t>dominansen inom byggsektorn. Faktum är att denna uppdelning startar redan vid valet av gymnasieutbildning. Det är betydligt fler flickor som väljer att studera på samhälls</w:t>
      </w:r>
      <w:r w:rsidR="005771FF">
        <w:softHyphen/>
      </w:r>
      <w:r w:rsidRPr="003E67AC">
        <w:t>vetenskapsprogrammet och vård- och omsorgsprogrammet</w:t>
      </w:r>
      <w:r w:rsidR="00A34125">
        <w:t>,</w:t>
      </w:r>
      <w:r w:rsidRPr="003E67AC">
        <w:t xml:space="preserve"> medan pojkarna </w:t>
      </w:r>
      <w:r w:rsidRPr="003E67AC">
        <w:lastRenderedPageBreak/>
        <w:t>dominerar på teknikprogrammet och fordons- och transportprogrammet. En grupp forskare vid institutionen för psykologi vid Lunds universitet har tittat på varför det ser ut som det gör i Sverige</w:t>
      </w:r>
      <w:r w:rsidR="00A34125">
        <w:t>,</w:t>
      </w:r>
      <w:r w:rsidRPr="003E67AC">
        <w:t xml:space="preserve"> och de kunde framför allt konstatera att flickorna hade sämre själv</w:t>
      </w:r>
      <w:r w:rsidR="005771FF">
        <w:softHyphen/>
      </w:r>
      <w:r w:rsidRPr="003E67AC">
        <w:t xml:space="preserve">förtroende angående sina förmågor och sin tekniska kompetens, vilket påverkade deras studieval. Pojkarna hade inga problem med självförtroendet men var mer drivna av statusen på sitt framtida yrke. Sammantaget visade också undersökningen att elever </w:t>
      </w:r>
      <w:r w:rsidRPr="005771FF">
        <w:rPr>
          <w:spacing w:val="-1"/>
        </w:rPr>
        <w:t>av sociala skäl väljer bort utbildningar som traditionellt domineras av det motsatta könet.</w:t>
      </w:r>
      <w:r w:rsidRPr="003E67AC">
        <w:t xml:space="preserve"> Detta visar på att det finns mycket att göra när det kommer till jämställdhet i den </w:t>
      </w:r>
      <w:r w:rsidRPr="005771FF">
        <w:rPr>
          <w:spacing w:val="-1"/>
        </w:rPr>
        <w:t>svenska skolan. Bristerna i studie- och yrkesvägledningen får i</w:t>
      </w:r>
      <w:r w:rsidRPr="005771FF" w:rsidR="00734F67">
        <w:rPr>
          <w:spacing w:val="-1"/>
        </w:rPr>
        <w:t> </w:t>
      </w:r>
      <w:r w:rsidRPr="005771FF">
        <w:rPr>
          <w:spacing w:val="-1"/>
        </w:rPr>
        <w:t>dag direkta konsekvenser</w:t>
      </w:r>
      <w:r w:rsidRPr="003E67AC">
        <w:t xml:space="preserve"> för möjligheten att rekrytera ny personal till arbetsmarknaden, vilket har uppmärk</w:t>
      </w:r>
      <w:r w:rsidR="005771FF">
        <w:softHyphen/>
      </w:r>
      <w:r w:rsidRPr="003E67AC">
        <w:t xml:space="preserve">sammats av både Myndigheten för ungdoms- och civilsamhällesfrågor och Västsvenska Handelskammaren. Enligt en undersökning från </w:t>
      </w:r>
      <w:proofErr w:type="gramStart"/>
      <w:r w:rsidRPr="003E67AC">
        <w:t>Svenskt</w:t>
      </w:r>
      <w:proofErr w:type="gramEnd"/>
      <w:r w:rsidRPr="003E67AC">
        <w:t xml:space="preserve"> näringsliv från 2025 har </w:t>
      </w:r>
      <w:r w:rsidRPr="003E67AC" w:rsidR="00734F67">
        <w:t>sju</w:t>
      </w:r>
      <w:r w:rsidRPr="003E67AC">
        <w:t xml:space="preserve"> av </w:t>
      </w:r>
      <w:r w:rsidRPr="003E67AC" w:rsidR="00734F67">
        <w:t>tio</w:t>
      </w:r>
      <w:r w:rsidRPr="003E67AC">
        <w:t xml:space="preserve"> företag svårt att hitta yrkesutbildad arbetskraft. Det vittnar om att det som behövs inte bara </w:t>
      </w:r>
      <w:r w:rsidR="00A34125">
        <w:t xml:space="preserve">är </w:t>
      </w:r>
      <w:r w:rsidRPr="003E67AC">
        <w:t xml:space="preserve">fler utbildningsplatser utan även studie- och yrkesvägledning som kan hjälpa den som kan tänka sig att studera att hitta rätt utbildningar som leder till arbete. </w:t>
      </w:r>
    </w:p>
    <w:p w:rsidRPr="003E67AC" w:rsidR="00B13DCA" w:rsidP="00852FCB" w:rsidRDefault="00B13DCA" w14:paraId="2F2DEBCE" w14:textId="591D467F">
      <w:r w:rsidRPr="003E67AC">
        <w:t>För Vänsterpartiet är det viktigt att alla elever får möjlighet att leva upp till sin fulla potential, oavsett kön. Därför måste alla elever få möjlighet att göra välinformerade val till gymnasiet. Eleverna behöver få tid och möjlighet att möta kompetenta studie</w:t>
      </w:r>
      <w:r w:rsidR="005771FF">
        <w:softHyphen/>
      </w:r>
      <w:r w:rsidRPr="003E67AC">
        <w:t>vägledare som kan få eleverna att tänka i nya banor. Vänsterpartiets utbildningssatsning innebär sammanlagt en kostnad på 750 miljoner kr</w:t>
      </w:r>
      <w:r w:rsidRPr="003E67AC" w:rsidR="00734F67">
        <w:t>onor</w:t>
      </w:r>
      <w:r w:rsidRPr="003E67AC">
        <w:t>, utöver regeringen</w:t>
      </w:r>
      <w:r w:rsidRPr="003E67AC" w:rsidR="00734F67">
        <w:t>s</w:t>
      </w:r>
      <w:r w:rsidRPr="003E67AC">
        <w:t>.</w:t>
      </w:r>
    </w:p>
    <w:p w:rsidRPr="003E67AC" w:rsidR="00B13DCA" w:rsidP="00852FCB" w:rsidRDefault="00B13DCA" w14:paraId="0FBC04B9" w14:textId="77777777">
      <w:r w:rsidRPr="003E67AC">
        <w:t xml:space="preserve">Vänsterpartiets förslag: </w:t>
      </w:r>
    </w:p>
    <w:p w:rsidRPr="003E67AC" w:rsidR="00B13DCA" w:rsidP="00852FCB" w:rsidRDefault="00B13DCA" w14:paraId="3B0DDA3D" w14:textId="77777777">
      <w:pPr>
        <w:pStyle w:val="ListaPunkt"/>
        <w:ind w:left="284" w:hanging="284"/>
        <w:rPr>
          <w:lang w:eastAsia="sv-SE"/>
        </w:rPr>
      </w:pPr>
      <w:r w:rsidRPr="003E67AC">
        <w:rPr>
          <w:lang w:eastAsia="sv-SE"/>
        </w:rPr>
        <w:t xml:space="preserve">Dubblera regeringens utbildningssatsning för att möta det behov som finns av möjlighet till omställning när arbetslösheten nu ökar. </w:t>
      </w:r>
    </w:p>
    <w:p w:rsidRPr="003E67AC" w:rsidR="00B13DCA" w:rsidP="00852FCB" w:rsidRDefault="00B13DCA" w14:paraId="1D7A365F" w14:textId="12401F91">
      <w:pPr>
        <w:pStyle w:val="ListaPunkt"/>
        <w:ind w:left="284" w:hanging="284"/>
        <w:rPr>
          <w:lang w:eastAsia="sv-SE"/>
        </w:rPr>
      </w:pPr>
      <w:r w:rsidRPr="003E67AC">
        <w:rPr>
          <w:lang w:eastAsia="sv-SE"/>
        </w:rPr>
        <w:t xml:space="preserve">40 miljoner </w:t>
      </w:r>
      <w:r w:rsidRPr="003E67AC" w:rsidR="00FB51DF">
        <w:rPr>
          <w:lang w:eastAsia="sv-SE"/>
        </w:rPr>
        <w:t xml:space="preserve">kronor </w:t>
      </w:r>
      <w:r w:rsidRPr="003E67AC">
        <w:rPr>
          <w:lang w:eastAsia="sv-SE"/>
        </w:rPr>
        <w:t>för ökad tillgång till studie- och yrkesvägledning inom komvux.</w:t>
      </w:r>
    </w:p>
    <w:p w:rsidRPr="003E67AC" w:rsidR="007851F5" w:rsidP="006C5821" w:rsidRDefault="007851F5" w14:paraId="6768F944" w14:textId="7431CCC5">
      <w:pPr>
        <w:pStyle w:val="Rubrik1numrerat"/>
      </w:pPr>
      <w:bookmarkStart w:name="_Toc197351643" w:id="38"/>
      <w:r w:rsidRPr="003E67AC">
        <w:t xml:space="preserve">Förslag på budgetåtgärder för </w:t>
      </w:r>
      <w:bookmarkStart w:name="_Hlk161737103" w:id="39"/>
      <w:r w:rsidRPr="003E67AC" w:rsidR="00A33469">
        <w:t>2025</w:t>
      </w:r>
      <w:bookmarkEnd w:id="38"/>
    </w:p>
    <w:bookmarkEnd w:id="39"/>
    <w:p w:rsidRPr="003E67AC" w:rsidR="00A47EFF" w:rsidP="00852FCB" w:rsidRDefault="001C6C38" w14:paraId="4E59F44F" w14:textId="07533EE8">
      <w:pPr>
        <w:pStyle w:val="Normalutanindragellerluft"/>
      </w:pPr>
      <w:r w:rsidRPr="003E67AC">
        <w:rPr>
          <w:lang w:eastAsia="sv-SE"/>
        </w:rPr>
        <w:t>Vänsterpartiet</w:t>
      </w:r>
      <w:r w:rsidR="00A34125">
        <w:rPr>
          <w:lang w:eastAsia="sv-SE"/>
        </w:rPr>
        <w:t>s</w:t>
      </w:r>
      <w:r w:rsidRPr="003E67AC">
        <w:rPr>
          <w:lang w:eastAsia="sv-SE"/>
        </w:rPr>
        <w:t xml:space="preserve"> föreslagna ändringar i budgeten 2025 uppgår till </w:t>
      </w:r>
      <w:r w:rsidRPr="003E67AC" w:rsidR="007A6E0C">
        <w:rPr>
          <w:lang w:eastAsia="sv-SE"/>
        </w:rPr>
        <w:t>12,2</w:t>
      </w:r>
      <w:r w:rsidRPr="003E67AC">
        <w:rPr>
          <w:lang w:eastAsia="sv-SE"/>
        </w:rPr>
        <w:t xml:space="preserve"> miljarder kronor</w:t>
      </w:r>
      <w:r w:rsidRPr="003E67AC" w:rsidR="00497890">
        <w:rPr>
          <w:lang w:eastAsia="sv-SE"/>
        </w:rPr>
        <w:t xml:space="preserve"> (se tabell</w:t>
      </w:r>
      <w:r w:rsidR="00A34125">
        <w:rPr>
          <w:lang w:eastAsia="sv-SE"/>
        </w:rPr>
        <w:t> </w:t>
      </w:r>
      <w:r w:rsidRPr="003E67AC" w:rsidR="00497890">
        <w:rPr>
          <w:lang w:eastAsia="sv-SE"/>
        </w:rPr>
        <w:t>2)</w:t>
      </w:r>
      <w:r w:rsidRPr="003E67AC">
        <w:rPr>
          <w:lang w:eastAsia="sv-SE"/>
        </w:rPr>
        <w:t xml:space="preserve">. Utöver nedanstående reformer </w:t>
      </w:r>
      <w:r w:rsidRPr="003E67AC" w:rsidR="00A47EFF">
        <w:rPr>
          <w:lang w:eastAsia="sv-SE"/>
        </w:rPr>
        <w:t xml:space="preserve">kräver </w:t>
      </w:r>
      <w:r w:rsidRPr="003E67AC">
        <w:rPr>
          <w:lang w:eastAsia="sv-SE"/>
        </w:rPr>
        <w:t>Vänsterpartiet att</w:t>
      </w:r>
      <w:r w:rsidRPr="003E67AC" w:rsidR="00A47EFF">
        <w:rPr>
          <w:lang w:eastAsia="sv-SE"/>
        </w:rPr>
        <w:t xml:space="preserve"> löpande utgifter till försvarsuppbyggnad ska finansieras och påtalar att skattesänkningar aldrig får låne</w:t>
      </w:r>
      <w:r w:rsidR="005771FF">
        <w:rPr>
          <w:lang w:eastAsia="sv-SE"/>
        </w:rPr>
        <w:softHyphen/>
      </w:r>
      <w:r w:rsidRPr="003E67AC" w:rsidR="00A47EFF">
        <w:rPr>
          <w:lang w:eastAsia="sv-SE"/>
        </w:rPr>
        <w:t xml:space="preserve">finansieras. Därför föreslår vi en försvarsskatt på kapital och de högsta inkomsterna för att finansiera de ökande löpande kostnaderna inom försvaret. En </w:t>
      </w:r>
      <w:r w:rsidRPr="003E67AC" w:rsidR="00F1049D">
        <w:rPr>
          <w:lang w:eastAsia="sv-SE"/>
        </w:rPr>
        <w:t xml:space="preserve">eventuell </w:t>
      </w:r>
      <w:r w:rsidRPr="003E67AC" w:rsidR="00A47EFF">
        <w:rPr>
          <w:lang w:eastAsia="sv-SE"/>
        </w:rPr>
        <w:lastRenderedPageBreak/>
        <w:t>lånefinan</w:t>
      </w:r>
      <w:r w:rsidR="005771FF">
        <w:rPr>
          <w:lang w:eastAsia="sv-SE"/>
        </w:rPr>
        <w:softHyphen/>
      </w:r>
      <w:r w:rsidRPr="003E67AC" w:rsidR="00A47EFF">
        <w:rPr>
          <w:lang w:eastAsia="sv-SE"/>
        </w:rPr>
        <w:t xml:space="preserve">siering </w:t>
      </w:r>
      <w:r w:rsidRPr="003E67AC" w:rsidR="00E50F1F">
        <w:rPr>
          <w:lang w:eastAsia="sv-SE"/>
        </w:rPr>
        <w:t>av försvaret</w:t>
      </w:r>
      <w:r w:rsidRPr="003E67AC" w:rsidR="00A47EFF">
        <w:rPr>
          <w:lang w:eastAsia="sv-SE"/>
        </w:rPr>
        <w:t xml:space="preserve"> måste förhandlas mellan partierna </w:t>
      </w:r>
      <w:r w:rsidRPr="003E67AC" w:rsidR="00F1049D">
        <w:rPr>
          <w:lang w:eastAsia="sv-SE"/>
        </w:rPr>
        <w:t>och bör då omfatta</w:t>
      </w:r>
      <w:r w:rsidRPr="003E67AC" w:rsidR="00A47EFF">
        <w:rPr>
          <w:lang w:eastAsia="sv-SE"/>
        </w:rPr>
        <w:t xml:space="preserve"> viktiga investeringar i totalförsvaret, såsom </w:t>
      </w:r>
      <w:r w:rsidR="00492E38">
        <w:rPr>
          <w:lang w:eastAsia="sv-SE"/>
        </w:rPr>
        <w:t xml:space="preserve">i </w:t>
      </w:r>
      <w:r w:rsidRPr="003E67AC" w:rsidR="00A47EFF">
        <w:rPr>
          <w:lang w:eastAsia="sv-SE"/>
        </w:rPr>
        <w:t xml:space="preserve">järnväg och elnät. </w:t>
      </w:r>
    </w:p>
    <w:p w:rsidRPr="003E67AC" w:rsidR="00583B53" w:rsidP="00852FCB" w:rsidRDefault="00DA4221" w14:paraId="1CB98161" w14:textId="60C0A23C">
      <w:r w:rsidRPr="003E67AC">
        <w:rPr>
          <w:lang w:eastAsia="sv-SE"/>
        </w:rPr>
        <w:t>Vänsterpartiet menar även att r</w:t>
      </w:r>
      <w:r w:rsidRPr="003E67AC" w:rsidR="00583B53">
        <w:rPr>
          <w:lang w:eastAsia="sv-SE"/>
        </w:rPr>
        <w:t xml:space="preserve">egeringen bör </w:t>
      </w:r>
      <w:r w:rsidRPr="003E67AC" w:rsidR="00A76A30">
        <w:rPr>
          <w:lang w:eastAsia="sv-SE"/>
        </w:rPr>
        <w:t>dra tillbaka</w:t>
      </w:r>
      <w:r w:rsidRPr="003E67AC" w:rsidR="00583B53">
        <w:rPr>
          <w:lang w:eastAsia="sv-SE"/>
        </w:rPr>
        <w:t xml:space="preserve"> det ansvarslösa förslaget om kärnkraftsfinansiering och i</w:t>
      </w:r>
      <w:r w:rsidRPr="003E67AC" w:rsidR="00F311DC">
        <w:rPr>
          <w:lang w:eastAsia="sv-SE"/>
        </w:rPr>
        <w:t> </w:t>
      </w:r>
      <w:r w:rsidRPr="003E67AC" w:rsidR="00583B53">
        <w:rPr>
          <w:lang w:eastAsia="sv-SE"/>
        </w:rPr>
        <w:t>stället</w:t>
      </w:r>
      <w:r w:rsidRPr="003E67AC" w:rsidR="00583B53">
        <w:t xml:space="preserve"> gå vidare med en ny energiöverenskommelse som innehåller samtliga kraftslag.</w:t>
      </w:r>
    </w:p>
    <w:p w:rsidRPr="003E67AC" w:rsidR="0024509B" w:rsidP="00852FCB" w:rsidRDefault="0024509B" w14:paraId="56C112C2" w14:textId="56AF71A5">
      <w:r w:rsidRPr="003E67AC">
        <w:t>I denna motion lyfter Vänsterpartiet även en rad förslag för att reglera de</w:t>
      </w:r>
      <w:r w:rsidRPr="003E67AC" w:rsidR="00D11E34">
        <w:t>n illa fungerande mat-, bank</w:t>
      </w:r>
      <w:r w:rsidR="000657F7">
        <w:t>-</w:t>
      </w:r>
      <w:r w:rsidRPr="003E67AC" w:rsidR="00D11E34">
        <w:t xml:space="preserve"> och elmarknaden. Vänsterpartiet anser att vi tillsammans måste </w:t>
      </w:r>
      <w:r w:rsidRPr="003E67AC" w:rsidR="006E3531">
        <w:t xml:space="preserve">agera för att </w:t>
      </w:r>
      <w:r w:rsidRPr="003E67AC" w:rsidR="00D11E34">
        <w:t>stoppa rånet av hushållen.</w:t>
      </w:r>
    </w:p>
    <w:p w:rsidRPr="003E67AC" w:rsidR="001C6C38" w:rsidP="004C244A" w:rsidRDefault="004C244A" w14:paraId="3589A00C" w14:textId="2B4B6580">
      <w:pPr>
        <w:pStyle w:val="Tabellrubrik"/>
        <w:rPr>
          <w:lang w:eastAsia="sv-SE"/>
        </w:rPr>
      </w:pPr>
      <w:r w:rsidRPr="003E67AC">
        <w:rPr>
          <w:lang w:eastAsia="sv-SE"/>
        </w:rPr>
        <w:t xml:space="preserve">Tabell </w:t>
      </w:r>
      <w:r w:rsidRPr="003E67AC" w:rsidR="004F1979">
        <w:rPr>
          <w:lang w:eastAsia="sv-SE"/>
        </w:rPr>
        <w:t>2</w:t>
      </w:r>
      <w:r w:rsidRPr="003E67AC">
        <w:rPr>
          <w:lang w:eastAsia="sv-SE"/>
        </w:rPr>
        <w:t xml:space="preserve"> Budgetförs</w:t>
      </w:r>
      <w:r w:rsidRPr="003E67AC" w:rsidR="00F2617C">
        <w:rPr>
          <w:lang w:eastAsia="sv-SE"/>
        </w:rPr>
        <w:t>l</w:t>
      </w:r>
      <w:r w:rsidRPr="003E67AC">
        <w:rPr>
          <w:lang w:eastAsia="sv-SE"/>
        </w:rPr>
        <w:t>ag för innevarande år</w:t>
      </w:r>
    </w:p>
    <w:p w:rsidRPr="003E67AC" w:rsidR="004C244A" w:rsidP="004C244A" w:rsidRDefault="004C244A" w14:paraId="1CB7E439" w14:textId="114FADC8">
      <w:pPr>
        <w:pStyle w:val="Tabellunderrubrik"/>
        <w:rPr>
          <w:lang w:eastAsia="sv-SE"/>
        </w:rPr>
      </w:pPr>
      <w:r w:rsidRPr="003E67AC">
        <w:rPr>
          <w:lang w:eastAsia="sv-SE"/>
        </w:rPr>
        <w:t>Miljoner kronor</w:t>
      </w:r>
    </w:p>
    <w:tbl>
      <w:tblPr>
        <w:tblStyle w:val="Tabellrutnt"/>
        <w:tblW w:w="850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7334"/>
        <w:gridCol w:w="1171"/>
      </w:tblGrid>
      <w:tr w:rsidRPr="00852FCB" w:rsidR="00566F05" w:rsidTr="00852FCB" w14:paraId="12D9D9C3" w14:textId="77777777">
        <w:tc>
          <w:tcPr>
            <w:tcW w:w="7031" w:type="dxa"/>
            <w:tcBorders>
              <w:top w:val="single" w:color="auto" w:sz="2" w:space="0"/>
              <w:bottom w:val="single" w:color="auto" w:sz="2" w:space="0"/>
            </w:tcBorders>
            <w:tcMar>
              <w:left w:w="0" w:type="dxa"/>
              <w:right w:w="0" w:type="dxa"/>
            </w:tcMar>
          </w:tcPr>
          <w:p w:rsidRPr="00852FCB" w:rsidR="00566F05" w:rsidP="00852FCB" w:rsidRDefault="00566F05" w14:paraId="26D503BD" w14:textId="23938637">
            <w:pPr>
              <w:pStyle w:val="Normalutanindragellerluft"/>
              <w:spacing w:line="240" w:lineRule="exact"/>
              <w:rPr>
                <w:b/>
                <w:bCs/>
                <w:sz w:val="20"/>
                <w:szCs w:val="22"/>
                <w:lang w:eastAsia="sv-SE"/>
              </w:rPr>
            </w:pPr>
            <w:r w:rsidRPr="00852FCB">
              <w:rPr>
                <w:b/>
                <w:bCs/>
                <w:sz w:val="20"/>
                <w:szCs w:val="22"/>
                <w:lang w:eastAsia="sv-SE"/>
              </w:rPr>
              <w:t>Förslag</w:t>
            </w:r>
          </w:p>
        </w:tc>
        <w:tc>
          <w:tcPr>
            <w:tcW w:w="1123" w:type="dxa"/>
            <w:tcBorders>
              <w:top w:val="single" w:color="auto" w:sz="2" w:space="0"/>
              <w:bottom w:val="single" w:color="auto" w:sz="2" w:space="0"/>
            </w:tcBorders>
            <w:tcMar>
              <w:left w:w="0" w:type="dxa"/>
              <w:right w:w="0" w:type="dxa"/>
            </w:tcMar>
          </w:tcPr>
          <w:p w:rsidRPr="00852FCB" w:rsidR="00566F05" w:rsidP="00852FCB" w:rsidRDefault="00566F05" w14:paraId="54FD4200" w14:textId="62B63D6E">
            <w:pPr>
              <w:pStyle w:val="Normalutanindragellerluft"/>
              <w:spacing w:line="240" w:lineRule="exact"/>
              <w:jc w:val="right"/>
              <w:rPr>
                <w:rFonts w:eastAsia="Times New Roman"/>
                <w:b/>
                <w:bCs/>
                <w:sz w:val="20"/>
                <w:szCs w:val="22"/>
                <w:lang w:eastAsia="sv-SE"/>
              </w:rPr>
            </w:pPr>
            <w:r w:rsidRPr="00852FCB">
              <w:rPr>
                <w:rFonts w:eastAsia="Times New Roman"/>
                <w:b/>
                <w:bCs/>
                <w:sz w:val="20"/>
                <w:szCs w:val="22"/>
                <w:lang w:eastAsia="sv-SE"/>
              </w:rPr>
              <w:t xml:space="preserve">Kostnad </w:t>
            </w:r>
          </w:p>
        </w:tc>
      </w:tr>
      <w:tr w:rsidRPr="00852FCB" w:rsidR="00566F05" w:rsidTr="00852FCB" w14:paraId="1D1A44D1" w14:textId="77777777">
        <w:tc>
          <w:tcPr>
            <w:tcW w:w="7031" w:type="dxa"/>
            <w:tcBorders>
              <w:top w:val="single" w:color="auto" w:sz="2" w:space="0"/>
            </w:tcBorders>
            <w:tcMar>
              <w:left w:w="0" w:type="dxa"/>
              <w:right w:w="0" w:type="dxa"/>
            </w:tcMar>
          </w:tcPr>
          <w:p w:rsidRPr="00852FCB" w:rsidR="00566F05" w:rsidP="00852FCB" w:rsidRDefault="00566F05" w14:paraId="4AB8D215" w14:textId="218F9B52">
            <w:pPr>
              <w:pStyle w:val="ListaPunkt"/>
              <w:numPr>
                <w:ilvl w:val="0"/>
                <w:numId w:val="0"/>
              </w:numPr>
              <w:spacing w:before="80" w:after="0" w:line="240" w:lineRule="exact"/>
              <w:rPr>
                <w:rFonts w:eastAsia="Times New Roman"/>
                <w:sz w:val="20"/>
                <w:szCs w:val="22"/>
                <w:lang w:eastAsia="sv-SE"/>
              </w:rPr>
            </w:pPr>
            <w:r w:rsidRPr="00852FCB">
              <w:rPr>
                <w:sz w:val="20"/>
                <w:szCs w:val="22"/>
                <w:lang w:eastAsia="sv-SE"/>
              </w:rPr>
              <w:t xml:space="preserve">Extra barnbidrag i juni och juli </w:t>
            </w:r>
          </w:p>
        </w:tc>
        <w:tc>
          <w:tcPr>
            <w:tcW w:w="1123" w:type="dxa"/>
            <w:tcBorders>
              <w:top w:val="single" w:color="auto" w:sz="2" w:space="0"/>
            </w:tcBorders>
            <w:tcMar>
              <w:left w:w="0" w:type="dxa"/>
              <w:right w:w="0" w:type="dxa"/>
            </w:tcMar>
            <w:vAlign w:val="bottom"/>
          </w:tcPr>
          <w:p w:rsidRPr="00852FCB" w:rsidR="00566F05" w:rsidP="00852FCB" w:rsidRDefault="00566F05" w14:paraId="2F605143" w14:textId="73DAE747">
            <w:pPr>
              <w:pStyle w:val="ListaPunkt"/>
              <w:numPr>
                <w:ilvl w:val="0"/>
                <w:numId w:val="0"/>
              </w:numPr>
              <w:spacing w:before="80" w:after="0" w:line="240" w:lineRule="exact"/>
              <w:jc w:val="right"/>
              <w:rPr>
                <w:sz w:val="20"/>
                <w:szCs w:val="22"/>
                <w:lang w:eastAsia="sv-SE"/>
              </w:rPr>
            </w:pPr>
            <w:r w:rsidRPr="00852FCB">
              <w:rPr>
                <w:rFonts w:eastAsia="Times New Roman"/>
                <w:sz w:val="20"/>
                <w:szCs w:val="22"/>
                <w:lang w:eastAsia="sv-SE"/>
              </w:rPr>
              <w:t>4</w:t>
            </w:r>
            <w:r w:rsidRPr="00852FCB" w:rsidR="000657F7">
              <w:rPr>
                <w:rFonts w:eastAsia="Times New Roman"/>
                <w:sz w:val="20"/>
                <w:szCs w:val="22"/>
                <w:lang w:eastAsia="sv-SE"/>
              </w:rPr>
              <w:t> </w:t>
            </w:r>
            <w:r w:rsidRPr="00852FCB">
              <w:rPr>
                <w:rFonts w:eastAsia="Times New Roman"/>
                <w:sz w:val="20"/>
                <w:szCs w:val="22"/>
                <w:lang w:eastAsia="sv-SE"/>
              </w:rPr>
              <w:t>800</w:t>
            </w:r>
          </w:p>
        </w:tc>
      </w:tr>
      <w:tr w:rsidRPr="00852FCB" w:rsidR="00566F05" w:rsidTr="00852FCB" w14:paraId="67D7100A" w14:textId="77777777">
        <w:tc>
          <w:tcPr>
            <w:tcW w:w="7031" w:type="dxa"/>
            <w:tcMar>
              <w:left w:w="0" w:type="dxa"/>
              <w:right w:w="0" w:type="dxa"/>
            </w:tcMar>
          </w:tcPr>
          <w:p w:rsidRPr="00852FCB" w:rsidR="00566F05" w:rsidP="00852FCB" w:rsidRDefault="00566F05" w14:paraId="13CED8B9" w14:textId="1D466FEF">
            <w:pPr>
              <w:pStyle w:val="ListaPunkt"/>
              <w:numPr>
                <w:ilvl w:val="0"/>
                <w:numId w:val="0"/>
              </w:numPr>
              <w:spacing w:before="80" w:after="0" w:line="240" w:lineRule="exact"/>
              <w:rPr>
                <w:rFonts w:eastAsia="Times New Roman"/>
                <w:sz w:val="20"/>
                <w:szCs w:val="22"/>
                <w:lang w:eastAsia="sv-SE"/>
              </w:rPr>
            </w:pPr>
            <w:r w:rsidRPr="00852FCB">
              <w:rPr>
                <w:sz w:val="20"/>
                <w:szCs w:val="22"/>
                <w:lang w:eastAsia="sv-SE"/>
              </w:rPr>
              <w:t>Förläng och höj tilläggsbidraget i bostadsbidraget</w:t>
            </w:r>
          </w:p>
        </w:tc>
        <w:tc>
          <w:tcPr>
            <w:tcW w:w="1123" w:type="dxa"/>
            <w:tcMar>
              <w:left w:w="0" w:type="dxa"/>
              <w:right w:w="0" w:type="dxa"/>
            </w:tcMar>
            <w:vAlign w:val="bottom"/>
          </w:tcPr>
          <w:p w:rsidRPr="00852FCB" w:rsidR="00566F05" w:rsidP="00852FCB" w:rsidRDefault="005835AD" w14:paraId="015D0009" w14:textId="57EFFF1A">
            <w:pPr>
              <w:pStyle w:val="ListaPunkt"/>
              <w:numPr>
                <w:ilvl w:val="0"/>
                <w:numId w:val="0"/>
              </w:numPr>
              <w:spacing w:before="80" w:after="0" w:line="240" w:lineRule="exact"/>
              <w:jc w:val="right"/>
              <w:rPr>
                <w:rFonts w:eastAsia="Times New Roman"/>
                <w:sz w:val="20"/>
                <w:szCs w:val="22"/>
                <w:lang w:eastAsia="sv-SE"/>
              </w:rPr>
            </w:pPr>
            <w:r w:rsidRPr="00852FCB">
              <w:rPr>
                <w:sz w:val="20"/>
                <w:szCs w:val="22"/>
                <w:lang w:eastAsia="sv-SE"/>
              </w:rPr>
              <w:t>650</w:t>
            </w:r>
          </w:p>
        </w:tc>
      </w:tr>
      <w:tr w:rsidRPr="00852FCB" w:rsidR="00566F05" w:rsidTr="00852FCB" w14:paraId="67984877" w14:textId="77777777">
        <w:tc>
          <w:tcPr>
            <w:tcW w:w="7031" w:type="dxa"/>
            <w:tcMar>
              <w:left w:w="0" w:type="dxa"/>
              <w:right w:w="0" w:type="dxa"/>
            </w:tcMar>
          </w:tcPr>
          <w:p w:rsidRPr="00852FCB" w:rsidR="00566F05" w:rsidP="00852FCB" w:rsidRDefault="005835AD" w14:paraId="408F475F" w14:textId="0CD56AAE">
            <w:pPr>
              <w:pStyle w:val="ListaPunkt"/>
              <w:numPr>
                <w:ilvl w:val="0"/>
                <w:numId w:val="0"/>
              </w:numPr>
              <w:spacing w:before="80" w:after="0" w:line="240" w:lineRule="exact"/>
              <w:rPr>
                <w:rFonts w:eastAsia="Times New Roman"/>
                <w:sz w:val="20"/>
                <w:szCs w:val="22"/>
                <w:lang w:eastAsia="sv-SE"/>
              </w:rPr>
            </w:pPr>
            <w:r w:rsidRPr="00852FCB">
              <w:rPr>
                <w:sz w:val="20"/>
                <w:szCs w:val="22"/>
                <w:lang w:eastAsia="sv-SE"/>
              </w:rPr>
              <w:t>E</w:t>
            </w:r>
            <w:r w:rsidRPr="00852FCB" w:rsidR="00566F05">
              <w:rPr>
                <w:sz w:val="20"/>
                <w:szCs w:val="22"/>
                <w:lang w:eastAsia="sv-SE"/>
              </w:rPr>
              <w:t>xtra bostadsbidrag i juni och juli</w:t>
            </w:r>
          </w:p>
        </w:tc>
        <w:tc>
          <w:tcPr>
            <w:tcW w:w="1123" w:type="dxa"/>
            <w:tcMar>
              <w:left w:w="0" w:type="dxa"/>
              <w:right w:w="0" w:type="dxa"/>
            </w:tcMar>
            <w:vAlign w:val="bottom"/>
          </w:tcPr>
          <w:p w:rsidRPr="00852FCB" w:rsidR="00566F05" w:rsidP="00852FCB" w:rsidRDefault="00053B09" w14:paraId="53B1D07E" w14:textId="48ED2982">
            <w:pPr>
              <w:pStyle w:val="ListaPunkt"/>
              <w:numPr>
                <w:ilvl w:val="0"/>
                <w:numId w:val="0"/>
              </w:numPr>
              <w:spacing w:before="80" w:after="0" w:line="240" w:lineRule="exact"/>
              <w:jc w:val="right"/>
              <w:rPr>
                <w:rFonts w:eastAsia="Times New Roman"/>
                <w:sz w:val="20"/>
                <w:szCs w:val="22"/>
                <w:lang w:eastAsia="sv-SE"/>
              </w:rPr>
            </w:pPr>
            <w:r w:rsidRPr="00852FCB">
              <w:rPr>
                <w:sz w:val="20"/>
                <w:szCs w:val="22"/>
                <w:lang w:eastAsia="sv-SE"/>
              </w:rPr>
              <w:t>3</w:t>
            </w:r>
            <w:r w:rsidRPr="00852FCB" w:rsidR="005835AD">
              <w:rPr>
                <w:sz w:val="20"/>
                <w:szCs w:val="22"/>
                <w:lang w:eastAsia="sv-SE"/>
              </w:rPr>
              <w:t>65</w:t>
            </w:r>
          </w:p>
        </w:tc>
      </w:tr>
      <w:tr w:rsidRPr="00852FCB" w:rsidR="00566F05" w:rsidTr="00852FCB" w14:paraId="16DB27BF" w14:textId="77777777">
        <w:tc>
          <w:tcPr>
            <w:tcW w:w="7031" w:type="dxa"/>
            <w:tcMar>
              <w:left w:w="0" w:type="dxa"/>
              <w:right w:w="0" w:type="dxa"/>
            </w:tcMar>
          </w:tcPr>
          <w:p w:rsidRPr="00852FCB" w:rsidR="00566F05" w:rsidP="00852FCB" w:rsidRDefault="00566F05" w14:paraId="5DD2DF86" w14:textId="6DACF54C">
            <w:pPr>
              <w:pStyle w:val="ListaPunkt"/>
              <w:numPr>
                <w:ilvl w:val="0"/>
                <w:numId w:val="0"/>
              </w:numPr>
              <w:spacing w:before="80" w:after="0" w:line="240" w:lineRule="exact"/>
              <w:rPr>
                <w:rFonts w:eastAsia="Times New Roman"/>
                <w:sz w:val="20"/>
                <w:szCs w:val="22"/>
                <w:lang w:eastAsia="sv-SE"/>
              </w:rPr>
            </w:pPr>
            <w:r w:rsidRPr="00852FCB">
              <w:rPr>
                <w:sz w:val="20"/>
                <w:szCs w:val="22"/>
                <w:lang w:eastAsia="sv-SE"/>
              </w:rPr>
              <w:t xml:space="preserve">Höj bostadstillägget för pensionärer och i sjuk- och aktivitetsersättningen </w:t>
            </w:r>
          </w:p>
        </w:tc>
        <w:tc>
          <w:tcPr>
            <w:tcW w:w="1123" w:type="dxa"/>
            <w:tcMar>
              <w:left w:w="0" w:type="dxa"/>
              <w:right w:w="0" w:type="dxa"/>
            </w:tcMar>
            <w:vAlign w:val="bottom"/>
          </w:tcPr>
          <w:p w:rsidRPr="00852FCB" w:rsidR="00566F05" w:rsidP="00852FCB" w:rsidRDefault="005835AD" w14:paraId="7DD60718" w14:textId="60B08674">
            <w:pPr>
              <w:pStyle w:val="ListaPunkt"/>
              <w:numPr>
                <w:ilvl w:val="0"/>
                <w:numId w:val="0"/>
              </w:numPr>
              <w:spacing w:before="80" w:after="0" w:line="240" w:lineRule="exact"/>
              <w:jc w:val="right"/>
              <w:rPr>
                <w:rFonts w:eastAsia="Times New Roman"/>
                <w:sz w:val="20"/>
                <w:szCs w:val="22"/>
                <w:lang w:eastAsia="sv-SE"/>
              </w:rPr>
            </w:pPr>
            <w:r w:rsidRPr="00852FCB">
              <w:rPr>
                <w:rFonts w:eastAsia="Times New Roman"/>
                <w:sz w:val="20"/>
                <w:szCs w:val="22"/>
                <w:lang w:eastAsia="sv-SE"/>
              </w:rPr>
              <w:t>1</w:t>
            </w:r>
            <w:r w:rsidRPr="00852FCB" w:rsidR="000657F7">
              <w:rPr>
                <w:rFonts w:eastAsia="Times New Roman"/>
                <w:sz w:val="20"/>
                <w:szCs w:val="22"/>
                <w:lang w:eastAsia="sv-SE"/>
              </w:rPr>
              <w:t> </w:t>
            </w:r>
            <w:r w:rsidRPr="00852FCB">
              <w:rPr>
                <w:rFonts w:eastAsia="Times New Roman"/>
                <w:sz w:val="20"/>
                <w:szCs w:val="22"/>
                <w:lang w:eastAsia="sv-SE"/>
              </w:rPr>
              <w:t>600</w:t>
            </w:r>
          </w:p>
        </w:tc>
      </w:tr>
      <w:tr w:rsidRPr="00852FCB" w:rsidR="00566F05" w:rsidTr="00852FCB" w14:paraId="2CCA1D7C" w14:textId="77777777">
        <w:tc>
          <w:tcPr>
            <w:tcW w:w="7031" w:type="dxa"/>
            <w:tcMar>
              <w:left w:w="0" w:type="dxa"/>
              <w:right w:w="0" w:type="dxa"/>
            </w:tcMar>
          </w:tcPr>
          <w:p w:rsidRPr="00852FCB" w:rsidR="00566F05" w:rsidP="00852FCB" w:rsidRDefault="00E16CDB" w14:paraId="70907FF5" w14:textId="64DC719B">
            <w:pPr>
              <w:pStyle w:val="ListaPunkt"/>
              <w:numPr>
                <w:ilvl w:val="0"/>
                <w:numId w:val="0"/>
              </w:numPr>
              <w:spacing w:before="80" w:after="0" w:line="240" w:lineRule="exact"/>
              <w:rPr>
                <w:sz w:val="20"/>
                <w:szCs w:val="22"/>
                <w:lang w:eastAsia="sv-SE"/>
              </w:rPr>
            </w:pPr>
            <w:r w:rsidRPr="00852FCB">
              <w:rPr>
                <w:sz w:val="20"/>
                <w:szCs w:val="22"/>
                <w:lang w:eastAsia="sv-SE"/>
              </w:rPr>
              <w:t>Beredskaps</w:t>
            </w:r>
            <w:r w:rsidRPr="00852FCB" w:rsidR="009C3214">
              <w:rPr>
                <w:sz w:val="20"/>
                <w:szCs w:val="22"/>
                <w:lang w:eastAsia="sv-SE"/>
              </w:rPr>
              <w:t xml:space="preserve">jobb </w:t>
            </w:r>
          </w:p>
        </w:tc>
        <w:tc>
          <w:tcPr>
            <w:tcW w:w="1123" w:type="dxa"/>
            <w:tcMar>
              <w:left w:w="0" w:type="dxa"/>
              <w:right w:w="0" w:type="dxa"/>
            </w:tcMar>
            <w:vAlign w:val="bottom"/>
          </w:tcPr>
          <w:p w:rsidRPr="00852FCB" w:rsidR="00566F05" w:rsidP="00852FCB" w:rsidRDefault="009C3214" w14:paraId="7289D555" w14:textId="2DCF81CF">
            <w:pPr>
              <w:pStyle w:val="ListaPunkt"/>
              <w:numPr>
                <w:ilvl w:val="0"/>
                <w:numId w:val="0"/>
              </w:numPr>
              <w:spacing w:before="80" w:after="0" w:line="240" w:lineRule="exact"/>
              <w:jc w:val="right"/>
              <w:rPr>
                <w:sz w:val="20"/>
                <w:szCs w:val="22"/>
                <w:lang w:eastAsia="sv-SE"/>
              </w:rPr>
            </w:pPr>
            <w:r w:rsidRPr="00852FCB">
              <w:rPr>
                <w:sz w:val="20"/>
                <w:szCs w:val="22"/>
                <w:lang w:eastAsia="sv-SE"/>
              </w:rPr>
              <w:t>4</w:t>
            </w:r>
            <w:r w:rsidRPr="00852FCB" w:rsidR="000657F7">
              <w:rPr>
                <w:sz w:val="20"/>
                <w:szCs w:val="22"/>
                <w:lang w:eastAsia="sv-SE"/>
              </w:rPr>
              <w:t> </w:t>
            </w:r>
            <w:r w:rsidRPr="00852FCB">
              <w:rPr>
                <w:sz w:val="20"/>
                <w:szCs w:val="22"/>
                <w:lang w:eastAsia="sv-SE"/>
              </w:rPr>
              <w:t>000</w:t>
            </w:r>
          </w:p>
        </w:tc>
      </w:tr>
      <w:tr w:rsidRPr="00852FCB" w:rsidR="00E16CDB" w:rsidTr="00852FCB" w14:paraId="74B76D22" w14:textId="77777777">
        <w:tc>
          <w:tcPr>
            <w:tcW w:w="7031" w:type="dxa"/>
            <w:tcMar>
              <w:left w:w="0" w:type="dxa"/>
              <w:right w:w="0" w:type="dxa"/>
            </w:tcMar>
          </w:tcPr>
          <w:p w:rsidRPr="00852FCB" w:rsidR="00E16CDB" w:rsidP="00852FCB" w:rsidRDefault="00923522" w14:paraId="7ED6AA1F" w14:textId="4D79AE91">
            <w:pPr>
              <w:pStyle w:val="ListaPunkt"/>
              <w:numPr>
                <w:ilvl w:val="0"/>
                <w:numId w:val="0"/>
              </w:numPr>
              <w:spacing w:before="80" w:after="0" w:line="240" w:lineRule="exact"/>
              <w:rPr>
                <w:sz w:val="20"/>
                <w:szCs w:val="22"/>
                <w:lang w:eastAsia="sv-SE"/>
              </w:rPr>
            </w:pPr>
            <w:r w:rsidRPr="00852FCB">
              <w:rPr>
                <w:sz w:val="20"/>
                <w:szCs w:val="22"/>
                <w:lang w:eastAsia="sv-SE"/>
              </w:rPr>
              <w:t>Vuxenutbildning och studievägledning</w:t>
            </w:r>
          </w:p>
        </w:tc>
        <w:tc>
          <w:tcPr>
            <w:tcW w:w="1123" w:type="dxa"/>
            <w:tcMar>
              <w:left w:w="0" w:type="dxa"/>
              <w:right w:w="0" w:type="dxa"/>
            </w:tcMar>
            <w:vAlign w:val="bottom"/>
          </w:tcPr>
          <w:p w:rsidRPr="00852FCB" w:rsidR="00E16CDB" w:rsidP="00852FCB" w:rsidRDefault="00FA0AC7" w14:paraId="0C4957BC" w14:textId="34056C2D">
            <w:pPr>
              <w:pStyle w:val="ListaPunkt"/>
              <w:numPr>
                <w:ilvl w:val="0"/>
                <w:numId w:val="0"/>
              </w:numPr>
              <w:spacing w:before="80" w:after="0" w:line="240" w:lineRule="exact"/>
              <w:jc w:val="right"/>
              <w:rPr>
                <w:sz w:val="20"/>
                <w:szCs w:val="22"/>
                <w:lang w:eastAsia="sv-SE"/>
              </w:rPr>
            </w:pPr>
            <w:r w:rsidRPr="00852FCB">
              <w:rPr>
                <w:rFonts w:eastAsia="Times New Roman"/>
                <w:sz w:val="20"/>
                <w:szCs w:val="22"/>
                <w:lang w:eastAsia="sv-SE"/>
              </w:rPr>
              <w:t>750</w:t>
            </w:r>
          </w:p>
        </w:tc>
      </w:tr>
      <w:tr w:rsidRPr="00852FCB" w:rsidR="00E16CDB" w:rsidTr="00852FCB" w14:paraId="12987D53" w14:textId="77777777">
        <w:tc>
          <w:tcPr>
            <w:tcW w:w="7031" w:type="dxa"/>
            <w:tcMar>
              <w:left w:w="0" w:type="dxa"/>
              <w:right w:w="0" w:type="dxa"/>
            </w:tcMar>
          </w:tcPr>
          <w:p w:rsidRPr="00852FCB" w:rsidR="00E16CDB" w:rsidP="00852FCB" w:rsidRDefault="00E16CDB" w14:paraId="1C59207D" w14:textId="149C2712">
            <w:pPr>
              <w:pStyle w:val="ListaPunkt"/>
              <w:numPr>
                <w:ilvl w:val="0"/>
                <w:numId w:val="0"/>
              </w:numPr>
              <w:spacing w:before="80" w:after="0" w:line="240" w:lineRule="exact"/>
              <w:rPr>
                <w:sz w:val="20"/>
                <w:szCs w:val="22"/>
                <w:lang w:eastAsia="sv-SE"/>
              </w:rPr>
            </w:pPr>
            <w:r w:rsidRPr="00852FCB">
              <w:rPr>
                <w:sz w:val="20"/>
                <w:szCs w:val="22"/>
                <w:lang w:eastAsia="sv-SE"/>
              </w:rPr>
              <w:t xml:space="preserve">Stoppa nedläggningen av akutsjukvård vid Sollefteå sjukhus </w:t>
            </w:r>
          </w:p>
        </w:tc>
        <w:tc>
          <w:tcPr>
            <w:tcW w:w="1123" w:type="dxa"/>
            <w:tcMar>
              <w:left w:w="0" w:type="dxa"/>
              <w:right w:w="0" w:type="dxa"/>
            </w:tcMar>
            <w:vAlign w:val="bottom"/>
          </w:tcPr>
          <w:p w:rsidRPr="00852FCB" w:rsidR="00E16CDB" w:rsidP="00852FCB" w:rsidRDefault="00E16CDB" w14:paraId="22402A03" w14:textId="4593AA57">
            <w:pPr>
              <w:pStyle w:val="ListaPunkt"/>
              <w:numPr>
                <w:ilvl w:val="0"/>
                <w:numId w:val="0"/>
              </w:numPr>
              <w:spacing w:before="80" w:after="0" w:line="240" w:lineRule="exact"/>
              <w:jc w:val="right"/>
              <w:rPr>
                <w:rFonts w:eastAsia="Times New Roman"/>
                <w:sz w:val="20"/>
                <w:szCs w:val="22"/>
                <w:lang w:eastAsia="sv-SE"/>
              </w:rPr>
            </w:pPr>
            <w:r w:rsidRPr="00852FCB">
              <w:rPr>
                <w:rFonts w:eastAsia="Times New Roman"/>
                <w:sz w:val="20"/>
                <w:szCs w:val="22"/>
                <w:lang w:eastAsia="sv-SE"/>
              </w:rPr>
              <w:t>23</w:t>
            </w:r>
          </w:p>
        </w:tc>
      </w:tr>
      <w:tr w:rsidRPr="00852FCB" w:rsidR="00566F05" w:rsidTr="00852FCB" w14:paraId="10AA49F8" w14:textId="77777777">
        <w:tc>
          <w:tcPr>
            <w:tcW w:w="7031" w:type="dxa"/>
            <w:tcBorders>
              <w:bottom w:val="single" w:color="auto" w:sz="2" w:space="0"/>
            </w:tcBorders>
            <w:tcMar>
              <w:left w:w="0" w:type="dxa"/>
              <w:right w:w="0" w:type="dxa"/>
            </w:tcMar>
          </w:tcPr>
          <w:p w:rsidRPr="00852FCB" w:rsidR="00566F05" w:rsidP="00852FCB" w:rsidRDefault="005835AD" w14:paraId="16D6E619" w14:textId="5DCCD868">
            <w:pPr>
              <w:pStyle w:val="ListaPunkt"/>
              <w:numPr>
                <w:ilvl w:val="0"/>
                <w:numId w:val="0"/>
              </w:numPr>
              <w:spacing w:before="80" w:after="0" w:line="240" w:lineRule="exact"/>
              <w:rPr>
                <w:rFonts w:eastAsia="Times New Roman"/>
                <w:b/>
                <w:bCs/>
                <w:sz w:val="20"/>
                <w:szCs w:val="22"/>
                <w:lang w:eastAsia="sv-SE"/>
              </w:rPr>
            </w:pPr>
            <w:r w:rsidRPr="00852FCB">
              <w:rPr>
                <w:rFonts w:eastAsia="Times New Roman"/>
                <w:b/>
                <w:bCs/>
                <w:sz w:val="20"/>
                <w:szCs w:val="22"/>
                <w:lang w:eastAsia="sv-SE"/>
              </w:rPr>
              <w:t>Totalt</w:t>
            </w:r>
          </w:p>
        </w:tc>
        <w:tc>
          <w:tcPr>
            <w:tcW w:w="1123" w:type="dxa"/>
            <w:tcBorders>
              <w:bottom w:val="single" w:color="auto" w:sz="2" w:space="0"/>
            </w:tcBorders>
            <w:tcMar>
              <w:left w:w="0" w:type="dxa"/>
              <w:right w:w="0" w:type="dxa"/>
            </w:tcMar>
            <w:vAlign w:val="bottom"/>
          </w:tcPr>
          <w:p w:rsidRPr="00852FCB" w:rsidR="00566F05" w:rsidP="00852FCB" w:rsidRDefault="00053B09" w14:paraId="4D45FA90" w14:textId="62E903D8">
            <w:pPr>
              <w:pStyle w:val="ListaPunkt"/>
              <w:numPr>
                <w:ilvl w:val="0"/>
                <w:numId w:val="0"/>
              </w:numPr>
              <w:spacing w:before="80" w:after="0" w:line="240" w:lineRule="exact"/>
              <w:jc w:val="right"/>
              <w:rPr>
                <w:rFonts w:eastAsia="Times New Roman"/>
                <w:b/>
                <w:bCs/>
                <w:sz w:val="20"/>
                <w:szCs w:val="22"/>
                <w:lang w:eastAsia="sv-SE"/>
              </w:rPr>
            </w:pPr>
            <w:r w:rsidRPr="00852FCB">
              <w:rPr>
                <w:rFonts w:eastAsia="Times New Roman"/>
                <w:b/>
                <w:bCs/>
                <w:sz w:val="20"/>
                <w:szCs w:val="22"/>
                <w:lang w:eastAsia="sv-SE"/>
              </w:rPr>
              <w:t>12</w:t>
            </w:r>
            <w:r w:rsidRPr="00852FCB" w:rsidR="000657F7">
              <w:rPr>
                <w:rFonts w:eastAsia="Times New Roman"/>
                <w:b/>
                <w:bCs/>
                <w:sz w:val="20"/>
                <w:szCs w:val="22"/>
                <w:lang w:eastAsia="sv-SE"/>
              </w:rPr>
              <w:t> </w:t>
            </w:r>
            <w:r w:rsidRPr="00852FCB">
              <w:rPr>
                <w:rFonts w:eastAsia="Times New Roman"/>
                <w:b/>
                <w:bCs/>
                <w:sz w:val="20"/>
                <w:szCs w:val="22"/>
                <w:lang w:eastAsia="sv-SE"/>
              </w:rPr>
              <w:t>188</w:t>
            </w:r>
          </w:p>
        </w:tc>
      </w:tr>
    </w:tbl>
    <w:sdt>
      <w:sdtPr>
        <w:alias w:val="CC_Underskrifter"/>
        <w:tag w:val="CC_Underskrifter"/>
        <w:id w:val="583496634"/>
        <w:lock w:val="sdtContentLocked"/>
        <w:placeholder>
          <w:docPart w:val="8F360A58DB21407EA6C13E03D0A5648D"/>
        </w:placeholder>
      </w:sdtPr>
      <w:sdtEndPr/>
      <w:sdtContent>
        <w:p w:rsidR="00EF6507" w:rsidP="003E67AC" w:rsidRDefault="00EF6507" w14:paraId="2B759C1E" w14:textId="77777777"/>
        <w:p w:rsidRPr="008E0FE2" w:rsidR="004801AC" w:rsidP="003E67AC" w:rsidRDefault="00714E95" w14:paraId="73629CEF" w14:textId="5CFBE39D"/>
      </w:sdtContent>
    </w:sdt>
    <w:tbl>
      <w:tblPr>
        <w:tblW w:w="5000" w:type="pct"/>
        <w:tblLook w:val="04A0" w:firstRow="1" w:lastRow="0" w:firstColumn="1" w:lastColumn="0" w:noHBand="0" w:noVBand="1"/>
        <w:tblCaption w:val="underskrifter"/>
      </w:tblPr>
      <w:tblGrid>
        <w:gridCol w:w="4252"/>
        <w:gridCol w:w="4252"/>
      </w:tblGrid>
      <w:tr w:rsidR="00B32C6D" w14:paraId="3445A2B0" w14:textId="77777777">
        <w:trPr>
          <w:cantSplit/>
        </w:trPr>
        <w:tc>
          <w:tcPr>
            <w:tcW w:w="50" w:type="pct"/>
            <w:vAlign w:val="bottom"/>
          </w:tcPr>
          <w:p w:rsidR="00B32C6D" w:rsidRDefault="0039164A" w14:paraId="643CD7AA" w14:textId="77777777">
            <w:pPr>
              <w:pStyle w:val="Underskrifter"/>
              <w:spacing w:after="0"/>
            </w:pPr>
            <w:r>
              <w:t>Nooshi Dadgostar (V)</w:t>
            </w:r>
          </w:p>
        </w:tc>
        <w:tc>
          <w:tcPr>
            <w:tcW w:w="50" w:type="pct"/>
            <w:vAlign w:val="bottom"/>
          </w:tcPr>
          <w:p w:rsidR="00B32C6D" w:rsidRDefault="00B32C6D" w14:paraId="0D2A8BE6" w14:textId="77777777">
            <w:pPr>
              <w:pStyle w:val="Underskrifter"/>
              <w:spacing w:after="0"/>
            </w:pPr>
          </w:p>
        </w:tc>
      </w:tr>
      <w:tr w:rsidR="00B32C6D" w14:paraId="09C119F7" w14:textId="77777777">
        <w:trPr>
          <w:cantSplit/>
        </w:trPr>
        <w:tc>
          <w:tcPr>
            <w:tcW w:w="50" w:type="pct"/>
            <w:vAlign w:val="bottom"/>
          </w:tcPr>
          <w:p w:rsidR="00B32C6D" w:rsidRDefault="0039164A" w14:paraId="6E7F1340" w14:textId="77777777">
            <w:pPr>
              <w:pStyle w:val="Underskrifter"/>
              <w:spacing w:after="0"/>
            </w:pPr>
            <w:r>
              <w:t>Andrea Andersson Tay (V)</w:t>
            </w:r>
          </w:p>
        </w:tc>
        <w:tc>
          <w:tcPr>
            <w:tcW w:w="50" w:type="pct"/>
            <w:vAlign w:val="bottom"/>
          </w:tcPr>
          <w:p w:rsidR="00B32C6D" w:rsidRDefault="0039164A" w14:paraId="1C126BDF" w14:textId="77777777">
            <w:pPr>
              <w:pStyle w:val="Underskrifter"/>
              <w:spacing w:after="0"/>
            </w:pPr>
            <w:r>
              <w:t>Samuel Gonzalez Westling (V)</w:t>
            </w:r>
          </w:p>
        </w:tc>
      </w:tr>
      <w:tr w:rsidR="00B32C6D" w14:paraId="7C49E417" w14:textId="77777777">
        <w:trPr>
          <w:cantSplit/>
        </w:trPr>
        <w:tc>
          <w:tcPr>
            <w:tcW w:w="50" w:type="pct"/>
            <w:vAlign w:val="bottom"/>
          </w:tcPr>
          <w:p w:rsidR="00B32C6D" w:rsidRDefault="0039164A" w14:paraId="500DC4F0" w14:textId="77777777">
            <w:pPr>
              <w:pStyle w:val="Underskrifter"/>
              <w:spacing w:after="0"/>
            </w:pPr>
            <w:r>
              <w:t>Tony Haddou (V)</w:t>
            </w:r>
          </w:p>
        </w:tc>
        <w:tc>
          <w:tcPr>
            <w:tcW w:w="50" w:type="pct"/>
            <w:vAlign w:val="bottom"/>
          </w:tcPr>
          <w:p w:rsidR="00B32C6D" w:rsidRDefault="0039164A" w14:paraId="3B490B79" w14:textId="77777777">
            <w:pPr>
              <w:pStyle w:val="Underskrifter"/>
              <w:spacing w:after="0"/>
            </w:pPr>
            <w:r>
              <w:t>Lotta Johnsson Fornarve (V)</w:t>
            </w:r>
          </w:p>
        </w:tc>
      </w:tr>
      <w:tr w:rsidR="00B32C6D" w14:paraId="6E627404" w14:textId="77777777">
        <w:trPr>
          <w:cantSplit/>
        </w:trPr>
        <w:tc>
          <w:tcPr>
            <w:tcW w:w="50" w:type="pct"/>
            <w:vAlign w:val="bottom"/>
          </w:tcPr>
          <w:p w:rsidR="00B32C6D" w:rsidRDefault="0039164A" w14:paraId="39C03CF8" w14:textId="77777777">
            <w:pPr>
              <w:pStyle w:val="Underskrifter"/>
              <w:spacing w:after="0"/>
            </w:pPr>
            <w:r>
              <w:t>Andreas Lennkvist Manriquez (V)</w:t>
            </w:r>
          </w:p>
        </w:tc>
        <w:tc>
          <w:tcPr>
            <w:tcW w:w="50" w:type="pct"/>
            <w:vAlign w:val="bottom"/>
          </w:tcPr>
          <w:p w:rsidR="00B32C6D" w:rsidRDefault="0039164A" w14:paraId="1EEFBE41" w14:textId="77777777">
            <w:pPr>
              <w:pStyle w:val="Underskrifter"/>
              <w:spacing w:after="0"/>
            </w:pPr>
            <w:r>
              <w:t>Isabell Mixter (V)</w:t>
            </w:r>
          </w:p>
        </w:tc>
      </w:tr>
      <w:tr w:rsidR="00B32C6D" w14:paraId="1FE28E9C" w14:textId="77777777">
        <w:trPr>
          <w:cantSplit/>
        </w:trPr>
        <w:tc>
          <w:tcPr>
            <w:tcW w:w="50" w:type="pct"/>
            <w:vAlign w:val="bottom"/>
          </w:tcPr>
          <w:p w:rsidR="00B32C6D" w:rsidRDefault="0039164A" w14:paraId="5209A454" w14:textId="77777777">
            <w:pPr>
              <w:pStyle w:val="Underskrifter"/>
              <w:spacing w:after="0"/>
            </w:pPr>
            <w:r>
              <w:t>Vasiliki Tsouplaki (V)</w:t>
            </w:r>
          </w:p>
        </w:tc>
        <w:tc>
          <w:tcPr>
            <w:tcW w:w="50" w:type="pct"/>
            <w:vAlign w:val="bottom"/>
          </w:tcPr>
          <w:p w:rsidR="00B32C6D" w:rsidRDefault="0039164A" w14:paraId="56F2137D" w14:textId="77777777">
            <w:pPr>
              <w:pStyle w:val="Underskrifter"/>
              <w:spacing w:after="0"/>
            </w:pPr>
            <w:r>
              <w:t>Ida Gabrielsson (V)</w:t>
            </w:r>
          </w:p>
        </w:tc>
      </w:tr>
    </w:tbl>
    <w:p w:rsidR="00A6105E" w:rsidRDefault="00A6105E" w14:paraId="7C586B37" w14:textId="77777777"/>
    <w:sectPr w:rsidR="00A6105E" w:rsidSect="00DB09D7">
      <w:headerReference w:type="even" r:id="rId25"/>
      <w:headerReference w:type="default" r:id="rId26"/>
      <w:footerReference w:type="even" r:id="rId27"/>
      <w:footerReference w:type="default" r:id="rId28"/>
      <w:headerReference w:type="first" r:id="rId29"/>
      <w:footerReference w:type="first" r:id="rId30"/>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EB2962" w14:textId="77777777" w:rsidR="008D3DDB" w:rsidRDefault="008D3DDB" w:rsidP="000C1CAD">
      <w:pPr>
        <w:spacing w:line="240" w:lineRule="auto"/>
      </w:pPr>
      <w:r>
        <w:separator/>
      </w:r>
    </w:p>
  </w:endnote>
  <w:endnote w:type="continuationSeparator" w:id="0">
    <w:p w14:paraId="5A2BAD69" w14:textId="77777777" w:rsidR="008D3DDB" w:rsidRDefault="008D3DDB" w:rsidP="000C1CAD">
      <w:pPr>
        <w:spacing w:line="240" w:lineRule="auto"/>
      </w:pPr>
      <w:r>
        <w:continuationSeparator/>
      </w:r>
    </w:p>
  </w:endnote>
  <w:endnote w:type="continuationNotice" w:id="1">
    <w:p w14:paraId="522C3A68" w14:textId="77777777" w:rsidR="008D3DDB" w:rsidRDefault="008D3DD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B36B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09CA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5678E" w14:textId="273DCD79" w:rsidR="00262EA3" w:rsidRPr="003E67AC" w:rsidRDefault="00262EA3" w:rsidP="003E67A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ADA334" w14:textId="104637A2" w:rsidR="008D3DDB" w:rsidRPr="00EC7099" w:rsidRDefault="008D3DDB" w:rsidP="00EC7099">
      <w:pPr>
        <w:pStyle w:val="Sidfot"/>
      </w:pPr>
    </w:p>
  </w:footnote>
  <w:footnote w:type="continuationSeparator" w:id="0">
    <w:p w14:paraId="3D1F616F" w14:textId="77777777" w:rsidR="008D3DDB" w:rsidRDefault="008D3DDB" w:rsidP="000C1CAD">
      <w:pPr>
        <w:spacing w:line="240" w:lineRule="auto"/>
      </w:pPr>
      <w:r>
        <w:continuationSeparator/>
      </w:r>
    </w:p>
  </w:footnote>
  <w:footnote w:type="continuationNotice" w:id="1">
    <w:p w14:paraId="5AAB265D" w14:textId="77777777" w:rsidR="008D3DDB" w:rsidRDefault="008D3DDB">
      <w:pPr>
        <w:spacing w:line="240" w:lineRule="auto"/>
      </w:pPr>
    </w:p>
  </w:footnote>
  <w:footnote w:id="2">
    <w:p w14:paraId="0191905D" w14:textId="70EFEBF6" w:rsidR="003239A5" w:rsidRDefault="003239A5">
      <w:pPr>
        <w:pStyle w:val="Fotnotstext"/>
      </w:pPr>
      <w:r>
        <w:rPr>
          <w:rStyle w:val="Fotnotsreferens"/>
        </w:rPr>
        <w:footnoteRef/>
      </w:r>
      <w:r>
        <w:t xml:space="preserve"> </w:t>
      </w:r>
      <w:r w:rsidR="00762546">
        <w:t xml:space="preserve">Europaportalen, </w:t>
      </w:r>
      <w:r w:rsidR="0058160F">
        <w:t xml:space="preserve">den </w:t>
      </w:r>
      <w:r w:rsidR="00762546">
        <w:t xml:space="preserve">4 mars 2025, </w:t>
      </w:r>
      <w:r w:rsidR="00762546" w:rsidRPr="00762546">
        <w:t xml:space="preserve">Massiv försvarsplan inför EU-toppmöte: </w:t>
      </w:r>
      <w:r w:rsidR="00045B94">
        <w:t>”</w:t>
      </w:r>
      <w:r w:rsidR="00762546" w:rsidRPr="00762546">
        <w:t>Vi befinner oss i en upprustningsera</w:t>
      </w:r>
      <w:r w:rsidR="00045B94">
        <w:t>”</w:t>
      </w:r>
      <w:r w:rsidR="00662AD8">
        <w:t>.</w:t>
      </w:r>
    </w:p>
  </w:footnote>
  <w:footnote w:id="3">
    <w:p w14:paraId="4C94DF04" w14:textId="2F3550DA" w:rsidR="0024652F" w:rsidRDefault="0024652F">
      <w:pPr>
        <w:pStyle w:val="Fotnotstext"/>
      </w:pPr>
      <w:r>
        <w:rPr>
          <w:rStyle w:val="Fotnotsreferens"/>
        </w:rPr>
        <w:footnoteRef/>
      </w:r>
      <w:r>
        <w:t xml:space="preserve"> </w:t>
      </w:r>
      <w:r w:rsidR="003A6B89">
        <w:t>Regeringen, pressmeddelande</w:t>
      </w:r>
      <w:r w:rsidR="0058160F">
        <w:t xml:space="preserve"> den</w:t>
      </w:r>
      <w:r w:rsidR="003A6B89">
        <w:t xml:space="preserve"> 26 mars 2025, </w:t>
      </w:r>
      <w:r w:rsidR="003A6B89" w:rsidRPr="003A6B89">
        <w:t>Satsningar på stärkt militärt försvar, åtgärder mot hybridhot och ökat stöd till Ukraina</w:t>
      </w:r>
      <w:r w:rsidR="00771C0C">
        <w:t>.</w:t>
      </w:r>
      <w:r w:rsidR="003A6B89">
        <w:t xml:space="preserve"> </w:t>
      </w:r>
    </w:p>
  </w:footnote>
  <w:footnote w:id="4">
    <w:p w14:paraId="29DBA035" w14:textId="597A0060" w:rsidR="00471B85" w:rsidRDefault="00471B85" w:rsidP="00471B85">
      <w:pPr>
        <w:pStyle w:val="Fotnotstext"/>
      </w:pPr>
      <w:r>
        <w:rPr>
          <w:rStyle w:val="Fotnotsreferens"/>
        </w:rPr>
        <w:footnoteRef/>
      </w:r>
      <w:r>
        <w:t xml:space="preserve"> </w:t>
      </w:r>
      <w:r w:rsidRPr="00FE67A2">
        <w:t>https://www.di.se/debatt/regeringen-bluffar-om-karnkraften/</w:t>
      </w:r>
      <w:r w:rsidR="00AD7D11">
        <w:t>.</w:t>
      </w:r>
    </w:p>
  </w:footnote>
  <w:footnote w:id="5">
    <w:p w14:paraId="520DF6D4" w14:textId="62FEB24E" w:rsidR="00155FF0" w:rsidRPr="008C1F4A" w:rsidRDefault="00155FF0">
      <w:pPr>
        <w:pStyle w:val="Fotnotstext"/>
        <w:rPr>
          <w:lang w:val="en-GB"/>
        </w:rPr>
      </w:pPr>
      <w:r>
        <w:rPr>
          <w:rStyle w:val="Fotnotsreferens"/>
        </w:rPr>
        <w:footnoteRef/>
      </w:r>
      <w:r w:rsidRPr="008C1F4A">
        <w:rPr>
          <w:lang w:val="en-GB"/>
        </w:rPr>
        <w:t xml:space="preserve"> RUT, </w:t>
      </w:r>
      <w:r w:rsidR="005945BA">
        <w:rPr>
          <w:lang w:val="en-GB"/>
        </w:rPr>
        <w:t>d</w:t>
      </w:r>
      <w:r w:rsidRPr="008C1F4A">
        <w:rPr>
          <w:lang w:val="en-GB"/>
        </w:rPr>
        <w:t>nr 2025:147.</w:t>
      </w:r>
    </w:p>
  </w:footnote>
  <w:footnote w:id="6">
    <w:p w14:paraId="27EF2E2B" w14:textId="50A59491" w:rsidR="006127F0" w:rsidRPr="00B04D60" w:rsidRDefault="006127F0" w:rsidP="006127F0">
      <w:pPr>
        <w:pStyle w:val="Fotnotstext"/>
        <w:rPr>
          <w:lang w:val="en-GB"/>
        </w:rPr>
      </w:pPr>
      <w:r>
        <w:rPr>
          <w:rStyle w:val="Fotnotsreferens"/>
        </w:rPr>
        <w:footnoteRef/>
      </w:r>
      <w:r w:rsidRPr="00B04D60">
        <w:rPr>
          <w:lang w:val="en-GB"/>
        </w:rPr>
        <w:t xml:space="preserve"> Breugel (2023)</w:t>
      </w:r>
      <w:r w:rsidR="00A61394">
        <w:rPr>
          <w:lang w:val="en-GB"/>
        </w:rPr>
        <w:t>.</w:t>
      </w:r>
      <w:r w:rsidRPr="00B04D60">
        <w:rPr>
          <w:lang w:val="en-GB"/>
        </w:rPr>
        <w:t xml:space="preserve"> National fiscal policy responses to the energy crisis</w:t>
      </w:r>
      <w:r>
        <w:rPr>
          <w:lang w:val="en-GB"/>
        </w:rPr>
        <w:t xml:space="preserve">. </w:t>
      </w:r>
      <w:r w:rsidRPr="00B04D60">
        <w:rPr>
          <w:lang w:val="en-GB"/>
        </w:rPr>
        <w:t>https://www.bruegel.org/dataset/national-policies-shield-consumers-rising-energy-prices</w:t>
      </w:r>
      <w:r w:rsidR="00A61394">
        <w:rPr>
          <w:lang w:val="en-GB"/>
        </w:rPr>
        <w:t>.</w:t>
      </w:r>
    </w:p>
  </w:footnote>
  <w:footnote w:id="7">
    <w:p w14:paraId="32BD2D85" w14:textId="178B537F" w:rsidR="00E44419" w:rsidRDefault="00E44419" w:rsidP="00E44419">
      <w:pPr>
        <w:pStyle w:val="Fotnotstext"/>
      </w:pPr>
      <w:r>
        <w:rPr>
          <w:rStyle w:val="Fotnotsreferens"/>
        </w:rPr>
        <w:footnoteRef/>
      </w:r>
      <w:r>
        <w:t xml:space="preserve"> Konkurrensverket (2022)</w:t>
      </w:r>
      <w:r w:rsidR="00A61394">
        <w:t>.</w:t>
      </w:r>
      <w:r>
        <w:t xml:space="preserve"> </w:t>
      </w:r>
      <w:r w:rsidRPr="0042133A">
        <w:t>Så arbetar Konkurrensverket för att vårda konkurrensen på livsmedelsmarknaden</w:t>
      </w:r>
      <w:r>
        <w:t>, artikel 20 dec.</w:t>
      </w:r>
    </w:p>
  </w:footnote>
  <w:footnote w:id="8">
    <w:p w14:paraId="3B766D72" w14:textId="7FCD6512" w:rsidR="007724AF" w:rsidRDefault="007724AF">
      <w:pPr>
        <w:pStyle w:val="Fotnotstext"/>
      </w:pPr>
      <w:r>
        <w:rPr>
          <w:rStyle w:val="Fotnotsreferens"/>
        </w:rPr>
        <w:footnoteRef/>
      </w:r>
      <w:r>
        <w:t xml:space="preserve"> </w:t>
      </w:r>
      <w:r w:rsidRPr="00935BBC">
        <w:t>Konkurrensverket (2024). Konkurrensverkets genomlysning av livsmedelsbranschen 2023–2024.</w:t>
      </w:r>
    </w:p>
  </w:footnote>
  <w:footnote w:id="9">
    <w:p w14:paraId="26E6D8C6" w14:textId="77777777" w:rsidR="00B330E4" w:rsidRDefault="00B330E4" w:rsidP="00B330E4">
      <w:pPr>
        <w:pStyle w:val="Fotnotstext"/>
      </w:pPr>
      <w:r>
        <w:rPr>
          <w:rStyle w:val="Fotnotsreferens"/>
        </w:rPr>
        <w:footnoteRef/>
      </w:r>
      <w:r>
        <w:t xml:space="preserve"> </w:t>
      </w:r>
      <w:r w:rsidRPr="00935BBC">
        <w:t>Konkurrensverket (2024). Konkurrensverkets genomlysning av livsmedelsbranschen 2023–2024.</w:t>
      </w:r>
    </w:p>
  </w:footnote>
  <w:footnote w:id="10">
    <w:p w14:paraId="032E9F2E" w14:textId="675D7845" w:rsidR="00170469" w:rsidRPr="00170469" w:rsidRDefault="00170469">
      <w:pPr>
        <w:pStyle w:val="Fotnotstext"/>
      </w:pPr>
      <w:r>
        <w:rPr>
          <w:rStyle w:val="Fotnotsreferens"/>
        </w:rPr>
        <w:footnoteRef/>
      </w:r>
      <w:r w:rsidRPr="00170469">
        <w:t xml:space="preserve"> HICP står för </w:t>
      </w:r>
      <w:r w:rsidRPr="009C676E">
        <w:rPr>
          <w:i/>
          <w:iCs/>
        </w:rPr>
        <w:t>Harmonised Index of Consumer Prices</w:t>
      </w:r>
      <w:r w:rsidRPr="00170469">
        <w:t xml:space="preserve"> och är</w:t>
      </w:r>
      <w:r>
        <w:t xml:space="preserve"> </w:t>
      </w:r>
      <w:r w:rsidRPr="00170469">
        <w:t xml:space="preserve">ett index som </w:t>
      </w:r>
      <w:r>
        <w:t>bygger på att samma metod används för alla EU-länder för att göra prisutvecklingen jämförbar mellan länderna.</w:t>
      </w:r>
    </w:p>
  </w:footnote>
  <w:footnote w:id="11">
    <w:p w14:paraId="4955E45D" w14:textId="77777777" w:rsidR="00767FCB" w:rsidRDefault="00767FCB" w:rsidP="00767FCB">
      <w:pPr>
        <w:pStyle w:val="Fotnotstext"/>
      </w:pPr>
      <w:r>
        <w:rPr>
          <w:rStyle w:val="Fotnotsreferens"/>
        </w:rPr>
        <w:footnoteRef/>
      </w:r>
      <w:r>
        <w:t xml:space="preserve"> </w:t>
      </w:r>
      <w:r w:rsidRPr="00935BBC">
        <w:t>Konkurrensverket (2024). Konkurrensverkets genomlysning av livsmedelsbranschen 2023–2024.</w:t>
      </w:r>
    </w:p>
  </w:footnote>
  <w:footnote w:id="12">
    <w:p w14:paraId="679D3A6D" w14:textId="40622E37" w:rsidR="00FB40AF" w:rsidRDefault="00FB40AF" w:rsidP="00FB40AF">
      <w:pPr>
        <w:pStyle w:val="Fotnotstext"/>
      </w:pPr>
      <w:r>
        <w:rPr>
          <w:rStyle w:val="Fotnotsreferens"/>
        </w:rPr>
        <w:footnoteRef/>
      </w:r>
      <w:r>
        <w:t xml:space="preserve"> </w:t>
      </w:r>
      <w:r w:rsidRPr="006F1D14">
        <w:t>Konjunkturinstitutet (2022)</w:t>
      </w:r>
      <w:r w:rsidR="00E56409">
        <w:t>.</w:t>
      </w:r>
      <w:r w:rsidRPr="006F1D14">
        <w:t xml:space="preserve"> </w:t>
      </w:r>
      <w:r>
        <w:t xml:space="preserve">Specialstudie </w:t>
      </w:r>
      <w:r w:rsidR="00E56409">
        <w:t xml:space="preserve">– </w:t>
      </w:r>
      <w:r>
        <w:t>Prissättning hos svenska företag under 2022</w:t>
      </w:r>
      <w:r w:rsidRPr="006F1D14">
        <w:t>.</w:t>
      </w:r>
    </w:p>
  </w:footnote>
  <w:footnote w:id="13">
    <w:p w14:paraId="5F480419" w14:textId="036DE77D" w:rsidR="00CC1421" w:rsidRDefault="00CC1421">
      <w:pPr>
        <w:pStyle w:val="Fotnotstext"/>
      </w:pPr>
      <w:r>
        <w:rPr>
          <w:rStyle w:val="Fotnotsreferens"/>
        </w:rPr>
        <w:footnoteRef/>
      </w:r>
      <w:r>
        <w:t xml:space="preserve"> </w:t>
      </w:r>
      <w:r w:rsidRPr="00CC1421">
        <w:t>https://www.vansterpartiet.se/wp-content/uploads/2023/11/lagstiftning-mot-overpriser-v231125.pdf</w:t>
      </w:r>
      <w:r w:rsidR="00E56409">
        <w:t>.</w:t>
      </w:r>
    </w:p>
  </w:footnote>
  <w:footnote w:id="14">
    <w:p w14:paraId="7316F95D" w14:textId="7E2EDFBD" w:rsidR="002B0096" w:rsidRDefault="002B0096" w:rsidP="002B0096">
      <w:pPr>
        <w:pStyle w:val="Fotnotstext"/>
      </w:pPr>
      <w:r>
        <w:rPr>
          <w:rStyle w:val="Fotnotsreferens"/>
        </w:rPr>
        <w:footnoteRef/>
      </w:r>
      <w:r>
        <w:t xml:space="preserve"> Riksbanken (2023)</w:t>
      </w:r>
      <w:r w:rsidR="000B6150">
        <w:t>.</w:t>
      </w:r>
      <w:r>
        <w:t xml:space="preserve"> Finansiell stabilitet 2023:2.</w:t>
      </w:r>
    </w:p>
  </w:footnote>
  <w:footnote w:id="15">
    <w:p w14:paraId="277B9E24" w14:textId="592F6944" w:rsidR="001C0FE1" w:rsidRPr="00FB40AF" w:rsidRDefault="001C0FE1" w:rsidP="001C0FE1">
      <w:pPr>
        <w:pStyle w:val="Fotnotstext"/>
      </w:pPr>
      <w:r>
        <w:rPr>
          <w:rStyle w:val="Fotnotsreferens"/>
        </w:rPr>
        <w:footnoteRef/>
      </w:r>
      <w:r w:rsidRPr="00FB40AF">
        <w:t xml:space="preserve"> https://www.vansterpartiet.se/nyheter/anvand-statens-bank-for-att-sanka-borantorna/</w:t>
      </w:r>
      <w:r w:rsidR="008260B6">
        <w:t>.</w:t>
      </w:r>
    </w:p>
  </w:footnote>
  <w:footnote w:id="16">
    <w:p w14:paraId="3ABF5C9C" w14:textId="0AE6353E" w:rsidR="00873D8C" w:rsidRDefault="00873D8C">
      <w:pPr>
        <w:pStyle w:val="Fotnotstext"/>
      </w:pPr>
      <w:r>
        <w:rPr>
          <w:rStyle w:val="Fotnotsreferens"/>
        </w:rPr>
        <w:footnoteRef/>
      </w:r>
      <w:r>
        <w:t xml:space="preserve"> </w:t>
      </w:r>
      <w:r w:rsidRPr="00873D8C">
        <w:t>https://www.vansterpartiet.se/nyheter/beskatta-bankernas-overvinster/</w:t>
      </w:r>
      <w:r w:rsidR="008260B6">
        <w:t>.</w:t>
      </w:r>
    </w:p>
  </w:footnote>
  <w:footnote w:id="17">
    <w:p w14:paraId="1DCB0210" w14:textId="081572A8" w:rsidR="006127F0" w:rsidRPr="00FB40AF" w:rsidRDefault="006127F0" w:rsidP="006127F0">
      <w:pPr>
        <w:pStyle w:val="Fotnotstext"/>
      </w:pPr>
      <w:r>
        <w:rPr>
          <w:rStyle w:val="Fotnotsreferens"/>
        </w:rPr>
        <w:footnoteRef/>
      </w:r>
      <w:r w:rsidRPr="00FB40AF">
        <w:t xml:space="preserve"> https://www.vansterpartiet.se/sank-elkostnaderna-infor-sverigepriser/</w:t>
      </w:r>
      <w:r w:rsidR="009960B3">
        <w:t>.</w:t>
      </w:r>
    </w:p>
  </w:footnote>
  <w:footnote w:id="18">
    <w:p w14:paraId="08F87FC6" w14:textId="39DC4916" w:rsidR="0035569A" w:rsidRDefault="0035569A">
      <w:pPr>
        <w:pStyle w:val="Fotnotstext"/>
      </w:pPr>
      <w:r>
        <w:rPr>
          <w:rStyle w:val="Fotnotsreferens"/>
        </w:rPr>
        <w:footnoteRef/>
      </w:r>
      <w:r>
        <w:t xml:space="preserve"> </w:t>
      </w:r>
      <w:r w:rsidRPr="0035569A">
        <w:t>https://www.vansterpartiet.se/wp-content/uploads/2024/12/underlag_elnatsforslag_241217.pdf</w:t>
      </w:r>
      <w:r w:rsidR="009960B3">
        <w:t>.</w:t>
      </w:r>
    </w:p>
  </w:footnote>
  <w:footnote w:id="19">
    <w:p w14:paraId="4D1C67EF" w14:textId="78902C48" w:rsidR="00950350" w:rsidRDefault="00950350" w:rsidP="00950350">
      <w:pPr>
        <w:pStyle w:val="Fotnotstext"/>
      </w:pPr>
      <w:r>
        <w:rPr>
          <w:rStyle w:val="Fotnotsreferens"/>
        </w:rPr>
        <w:footnoteRef/>
      </w:r>
      <w:r>
        <w:t xml:space="preserve"> </w:t>
      </w:r>
      <w:r w:rsidRPr="007A7D92">
        <w:t>Digitala fastighetsköp &amp; Förköpsrätt vid fastighetstransaktioner</w:t>
      </w:r>
      <w:r w:rsidR="007D5FFF">
        <w:t xml:space="preserve"> (</w:t>
      </w:r>
      <w:r w:rsidR="007D5FFF" w:rsidRPr="007A7D92">
        <w:t>SOU 2024:38</w:t>
      </w:r>
      <w:r w:rsidR="007D5FFF">
        <w:t>)</w:t>
      </w:r>
      <w:r>
        <w:t>.</w:t>
      </w:r>
    </w:p>
  </w:footnote>
  <w:footnote w:id="20">
    <w:p w14:paraId="291D5F1F" w14:textId="625B227F" w:rsidR="00402AD9" w:rsidRDefault="00402AD9" w:rsidP="00402AD9">
      <w:pPr>
        <w:pStyle w:val="Fotnotstext"/>
      </w:pPr>
      <w:r>
        <w:rPr>
          <w:rStyle w:val="Fotnotsreferens"/>
        </w:rPr>
        <w:footnoteRef/>
      </w:r>
      <w:r>
        <w:t xml:space="preserve"> Vårt förslag gör det möjligt att begära undantag för de bolag som kan visa att de gör betydande investeringar som motiverar högre avgifter.</w:t>
      </w:r>
    </w:p>
  </w:footnote>
  <w:footnote w:id="21">
    <w:p w14:paraId="1ABDCFB6" w14:textId="08196D42" w:rsidR="00241E0D" w:rsidRDefault="00241E0D" w:rsidP="00241E0D">
      <w:pPr>
        <w:pStyle w:val="Fotnotstext"/>
      </w:pPr>
      <w:r>
        <w:rPr>
          <w:rStyle w:val="Fotnotsreferens"/>
        </w:rPr>
        <w:footnoteRef/>
      </w:r>
      <w:r>
        <w:t xml:space="preserve"> Materiell och social fattigdom är ett fattigdomsmått som används inom EU. För att anses leva i materiell och social fattigdom behöver man uppfylla minst </w:t>
      </w:r>
      <w:r w:rsidR="00BE657B">
        <w:t>5</w:t>
      </w:r>
      <w:r>
        <w:t xml:space="preserve"> av </w:t>
      </w:r>
      <w:r w:rsidR="00BE657B">
        <w:t>13</w:t>
      </w:r>
      <w:r>
        <w:t xml:space="preserve"> definierade krav, bl.a. sakna kontantmarginal, ha kommit efter med betalningar, inte ha råd med internet i bostaden, inte ha råd att laga en måltid med kött, kyckling, fisk eller vegetariskt alternativ varannan dag, inte ha råd med två par skor, inkl. vinterskor, </w:t>
      </w:r>
      <w:r w:rsidR="00315D9E">
        <w:t xml:space="preserve">och </w:t>
      </w:r>
      <w:r>
        <w:t>inte ha råd med nya kläder. SCB (2023-06-29), Att mäta fattigdom.</w:t>
      </w:r>
    </w:p>
  </w:footnote>
  <w:footnote w:id="22">
    <w:p w14:paraId="1F803F1C" w14:textId="1D41093A" w:rsidR="00241E0D" w:rsidRDefault="00241E0D">
      <w:pPr>
        <w:pStyle w:val="Fotnotstext"/>
      </w:pPr>
      <w:r>
        <w:rPr>
          <w:rStyle w:val="Fotnotsreferens"/>
        </w:rPr>
        <w:footnoteRef/>
      </w:r>
      <w:r>
        <w:t xml:space="preserve"> Uppfylla minst </w:t>
      </w:r>
      <w:r w:rsidR="00844B71">
        <w:t>7</w:t>
      </w:r>
      <w:r>
        <w:t xml:space="preserve"> av de </w:t>
      </w:r>
      <w:r w:rsidR="00844B71">
        <w:t>13</w:t>
      </w:r>
      <w:r>
        <w:t xml:space="preserve"> definierade krav som nämns ovan. </w:t>
      </w:r>
    </w:p>
  </w:footnote>
  <w:footnote w:id="23">
    <w:p w14:paraId="1C2C7ACF" w14:textId="1BD50FAC" w:rsidR="00241E0D" w:rsidRDefault="00241E0D">
      <w:pPr>
        <w:pStyle w:val="Fotnotstext"/>
      </w:pPr>
      <w:r>
        <w:rPr>
          <w:rStyle w:val="Fotnotsreferens"/>
        </w:rPr>
        <w:footnoteRef/>
      </w:r>
      <w:r>
        <w:t xml:space="preserve"> SCB.se</w:t>
      </w:r>
      <w:r w:rsidR="00F04854">
        <w:t>.</w:t>
      </w:r>
    </w:p>
  </w:footnote>
  <w:footnote w:id="24">
    <w:p w14:paraId="0E7B7590" w14:textId="57C6FECB" w:rsidR="003D0546" w:rsidRDefault="003D0546">
      <w:pPr>
        <w:pStyle w:val="Fotnotstext"/>
      </w:pPr>
      <w:r>
        <w:rPr>
          <w:rStyle w:val="Fotnotsreferens"/>
        </w:rPr>
        <w:footnoteRef/>
      </w:r>
      <w:r>
        <w:t xml:space="preserve"> Kronofogden.se</w:t>
      </w:r>
      <w:r w:rsidR="00F04854">
        <w:t>.</w:t>
      </w:r>
    </w:p>
  </w:footnote>
  <w:footnote w:id="25">
    <w:p w14:paraId="0F100511" w14:textId="66324C20" w:rsidR="00C9050A" w:rsidRDefault="00C9050A">
      <w:pPr>
        <w:pStyle w:val="Fotnotstext"/>
      </w:pPr>
      <w:r>
        <w:rPr>
          <w:rStyle w:val="Fotnotsreferens"/>
        </w:rPr>
        <w:footnoteRef/>
      </w:r>
      <w:r>
        <w:t xml:space="preserve"> TT (</w:t>
      </w:r>
      <w:r w:rsidRPr="00C9050A">
        <w:t>2025</w:t>
      </w:r>
      <w:r>
        <w:t>-04-16)</w:t>
      </w:r>
      <w:r w:rsidR="00BF2BC7">
        <w:t>.</w:t>
      </w:r>
      <w:r>
        <w:t xml:space="preserve"> </w:t>
      </w:r>
      <w:r w:rsidRPr="00C9050A">
        <w:t>Barnbidraget på lägsta nivån på 50 år</w:t>
      </w:r>
      <w:r>
        <w:t>.</w:t>
      </w:r>
    </w:p>
  </w:footnote>
  <w:footnote w:id="26">
    <w:p w14:paraId="78800E42" w14:textId="777D2DE2" w:rsidR="00BB558C" w:rsidRDefault="00BB558C" w:rsidP="00BB558C">
      <w:pPr>
        <w:pStyle w:val="Fotnotstext"/>
      </w:pPr>
      <w:r>
        <w:rPr>
          <w:rStyle w:val="Fotnotsreferens"/>
        </w:rPr>
        <w:footnoteRef/>
      </w:r>
      <w:r>
        <w:t xml:space="preserve"> Rädda </w:t>
      </w:r>
      <w:r w:rsidR="00B73980">
        <w:t>B</w:t>
      </w:r>
      <w:r>
        <w:t xml:space="preserve">arnen, Röda </w:t>
      </w:r>
      <w:r w:rsidR="00B73980">
        <w:t>K</w:t>
      </w:r>
      <w:r>
        <w:t>orset, Hyresgästföreningen</w:t>
      </w:r>
      <w:r w:rsidR="00B73980">
        <w:t xml:space="preserve"> och</w:t>
      </w:r>
      <w:r>
        <w:t xml:space="preserve"> Majblomman (2025)</w:t>
      </w:r>
      <w:r w:rsidR="00B73980">
        <w:t>.</w:t>
      </w:r>
      <w:r>
        <w:t xml:space="preserve"> Barnfamiljers ekonomiska svårigheter 2025</w:t>
      </w:r>
      <w:r w:rsidR="00DD29E2">
        <w:t>.</w:t>
      </w:r>
    </w:p>
  </w:footnote>
  <w:footnote w:id="27">
    <w:p w14:paraId="26DE2B47" w14:textId="627C73E7" w:rsidR="00537912" w:rsidRDefault="00537912">
      <w:pPr>
        <w:pStyle w:val="Fotnotstext"/>
      </w:pPr>
      <w:r>
        <w:rPr>
          <w:rStyle w:val="Fotnotsreferens"/>
        </w:rPr>
        <w:footnoteRef/>
      </w:r>
      <w:r>
        <w:t xml:space="preserve"> </w:t>
      </w:r>
      <w:r w:rsidR="006A7FF6" w:rsidRPr="006A7FF6">
        <w:t>Budgetpropositionen för 2025</w:t>
      </w:r>
      <w:r w:rsidR="006A7FF6">
        <w:t xml:space="preserve"> (prop. 2024/25:1).</w:t>
      </w:r>
    </w:p>
  </w:footnote>
  <w:footnote w:id="28">
    <w:p w14:paraId="0DC42276" w14:textId="3E5F5F3C" w:rsidR="00D11D0D" w:rsidRDefault="00D11D0D">
      <w:pPr>
        <w:pStyle w:val="Fotnotstext"/>
      </w:pPr>
      <w:r>
        <w:rPr>
          <w:rStyle w:val="Fotnotsreferens"/>
        </w:rPr>
        <w:footnoteRef/>
      </w:r>
      <w:r>
        <w:t xml:space="preserve"> Beräkningen av statens kostnader för förslaget utgår ifrån att samtliga mottagare av bostadstillägget har en bostadskostnad som överstiger det nya taket på 9 000 kr/mån. Kostnaden är därmed sannolikt en överskattning. </w:t>
      </w:r>
    </w:p>
  </w:footnote>
  <w:footnote w:id="29">
    <w:p w14:paraId="3C7A64B3" w14:textId="4E384449" w:rsidR="00E926D1" w:rsidRPr="003B0A3D" w:rsidRDefault="00E926D1" w:rsidP="00E926D1">
      <w:pPr>
        <w:pStyle w:val="Fotnotstext"/>
      </w:pPr>
      <w:r>
        <w:rPr>
          <w:rStyle w:val="Fotnotsreferens"/>
        </w:rPr>
        <w:footnoteRef/>
      </w:r>
      <w:r>
        <w:t xml:space="preserve"> Stockholms Handelskammare (2024</w:t>
      </w:r>
      <w:r w:rsidRPr="003B0A3D">
        <w:t>)</w:t>
      </w:r>
      <w:r w:rsidR="00AC5198">
        <w:t>.</w:t>
      </w:r>
      <w:r w:rsidRPr="003B0A3D">
        <w:t xml:space="preserve"> Den nya Natoekonomin – kraftigt ökade krav på vägar och järnvägar.</w:t>
      </w:r>
    </w:p>
  </w:footnote>
  <w:footnote w:id="30">
    <w:p w14:paraId="1B71A561" w14:textId="10E574A6" w:rsidR="004C27AA" w:rsidRDefault="004C27AA">
      <w:pPr>
        <w:pStyle w:val="Fotnotstext"/>
      </w:pPr>
      <w:r>
        <w:rPr>
          <w:rStyle w:val="Fotnotsreferens"/>
        </w:rPr>
        <w:footnoteRef/>
      </w:r>
      <w:r>
        <w:t xml:space="preserve"> Tillväxtanalys (2025)</w:t>
      </w:r>
      <w:r w:rsidR="00F55CBA">
        <w:t>.</w:t>
      </w:r>
      <w:r>
        <w:t xml:space="preserve"> Remiss</w:t>
      </w:r>
      <w:r w:rsidR="00F55CBA">
        <w:t xml:space="preserve"> –</w:t>
      </w:r>
      <w:r>
        <w:t xml:space="preserve"> </w:t>
      </w:r>
      <w:r w:rsidRPr="004C27AA">
        <w:t>Förslag om tillfälligt höjd subventionsgrad för rotavdraget</w:t>
      </w:r>
      <w:r>
        <w:t>.</w:t>
      </w:r>
    </w:p>
  </w:footnote>
  <w:footnote w:id="31">
    <w:p w14:paraId="7C434630" w14:textId="41A04EA4" w:rsidR="006B1129" w:rsidRDefault="006B1129" w:rsidP="006B1129">
      <w:pPr>
        <w:pStyle w:val="Fotnotstext"/>
      </w:pPr>
      <w:r>
        <w:rPr>
          <w:rStyle w:val="Fotnotsreferens"/>
        </w:rPr>
        <w:footnoteRef/>
      </w:r>
      <w:r>
        <w:t xml:space="preserve"> Svenskt Vatten (2024)</w:t>
      </w:r>
      <w:r w:rsidR="00F55CBA">
        <w:t>.</w:t>
      </w:r>
      <w:r>
        <w:t xml:space="preserve"> </w:t>
      </w:r>
      <w:r w:rsidRPr="001E72E3">
        <w:rPr>
          <w:i/>
          <w:iCs/>
        </w:rPr>
        <w:t>Omvärldsutblick mot 2035</w:t>
      </w:r>
      <w:r>
        <w:t>.</w:t>
      </w:r>
    </w:p>
  </w:footnote>
  <w:footnote w:id="32">
    <w:p w14:paraId="4ACE7E49" w14:textId="45B65C72" w:rsidR="00F57C10" w:rsidRDefault="00F57C10">
      <w:pPr>
        <w:pStyle w:val="Fotnotstext"/>
      </w:pPr>
      <w:r>
        <w:rPr>
          <w:rStyle w:val="Fotnotsreferens"/>
        </w:rPr>
        <w:footnoteRef/>
      </w:r>
      <w:r>
        <w:t xml:space="preserve"> Myndigheten för samhällsskydd och beredskap, mars 2025. </w:t>
      </w:r>
    </w:p>
  </w:footnote>
  <w:footnote w:id="33">
    <w:p w14:paraId="06D15C3A" w14:textId="77777777" w:rsidR="005F468F" w:rsidRDefault="005F468F" w:rsidP="005F468F">
      <w:pPr>
        <w:pStyle w:val="Fotnotstext"/>
      </w:pPr>
      <w:r>
        <w:rPr>
          <w:rStyle w:val="Fotnotsreferens"/>
        </w:rPr>
        <w:footnoteRef/>
      </w:r>
      <w:r>
        <w:t xml:space="preserve"> SVT, Myndigheten för tillväxtpolitiska utvärderingar och analyser (2024).</w:t>
      </w:r>
    </w:p>
  </w:footnote>
  <w:footnote w:id="34">
    <w:p w14:paraId="674B92E7" w14:textId="4EDEB9B9" w:rsidR="00786954" w:rsidRDefault="00786954">
      <w:pPr>
        <w:pStyle w:val="Fotnotstext"/>
      </w:pPr>
      <w:r>
        <w:rPr>
          <w:rStyle w:val="Fotnotsreferens"/>
        </w:rPr>
        <w:footnoteRef/>
      </w:r>
      <w:r>
        <w:t xml:space="preserve"> </w:t>
      </w:r>
      <w:r w:rsidRPr="00786954">
        <w:t xml:space="preserve">Svenska </w:t>
      </w:r>
      <w:r>
        <w:t>B</w:t>
      </w:r>
      <w:r w:rsidRPr="00786954">
        <w:t>yggnadsarbetareförbundet</w:t>
      </w:r>
      <w:r>
        <w:t>, mars 2025.</w:t>
      </w:r>
    </w:p>
  </w:footnote>
  <w:footnote w:id="35">
    <w:p w14:paraId="4E90DA60" w14:textId="0E605248" w:rsidR="00FF495D" w:rsidRDefault="00FF495D">
      <w:pPr>
        <w:pStyle w:val="Fotnotstext"/>
      </w:pPr>
      <w:r>
        <w:rPr>
          <w:rStyle w:val="Fotnotsreferens"/>
        </w:rPr>
        <w:footnoteRef/>
      </w:r>
      <w:r>
        <w:t xml:space="preserve"> Arbetsförmedlingen, månadsöversikt mars 2025. </w:t>
      </w:r>
    </w:p>
  </w:footnote>
  <w:footnote w:id="36">
    <w:p w14:paraId="5483B6E0" w14:textId="36C4A83A" w:rsidR="00100D0D" w:rsidRPr="004660F2" w:rsidRDefault="00100D0D" w:rsidP="00100D0D">
      <w:pPr>
        <w:pStyle w:val="Fotnotstext"/>
      </w:pPr>
      <w:r>
        <w:rPr>
          <w:rStyle w:val="Fotnotsreferens"/>
        </w:rPr>
        <w:footnoteRef/>
      </w:r>
      <w:r w:rsidRPr="004660F2">
        <w:t xml:space="preserve"> </w:t>
      </w:r>
      <w:r w:rsidRPr="00BD04E4">
        <w:t>S</w:t>
      </w:r>
      <w:r>
        <w:t>ocialstyrelsen</w:t>
      </w:r>
      <w:r w:rsidR="00BB0F84">
        <w:t xml:space="preserve"> (2023)</w:t>
      </w:r>
      <w:r w:rsidR="00785F3A">
        <w:t>.</w:t>
      </w:r>
      <w:r>
        <w:t xml:space="preserve"> </w:t>
      </w:r>
      <w:r w:rsidRPr="00E02183">
        <w:t>Riktvärden för beläggningsgrad och vårdplatser</w:t>
      </w:r>
      <w:r w:rsidR="00BB0F84">
        <w:t>.</w:t>
      </w:r>
    </w:p>
  </w:footnote>
  <w:footnote w:id="37">
    <w:p w14:paraId="5C0B9042" w14:textId="2D36A316" w:rsidR="00100D0D" w:rsidRPr="004660F2" w:rsidRDefault="00100D0D" w:rsidP="00100D0D">
      <w:pPr>
        <w:pStyle w:val="Fotnotstext"/>
      </w:pPr>
      <w:r>
        <w:rPr>
          <w:rStyle w:val="Fotnotsreferens"/>
        </w:rPr>
        <w:footnoteRef/>
      </w:r>
      <w:r w:rsidRPr="004660F2">
        <w:t xml:space="preserve"> </w:t>
      </w:r>
      <w:r w:rsidRPr="00BD04E4">
        <w:t>S</w:t>
      </w:r>
      <w:r>
        <w:t>ocialstyrelsen</w:t>
      </w:r>
      <w:r w:rsidR="00BB0F84">
        <w:t xml:space="preserve"> (2024)</w:t>
      </w:r>
      <w:r w:rsidR="00785F3A">
        <w:t>.</w:t>
      </w:r>
      <w:r>
        <w:t xml:space="preserve"> </w:t>
      </w:r>
      <w:r w:rsidRPr="00E02183">
        <w:t>Plats för vård</w:t>
      </w:r>
      <w:r w:rsidR="00BB0F84">
        <w:t>.</w:t>
      </w:r>
    </w:p>
  </w:footnote>
  <w:footnote w:id="38">
    <w:p w14:paraId="6727FE6C" w14:textId="44C2F738" w:rsidR="00571F8E" w:rsidRPr="00E02183" w:rsidRDefault="00571F8E">
      <w:pPr>
        <w:pStyle w:val="Fotnotstext"/>
        <w:rPr>
          <w:i/>
        </w:rPr>
      </w:pPr>
      <w:r>
        <w:rPr>
          <w:rStyle w:val="Fotnotsreferens"/>
        </w:rPr>
        <w:footnoteRef/>
      </w:r>
      <w:r>
        <w:t xml:space="preserve"> </w:t>
      </w:r>
      <w:r w:rsidRPr="00E95BFA">
        <w:t>Myndigheten för vård- och omsorgsanalys</w:t>
      </w:r>
      <w:r w:rsidR="004D6E0C">
        <w:t xml:space="preserve"> (2018</w:t>
      </w:r>
      <w:r w:rsidR="004D6E0C" w:rsidRPr="00785F3A">
        <w:rPr>
          <w:iCs/>
        </w:rPr>
        <w:t>)</w:t>
      </w:r>
      <w:r w:rsidR="00785F3A">
        <w:rPr>
          <w:iCs/>
        </w:rPr>
        <w:t>.</w:t>
      </w:r>
      <w:r w:rsidRPr="00E02183">
        <w:rPr>
          <w:i/>
        </w:rPr>
        <w:t xml:space="preserve"> </w:t>
      </w:r>
      <w:r w:rsidRPr="004D6E0C">
        <w:rPr>
          <w:i/>
          <w:iCs/>
        </w:rPr>
        <w:t>En akut bild av Sverige, kartläggning av akutsjukvårdens organisation och arbetsfördelning</w:t>
      </w:r>
      <w:r w:rsidR="004D6E0C" w:rsidRPr="00E02183">
        <w:rPr>
          <w:i/>
        </w:rPr>
        <w:t>.</w:t>
      </w:r>
    </w:p>
  </w:footnote>
  <w:footnote w:id="39">
    <w:p w14:paraId="17D82E12" w14:textId="515F9B5F" w:rsidR="00571F8E" w:rsidRDefault="00571F8E">
      <w:pPr>
        <w:pStyle w:val="Fotnotstext"/>
      </w:pPr>
      <w:r>
        <w:rPr>
          <w:rStyle w:val="Fotnotsreferens"/>
        </w:rPr>
        <w:footnoteRef/>
      </w:r>
      <w:r>
        <w:t xml:space="preserve"> </w:t>
      </w:r>
      <w:r w:rsidRPr="00571F8E">
        <w:t>Läkartidningen</w:t>
      </w:r>
      <w:r w:rsidR="009D2F2D">
        <w:t xml:space="preserve"> (</w:t>
      </w:r>
      <w:r w:rsidR="009D2F2D" w:rsidRPr="00190EE2">
        <w:t>2024-09-27</w:t>
      </w:r>
      <w:r w:rsidR="009D2F2D">
        <w:t>)</w:t>
      </w:r>
      <w:r w:rsidR="00785F3A">
        <w:t>.</w:t>
      </w:r>
      <w:r w:rsidR="00190EE2">
        <w:t xml:space="preserve"> </w:t>
      </w:r>
      <w:r w:rsidR="00190EE2" w:rsidRPr="00190EE2">
        <w:t>Nedläggningar av akutsjukhus tycks åter vara aktuella i Sverige</w:t>
      </w:r>
      <w:r w:rsidR="009D2F2D">
        <w:t>.</w:t>
      </w:r>
      <w:r w:rsidR="00190EE2">
        <w:t xml:space="preserve"> </w:t>
      </w:r>
    </w:p>
  </w:footnote>
  <w:footnote w:id="40">
    <w:p w14:paraId="2973FDF0" w14:textId="1A080499" w:rsidR="00190EE2" w:rsidRDefault="00190EE2">
      <w:pPr>
        <w:pStyle w:val="Fotnotstext"/>
      </w:pPr>
      <w:r>
        <w:rPr>
          <w:rStyle w:val="Fotnotsreferens"/>
        </w:rPr>
        <w:footnoteRef/>
      </w:r>
      <w:r>
        <w:t xml:space="preserve"> Dagens nyheter</w:t>
      </w:r>
      <w:r w:rsidR="009D2F2D">
        <w:t xml:space="preserve"> (</w:t>
      </w:r>
      <w:r w:rsidR="009D2F2D" w:rsidRPr="00190EE2">
        <w:t>2024-03-15</w:t>
      </w:r>
      <w:r w:rsidR="009D2F2D">
        <w:t>)</w:t>
      </w:r>
      <w:r w:rsidR="00785F3A">
        <w:t>.</w:t>
      </w:r>
      <w:r>
        <w:t xml:space="preserve"> </w:t>
      </w:r>
      <w:r w:rsidRPr="00190EE2">
        <w:t>Iva-platserna måste bli 30 procent fler – det kräver att personalflykten stoppas</w:t>
      </w:r>
      <w:r w:rsidR="009D2F2D">
        <w:t>.</w:t>
      </w:r>
    </w:p>
  </w:footnote>
  <w:footnote w:id="41">
    <w:p w14:paraId="0999EFE1" w14:textId="6CEDFA6B" w:rsidR="00355384" w:rsidRDefault="00355384" w:rsidP="00355384">
      <w:pPr>
        <w:pStyle w:val="Fotnotstext"/>
      </w:pPr>
      <w:r>
        <w:rPr>
          <w:rStyle w:val="Fotnotsreferens"/>
        </w:rPr>
        <w:footnoteRef/>
      </w:r>
      <w:r>
        <w:t xml:space="preserve"> Försvarsberedningen (2023)</w:t>
      </w:r>
      <w:r w:rsidR="000C79F6">
        <w:t>.</w:t>
      </w:r>
      <w:r>
        <w:t xml:space="preserve"> </w:t>
      </w:r>
      <w:r w:rsidRPr="009D2F2D">
        <w:rPr>
          <w:i/>
          <w:iCs/>
        </w:rPr>
        <w:t>Kraftsamling</w:t>
      </w:r>
      <w:r w:rsidR="000C79F6">
        <w:rPr>
          <w:i/>
          <w:iCs/>
        </w:rPr>
        <w:t xml:space="preserve"> –</w:t>
      </w:r>
      <w:r w:rsidRPr="009D2F2D">
        <w:rPr>
          <w:i/>
          <w:iCs/>
        </w:rPr>
        <w:t xml:space="preserve"> </w:t>
      </w:r>
      <w:r w:rsidR="000C79F6">
        <w:rPr>
          <w:i/>
          <w:iCs/>
        </w:rPr>
        <w:t>I</w:t>
      </w:r>
      <w:r w:rsidRPr="009D2F2D">
        <w:rPr>
          <w:i/>
          <w:iCs/>
        </w:rPr>
        <w:t>nriktningen av totalförsvaret och utformningen av det civila försvaret</w:t>
      </w:r>
      <w:r w:rsidR="000C79F6">
        <w:rPr>
          <w:i/>
          <w:iCs/>
        </w:rPr>
        <w:t>.</w:t>
      </w:r>
      <w:r w:rsidRPr="009D2F2D">
        <w:rPr>
          <w:i/>
          <w:iCs/>
        </w:rPr>
        <w:t xml:space="preserve"> Ds 2023:34.</w:t>
      </w:r>
    </w:p>
  </w:footnote>
  <w:footnote w:id="42">
    <w:p w14:paraId="4A57A36A" w14:textId="29AB37FF" w:rsidR="00D60378" w:rsidRDefault="00D60378" w:rsidP="00AC4C72">
      <w:pPr>
        <w:pStyle w:val="Fotnotstext"/>
      </w:pPr>
      <w:r>
        <w:rPr>
          <w:rStyle w:val="Fotnotsreferens"/>
        </w:rPr>
        <w:footnoteRef/>
      </w:r>
      <w:r>
        <w:t xml:space="preserve"> </w:t>
      </w:r>
      <w:r w:rsidR="00AC4C72">
        <w:t>Sollefteå kommun, Sollefteå sjukhus, Beredskap med modern infrastruk</w:t>
      </w:r>
      <w:r w:rsidR="000C79F6">
        <w:t>t</w:t>
      </w:r>
      <w:r w:rsidR="00AC4C72">
        <w:t>ur i ett strategiskt läge (2025)</w:t>
      </w:r>
      <w:r w:rsidR="0024248A">
        <w:t>.</w:t>
      </w:r>
    </w:p>
  </w:footnote>
  <w:footnote w:id="43">
    <w:p w14:paraId="445FE606" w14:textId="288FFDB1" w:rsidR="00D60378" w:rsidRDefault="00D60378">
      <w:pPr>
        <w:pStyle w:val="Fotnotstext"/>
      </w:pPr>
      <w:r>
        <w:rPr>
          <w:rStyle w:val="Fotnotsreferens"/>
        </w:rPr>
        <w:footnoteRef/>
      </w:r>
      <w:r>
        <w:t xml:space="preserve"> Ramboll, Sollefteå sjukhus: En nyckelspelare i Sveriges totalförsvar och medlemskapet i Nato (202</w:t>
      </w:r>
      <w:r w:rsidR="00AC4C72">
        <w:t>5</w:t>
      </w:r>
      <w:r>
        <w:t>)</w:t>
      </w:r>
      <w:r w:rsidR="0024248A">
        <w:t>.</w:t>
      </w:r>
    </w:p>
  </w:footnote>
  <w:footnote w:id="44">
    <w:p w14:paraId="57EECA91" w14:textId="370430CA" w:rsidR="00151A73" w:rsidRDefault="00151A73">
      <w:pPr>
        <w:pStyle w:val="Fotnotstext"/>
      </w:pPr>
      <w:r>
        <w:rPr>
          <w:rStyle w:val="Fotnotsreferens"/>
        </w:rPr>
        <w:footnoteRef/>
      </w:r>
      <w:r>
        <w:t xml:space="preserve"> </w:t>
      </w:r>
      <w:r w:rsidR="002D6187">
        <w:t>Sollefteå kommun: Erbjudande till staten: Utveckling av Sollefteå sjukhus till ett nationellt beredskapssjukhus (2025)</w:t>
      </w:r>
      <w:r w:rsidR="0024248A">
        <w:t>.</w:t>
      </w:r>
    </w:p>
  </w:footnote>
  <w:footnote w:id="45">
    <w:p w14:paraId="55282D47" w14:textId="36D085C8" w:rsidR="002D6187" w:rsidRDefault="002D6187">
      <w:pPr>
        <w:pStyle w:val="Fotnotstext"/>
      </w:pPr>
      <w:r>
        <w:rPr>
          <w:rStyle w:val="Fotnotsreferens"/>
        </w:rPr>
        <w:footnoteRef/>
      </w:r>
      <w:r>
        <w:t xml:space="preserve"> </w:t>
      </w:r>
      <w:r w:rsidRPr="003E67AC">
        <w:t>https://www.solleftea.se/Kommun--politik/kommun--politik-nyheter/kommun--politik/2025-03-17-solleftea-kommun-vander-sig-till-staten-for-att-sakra-akutvard-och-totalforsvar</w:t>
      </w:r>
      <w:r w:rsidR="000C79F6">
        <w:t>.</w:t>
      </w:r>
      <w:r>
        <w:t xml:space="preserve"> </w:t>
      </w:r>
    </w:p>
  </w:footnote>
  <w:footnote w:id="46">
    <w:p w14:paraId="748496AD" w14:textId="77777777" w:rsidR="00B13DCA" w:rsidRDefault="00B13DCA" w:rsidP="00B13DCA">
      <w:pPr>
        <w:pStyle w:val="Fotnotstext"/>
      </w:pPr>
      <w:r>
        <w:rPr>
          <w:rStyle w:val="Fotnotsreferens"/>
        </w:rPr>
        <w:footnoteRef/>
      </w:r>
      <w:r>
        <w:t xml:space="preserve"> Statligt stöd till kommunal vuxenutbildning ökas med 200 miljoner kronor och till yrkeshögskoleutbildning med 320 miljoner kronor. Studiemedel utökas med 188 miljoner kronor. Satsningen uppgår sammantaget till 709 miljoner kronor.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02BF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8240" behindDoc="0" locked="0" layoutInCell="1" allowOverlap="1" wp14:anchorId="4BB7E47B" wp14:editId="68C527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C4737E6" w14:textId="5CBD1880" w:rsidR="00262EA3" w:rsidRDefault="00714E95" w:rsidP="008103B5">
                          <w:pPr>
                            <w:jc w:val="right"/>
                          </w:pPr>
                          <w:sdt>
                            <w:sdtPr>
                              <w:alias w:val="CC_Noformat_Partikod"/>
                              <w:tag w:val="CC_Noformat_Partikod"/>
                              <w:id w:val="-53464382"/>
                              <w:text/>
                            </w:sdtPr>
                            <w:sdtEndPr/>
                            <w:sdtContent>
                              <w:r w:rsidR="003D2050">
                                <w:t>V</w:t>
                              </w:r>
                            </w:sdtContent>
                          </w:sdt>
                          <w:sdt>
                            <w:sdtPr>
                              <w:alias w:val="CC_Noformat_Partinummer"/>
                              <w:tag w:val="CC_Noformat_Partinummer"/>
                              <w:id w:val="-1709555926"/>
                              <w:text/>
                            </w:sdtPr>
                            <w:sdtEndPr/>
                            <w:sdtContent>
                              <w:r w:rsidR="00EE74AC">
                                <w:t>058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B7E47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58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C4737E6" w14:textId="5CBD1880" w:rsidR="00262EA3" w:rsidRDefault="00714E95" w:rsidP="008103B5">
                    <w:pPr>
                      <w:jc w:val="right"/>
                    </w:pPr>
                    <w:sdt>
                      <w:sdtPr>
                        <w:alias w:val="CC_Noformat_Partikod"/>
                        <w:tag w:val="CC_Noformat_Partikod"/>
                        <w:id w:val="-53464382"/>
                        <w:text/>
                      </w:sdtPr>
                      <w:sdtEndPr/>
                      <w:sdtContent>
                        <w:r w:rsidR="003D2050">
                          <w:t>V</w:t>
                        </w:r>
                      </w:sdtContent>
                    </w:sdt>
                    <w:sdt>
                      <w:sdtPr>
                        <w:alias w:val="CC_Noformat_Partinummer"/>
                        <w:tag w:val="CC_Noformat_Partinummer"/>
                        <w:id w:val="-1709555926"/>
                        <w:text/>
                      </w:sdtPr>
                      <w:sdtEndPr/>
                      <w:sdtContent>
                        <w:r w:rsidR="00EE74AC">
                          <w:t>058</w:t>
                        </w:r>
                      </w:sdtContent>
                    </w:sdt>
                  </w:p>
                </w:txbxContent>
              </v:textbox>
              <w10:wrap anchorx="page"/>
            </v:shape>
          </w:pict>
        </mc:Fallback>
      </mc:AlternateContent>
    </w:r>
  </w:p>
  <w:p w14:paraId="5952F1B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AAE1C" w14:textId="77777777" w:rsidR="00262EA3" w:rsidRDefault="00262EA3" w:rsidP="008563AC">
    <w:pPr>
      <w:jc w:val="right"/>
    </w:pPr>
  </w:p>
  <w:p w14:paraId="731632B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979C5" w14:textId="77777777" w:rsidR="00262EA3" w:rsidRDefault="00714E9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1" behindDoc="0" locked="0" layoutInCell="1" allowOverlap="1" wp14:anchorId="6E87BF78" wp14:editId="68C9441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5F13E26" w14:textId="0CFC7A2C" w:rsidR="00262EA3" w:rsidRDefault="00714E95" w:rsidP="00A314CF">
    <w:pPr>
      <w:pStyle w:val="FSHNormal"/>
      <w:spacing w:before="40"/>
    </w:pPr>
    <w:sdt>
      <w:sdtPr>
        <w:alias w:val="CC_Noformat_Motionstyp"/>
        <w:tag w:val="CC_Noformat_Motionstyp"/>
        <w:id w:val="1162973129"/>
        <w:lock w:val="sdtContentLocked"/>
        <w15:appearance w15:val="hidden"/>
        <w:text/>
      </w:sdtPr>
      <w:sdtEndPr/>
      <w:sdtContent>
        <w:r w:rsidR="003E67AC">
          <w:t>Partimotion</w:t>
        </w:r>
      </w:sdtContent>
    </w:sdt>
    <w:r w:rsidR="00821B36">
      <w:t xml:space="preserve"> </w:t>
    </w:r>
    <w:sdt>
      <w:sdtPr>
        <w:alias w:val="CC_Noformat_Partikod"/>
        <w:tag w:val="CC_Noformat_Partikod"/>
        <w:id w:val="1471015553"/>
        <w:text/>
      </w:sdtPr>
      <w:sdtEndPr/>
      <w:sdtContent>
        <w:r w:rsidR="003D2050">
          <w:t>V</w:t>
        </w:r>
      </w:sdtContent>
    </w:sdt>
    <w:sdt>
      <w:sdtPr>
        <w:alias w:val="CC_Noformat_Partinummer"/>
        <w:tag w:val="CC_Noformat_Partinummer"/>
        <w:id w:val="-2014525982"/>
        <w:text/>
      </w:sdtPr>
      <w:sdtEndPr/>
      <w:sdtContent>
        <w:r w:rsidR="00EE74AC">
          <w:t>058</w:t>
        </w:r>
      </w:sdtContent>
    </w:sdt>
  </w:p>
  <w:p w14:paraId="72EA31DC" w14:textId="77777777" w:rsidR="00262EA3" w:rsidRPr="008227B3" w:rsidRDefault="00714E9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D87C101" w14:textId="64B92C41" w:rsidR="00262EA3" w:rsidRPr="008227B3" w:rsidRDefault="00714E9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E67AC">
          <w:t>2024/25</w:t>
        </w:r>
      </w:sdtContent>
    </w:sdt>
    <w:sdt>
      <w:sdtPr>
        <w:rPr>
          <w:rStyle w:val="BeteckningChar"/>
        </w:rPr>
        <w:alias w:val="CC_Noformat_Partibet"/>
        <w:tag w:val="CC_Noformat_Partibet"/>
        <w:id w:val="405810658"/>
        <w:lock w:val="sdtContentLocked"/>
        <w:placeholder>
          <w:docPart w:val="2A83735578094CD5839CD6B3CA4F87BE"/>
        </w:placeholder>
        <w:showingPlcHdr/>
        <w15:appearance w15:val="hidden"/>
        <w:text/>
      </w:sdtPr>
      <w:sdtEndPr>
        <w:rPr>
          <w:rStyle w:val="Rubrik1Char"/>
          <w:rFonts w:asciiTheme="majorHAnsi" w:hAnsiTheme="majorHAnsi"/>
          <w:sz w:val="38"/>
        </w:rPr>
      </w:sdtEndPr>
      <w:sdtContent>
        <w:r w:rsidR="003E67AC">
          <w:t>:3413</w:t>
        </w:r>
      </w:sdtContent>
    </w:sdt>
  </w:p>
  <w:p w14:paraId="7C041568" w14:textId="79454FED" w:rsidR="00262EA3" w:rsidRDefault="00714E95" w:rsidP="00E03A3D">
    <w:pPr>
      <w:pStyle w:val="Motionr"/>
    </w:pPr>
    <w:sdt>
      <w:sdtPr>
        <w:alias w:val="CC_Noformat_Avtext"/>
        <w:tag w:val="CC_Noformat_Avtext"/>
        <w:id w:val="-2020768203"/>
        <w:lock w:val="sdtContentLocked"/>
        <w15:appearance w15:val="hidden"/>
        <w:text/>
      </w:sdtPr>
      <w:sdtEndPr/>
      <w:sdtContent>
        <w:r w:rsidR="003E67AC">
          <w:t>av Nooshi Dadgostar m.fl. (V)</w:t>
        </w:r>
      </w:sdtContent>
    </w:sdt>
  </w:p>
  <w:sdt>
    <w:sdtPr>
      <w:alias w:val="CC_Noformat_Rubtext"/>
      <w:tag w:val="CC_Noformat_Rubtext"/>
      <w:id w:val="-218060500"/>
      <w:lock w:val="sdtLocked"/>
      <w:text/>
    </w:sdtPr>
    <w:sdtEndPr/>
    <w:sdtContent>
      <w:p w14:paraId="43B63303" w14:textId="293F7359" w:rsidR="00262EA3" w:rsidRDefault="003D2050" w:rsidP="00283E0F">
        <w:pPr>
          <w:pStyle w:val="FSHRub2"/>
        </w:pPr>
        <w:r>
          <w:t>med anledning av prop. 2024/25:100 2025 års ekonomiska vårproposition</w:t>
        </w:r>
      </w:p>
    </w:sdtContent>
  </w:sdt>
  <w:sdt>
    <w:sdtPr>
      <w:alias w:val="CC_Boilerplate_3"/>
      <w:tag w:val="CC_Boilerplate_3"/>
      <w:id w:val="1606463544"/>
      <w:lock w:val="sdtContentLocked"/>
      <w15:appearance w15:val="hidden"/>
      <w:text w:multiLine="1"/>
    </w:sdtPr>
    <w:sdtEndPr/>
    <w:sdtContent>
      <w:p w14:paraId="3FCFDA3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B0A8A142"/>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FE9EB5EC"/>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2950D71"/>
    <w:multiLevelType w:val="multilevel"/>
    <w:tmpl w:val="2FC28646"/>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BAC12E9"/>
    <w:multiLevelType w:val="hybridMultilevel"/>
    <w:tmpl w:val="64B03DA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3F90834"/>
    <w:multiLevelType w:val="multilevel"/>
    <w:tmpl w:val="5E0431AE"/>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0"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
  </w:num>
  <w:num w:numId="2">
    <w:abstractNumId w:val="0"/>
  </w:num>
  <w:num w:numId="3">
    <w:abstractNumId w:val="6"/>
  </w:num>
  <w:num w:numId="4">
    <w:abstractNumId w:val="4"/>
  </w:num>
  <w:num w:numId="5">
    <w:abstractNumId w:val="7"/>
  </w:num>
  <w:num w:numId="6">
    <w:abstractNumId w:val="2"/>
  </w:num>
  <w:num w:numId="7">
    <w:abstractNumId w:val="3"/>
  </w:num>
  <w:num w:numId="8">
    <w:abstractNumId w:val="5"/>
  </w:num>
  <w:num w:numId="9">
    <w:abstractNumId w:val="10"/>
  </w:num>
  <w:num w:numId="10">
    <w:abstractNumId w:val="9"/>
  </w:num>
  <w:num w:numId="11">
    <w:abstractNumId w:val="8"/>
  </w:num>
  <w:num w:numId="12">
    <w:abstractNumId w:val="4"/>
  </w:num>
  <w:num w:numId="13">
    <w:abstractNumId w:val="3"/>
  </w:num>
  <w:num w:numId="14">
    <w:abstractNumId w:val="8"/>
  </w:num>
  <w:num w:numId="15">
    <w:abstractNumId w:val="2"/>
  </w:num>
  <w:num w:numId="16">
    <w:abstractNumId w:val="5"/>
  </w:num>
  <w:num w:numId="17">
    <w:abstractNumId w:val="10"/>
  </w:num>
  <w:num w:numId="18">
    <w:abstractNumId w:val="9"/>
  </w:num>
  <w:num w:numId="19">
    <w:abstractNumId w:val="10"/>
  </w:num>
  <w:num w:numId="20">
    <w:abstractNumId w:val="9"/>
  </w:num>
  <w:num w:numId="21">
    <w:abstractNumId w:val="0"/>
  </w:num>
  <w:num w:numId="22">
    <w:abstractNumId w:val="1"/>
  </w:num>
  <w:num w:numId="23">
    <w:abstractNumId w:val="7"/>
  </w:num>
  <w:num w:numId="24">
    <w:abstractNumId w:val="7"/>
  </w:num>
  <w:num w:numId="25">
    <w:abstractNumId w:val="7"/>
  </w:num>
  <w:num w:numId="26">
    <w:abstractNumId w:val="7"/>
  </w:num>
  <w:num w:numId="27">
    <w:abstractNumId w:val="6"/>
  </w:num>
  <w:num w:numId="28">
    <w:abstractNumId w:val="7"/>
  </w:num>
  <w:num w:numId="29">
    <w:abstractNumId w:val="7"/>
  </w:num>
  <w:num w:numId="30">
    <w:abstractNumId w:val="7"/>
  </w:num>
  <w:num w:numId="31">
    <w:abstractNumId w:val="7"/>
  </w:num>
  <w:num w:numId="32">
    <w:abstractNumId w:val="7"/>
  </w:num>
  <w:num w:numId="33">
    <w:abstractNumId w:val="7"/>
  </w:num>
  <w:num w:numId="34">
    <w:abstractNumId w:val="7"/>
  </w:num>
  <w:num w:numId="35">
    <w:abstractNumId w:val="7"/>
  </w:num>
  <w:num w:numId="36">
    <w:abstractNumId w:val="7"/>
  </w:num>
  <w:num w:numId="37">
    <w:abstractNumId w:val="7"/>
  </w:num>
  <w:num w:numId="38">
    <w:abstractNumId w:val="7"/>
  </w:num>
  <w:num w:numId="39">
    <w:abstractNumId w:val="7"/>
  </w:num>
  <w:num w:numId="40">
    <w:abstractNumId w:val="7"/>
  </w:num>
  <w:num w:numId="41">
    <w:abstractNumId w:val="7"/>
  </w:num>
  <w:num w:numId="42">
    <w:abstractNumId w:val="7"/>
  </w:num>
  <w:num w:numId="43">
    <w:abstractNumId w:val="7"/>
  </w:num>
  <w:num w:numId="44">
    <w:abstractNumId w:val="7"/>
  </w:num>
  <w:num w:numId="45">
    <w:abstractNumId w:val="7"/>
  </w:num>
  <w:num w:numId="46">
    <w:abstractNumId w:val="7"/>
  </w:num>
  <w:num w:numId="47">
    <w:abstractNumId w:val="7"/>
  </w:num>
  <w:num w:numId="48">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D2050"/>
    <w:rsid w:val="000000E0"/>
    <w:rsid w:val="00000761"/>
    <w:rsid w:val="00001352"/>
    <w:rsid w:val="000014AF"/>
    <w:rsid w:val="00001B00"/>
    <w:rsid w:val="000021C0"/>
    <w:rsid w:val="00002310"/>
    <w:rsid w:val="00002CB4"/>
    <w:rsid w:val="000030B6"/>
    <w:rsid w:val="000031C9"/>
    <w:rsid w:val="00003CCB"/>
    <w:rsid w:val="00003F79"/>
    <w:rsid w:val="0000412E"/>
    <w:rsid w:val="00004250"/>
    <w:rsid w:val="000043C1"/>
    <w:rsid w:val="0000461E"/>
    <w:rsid w:val="00004971"/>
    <w:rsid w:val="00004F03"/>
    <w:rsid w:val="000055B5"/>
    <w:rsid w:val="00006BF0"/>
    <w:rsid w:val="00006D7E"/>
    <w:rsid w:val="00007329"/>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028"/>
    <w:rsid w:val="00012EAF"/>
    <w:rsid w:val="000132DC"/>
    <w:rsid w:val="00014034"/>
    <w:rsid w:val="00014823"/>
    <w:rsid w:val="00014F39"/>
    <w:rsid w:val="00015064"/>
    <w:rsid w:val="00015205"/>
    <w:rsid w:val="000156D9"/>
    <w:rsid w:val="00015E98"/>
    <w:rsid w:val="000171D9"/>
    <w:rsid w:val="000178B1"/>
    <w:rsid w:val="000200F6"/>
    <w:rsid w:val="0002068F"/>
    <w:rsid w:val="000206FA"/>
    <w:rsid w:val="00022F5C"/>
    <w:rsid w:val="000232AB"/>
    <w:rsid w:val="000240FD"/>
    <w:rsid w:val="00024356"/>
    <w:rsid w:val="000243A4"/>
    <w:rsid w:val="00024712"/>
    <w:rsid w:val="00024921"/>
    <w:rsid w:val="00025359"/>
    <w:rsid w:val="00026034"/>
    <w:rsid w:val="000265CA"/>
    <w:rsid w:val="000265DD"/>
    <w:rsid w:val="000269AE"/>
    <w:rsid w:val="000269D1"/>
    <w:rsid w:val="00026D19"/>
    <w:rsid w:val="0002759A"/>
    <w:rsid w:val="000300BF"/>
    <w:rsid w:val="000301C5"/>
    <w:rsid w:val="00030C4D"/>
    <w:rsid w:val="000311F6"/>
    <w:rsid w:val="000314C1"/>
    <w:rsid w:val="00031AF1"/>
    <w:rsid w:val="00031D4B"/>
    <w:rsid w:val="0003208D"/>
    <w:rsid w:val="0003287D"/>
    <w:rsid w:val="00032A5E"/>
    <w:rsid w:val="00032B68"/>
    <w:rsid w:val="00032D6F"/>
    <w:rsid w:val="00033025"/>
    <w:rsid w:val="00033C04"/>
    <w:rsid w:val="0003417E"/>
    <w:rsid w:val="000356A2"/>
    <w:rsid w:val="00035775"/>
    <w:rsid w:val="00035BF0"/>
    <w:rsid w:val="00036A17"/>
    <w:rsid w:val="00036E35"/>
    <w:rsid w:val="00036E88"/>
    <w:rsid w:val="000370AD"/>
    <w:rsid w:val="00037656"/>
    <w:rsid w:val="00037E4A"/>
    <w:rsid w:val="000405F7"/>
    <w:rsid w:val="000405FF"/>
    <w:rsid w:val="00040E0A"/>
    <w:rsid w:val="00040F34"/>
    <w:rsid w:val="00040F89"/>
    <w:rsid w:val="00041BE8"/>
    <w:rsid w:val="00042A31"/>
    <w:rsid w:val="00042A9E"/>
    <w:rsid w:val="0004311E"/>
    <w:rsid w:val="00043426"/>
    <w:rsid w:val="00043AA9"/>
    <w:rsid w:val="00043F2E"/>
    <w:rsid w:val="000443CA"/>
    <w:rsid w:val="000444CA"/>
    <w:rsid w:val="000452DA"/>
    <w:rsid w:val="00045385"/>
    <w:rsid w:val="00045625"/>
    <w:rsid w:val="0004587D"/>
    <w:rsid w:val="00045B94"/>
    <w:rsid w:val="00045F22"/>
    <w:rsid w:val="000466E4"/>
    <w:rsid w:val="00046AC8"/>
    <w:rsid w:val="00046B18"/>
    <w:rsid w:val="00047777"/>
    <w:rsid w:val="00047CB1"/>
    <w:rsid w:val="00050496"/>
    <w:rsid w:val="00050659"/>
    <w:rsid w:val="00050A98"/>
    <w:rsid w:val="00050B72"/>
    <w:rsid w:val="00050DBC"/>
    <w:rsid w:val="00050F34"/>
    <w:rsid w:val="00051758"/>
    <w:rsid w:val="0005184F"/>
    <w:rsid w:val="00051929"/>
    <w:rsid w:val="0005206D"/>
    <w:rsid w:val="00052A07"/>
    <w:rsid w:val="00053161"/>
    <w:rsid w:val="00053AC8"/>
    <w:rsid w:val="00053B09"/>
    <w:rsid w:val="000542C8"/>
    <w:rsid w:val="00054E07"/>
    <w:rsid w:val="00055933"/>
    <w:rsid w:val="00055B43"/>
    <w:rsid w:val="0005734F"/>
    <w:rsid w:val="0005742D"/>
    <w:rsid w:val="000577E2"/>
    <w:rsid w:val="000600D6"/>
    <w:rsid w:val="0006032F"/>
    <w:rsid w:val="0006039A"/>
    <w:rsid w:val="000603CF"/>
    <w:rsid w:val="0006043F"/>
    <w:rsid w:val="0006152F"/>
    <w:rsid w:val="00061E36"/>
    <w:rsid w:val="0006230B"/>
    <w:rsid w:val="000628CF"/>
    <w:rsid w:val="0006339B"/>
    <w:rsid w:val="0006339D"/>
    <w:rsid w:val="0006386B"/>
    <w:rsid w:val="000642C6"/>
    <w:rsid w:val="0006435B"/>
    <w:rsid w:val="00064AE2"/>
    <w:rsid w:val="00064CB8"/>
    <w:rsid w:val="00065134"/>
    <w:rsid w:val="00065361"/>
    <w:rsid w:val="000654F6"/>
    <w:rsid w:val="0006565A"/>
    <w:rsid w:val="0006570C"/>
    <w:rsid w:val="0006571A"/>
    <w:rsid w:val="000657F7"/>
    <w:rsid w:val="00065CDF"/>
    <w:rsid w:val="00065CE6"/>
    <w:rsid w:val="00065F84"/>
    <w:rsid w:val="00065FED"/>
    <w:rsid w:val="0006753D"/>
    <w:rsid w:val="0006767D"/>
    <w:rsid w:val="00067C0A"/>
    <w:rsid w:val="00070A5C"/>
    <w:rsid w:val="000710A5"/>
    <w:rsid w:val="00071630"/>
    <w:rsid w:val="00071671"/>
    <w:rsid w:val="000719B7"/>
    <w:rsid w:val="000721ED"/>
    <w:rsid w:val="0007242C"/>
    <w:rsid w:val="000724B8"/>
    <w:rsid w:val="00072835"/>
    <w:rsid w:val="0007290B"/>
    <w:rsid w:val="000732C2"/>
    <w:rsid w:val="000734AE"/>
    <w:rsid w:val="00073DBB"/>
    <w:rsid w:val="000743FF"/>
    <w:rsid w:val="00074588"/>
    <w:rsid w:val="00074A5A"/>
    <w:rsid w:val="000756EB"/>
    <w:rsid w:val="00075A92"/>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619"/>
    <w:rsid w:val="00084A52"/>
    <w:rsid w:val="00084C74"/>
    <w:rsid w:val="00084CE8"/>
    <w:rsid w:val="00084E2A"/>
    <w:rsid w:val="00084E38"/>
    <w:rsid w:val="000853CB"/>
    <w:rsid w:val="000859E4"/>
    <w:rsid w:val="00086446"/>
    <w:rsid w:val="000865B6"/>
    <w:rsid w:val="0008692C"/>
    <w:rsid w:val="00086B78"/>
    <w:rsid w:val="00087231"/>
    <w:rsid w:val="00087C17"/>
    <w:rsid w:val="00087CF5"/>
    <w:rsid w:val="00090064"/>
    <w:rsid w:val="000908BE"/>
    <w:rsid w:val="000909BE"/>
    <w:rsid w:val="00091064"/>
    <w:rsid w:val="00091476"/>
    <w:rsid w:val="00091494"/>
    <w:rsid w:val="00091A21"/>
    <w:rsid w:val="00091B70"/>
    <w:rsid w:val="00093636"/>
    <w:rsid w:val="00093646"/>
    <w:rsid w:val="00093A1E"/>
    <w:rsid w:val="00093F48"/>
    <w:rsid w:val="0009440B"/>
    <w:rsid w:val="000949AC"/>
    <w:rsid w:val="000949EC"/>
    <w:rsid w:val="00094A50"/>
    <w:rsid w:val="00094A68"/>
    <w:rsid w:val="00094AC0"/>
    <w:rsid w:val="00094BFD"/>
    <w:rsid w:val="000953C2"/>
    <w:rsid w:val="0009550E"/>
    <w:rsid w:val="00095639"/>
    <w:rsid w:val="00095B69"/>
    <w:rsid w:val="000968B2"/>
    <w:rsid w:val="000A06E9"/>
    <w:rsid w:val="000A1014"/>
    <w:rsid w:val="000A14BB"/>
    <w:rsid w:val="000A19A5"/>
    <w:rsid w:val="000A1D1D"/>
    <w:rsid w:val="000A2547"/>
    <w:rsid w:val="000A2668"/>
    <w:rsid w:val="000A2A4A"/>
    <w:rsid w:val="000A31FB"/>
    <w:rsid w:val="000A3770"/>
    <w:rsid w:val="000A3A14"/>
    <w:rsid w:val="000A4671"/>
    <w:rsid w:val="000A4821"/>
    <w:rsid w:val="000A4FED"/>
    <w:rsid w:val="000A52B8"/>
    <w:rsid w:val="000A620B"/>
    <w:rsid w:val="000A6935"/>
    <w:rsid w:val="000A6F87"/>
    <w:rsid w:val="000B18BF"/>
    <w:rsid w:val="000B224B"/>
    <w:rsid w:val="000B22C0"/>
    <w:rsid w:val="000B291A"/>
    <w:rsid w:val="000B2D00"/>
    <w:rsid w:val="000B2DAD"/>
    <w:rsid w:val="000B2E6B"/>
    <w:rsid w:val="000B3279"/>
    <w:rsid w:val="000B3BB1"/>
    <w:rsid w:val="000B3D5A"/>
    <w:rsid w:val="000B4478"/>
    <w:rsid w:val="000B472D"/>
    <w:rsid w:val="000B480A"/>
    <w:rsid w:val="000B4C07"/>
    <w:rsid w:val="000B4FD1"/>
    <w:rsid w:val="000B559E"/>
    <w:rsid w:val="000B5A17"/>
    <w:rsid w:val="000B5BD0"/>
    <w:rsid w:val="000B5FA9"/>
    <w:rsid w:val="000B60DC"/>
    <w:rsid w:val="000B612A"/>
    <w:rsid w:val="000B6150"/>
    <w:rsid w:val="000B63F4"/>
    <w:rsid w:val="000B680E"/>
    <w:rsid w:val="000B79EA"/>
    <w:rsid w:val="000C032A"/>
    <w:rsid w:val="000C1544"/>
    <w:rsid w:val="000C1CAD"/>
    <w:rsid w:val="000C2438"/>
    <w:rsid w:val="000C25D7"/>
    <w:rsid w:val="000C2779"/>
    <w:rsid w:val="000C28AB"/>
    <w:rsid w:val="000C29FB"/>
    <w:rsid w:val="000C2EF9"/>
    <w:rsid w:val="000C34E6"/>
    <w:rsid w:val="000C4195"/>
    <w:rsid w:val="000C4251"/>
    <w:rsid w:val="000C43B1"/>
    <w:rsid w:val="000C4AA9"/>
    <w:rsid w:val="000C4C95"/>
    <w:rsid w:val="000C4D65"/>
    <w:rsid w:val="000C4F8A"/>
    <w:rsid w:val="000C56E2"/>
    <w:rsid w:val="000C57A3"/>
    <w:rsid w:val="000C5873"/>
    <w:rsid w:val="000C58E3"/>
    <w:rsid w:val="000C5962"/>
    <w:rsid w:val="000C5DA7"/>
    <w:rsid w:val="000C5DCB"/>
    <w:rsid w:val="000C6478"/>
    <w:rsid w:val="000C6623"/>
    <w:rsid w:val="000C6A22"/>
    <w:rsid w:val="000C7548"/>
    <w:rsid w:val="000C77B4"/>
    <w:rsid w:val="000C79F6"/>
    <w:rsid w:val="000D1089"/>
    <w:rsid w:val="000D10B4"/>
    <w:rsid w:val="000D121B"/>
    <w:rsid w:val="000D128E"/>
    <w:rsid w:val="000D147F"/>
    <w:rsid w:val="000D2039"/>
    <w:rsid w:val="000D2097"/>
    <w:rsid w:val="000D2101"/>
    <w:rsid w:val="000D23A4"/>
    <w:rsid w:val="000D298A"/>
    <w:rsid w:val="000D30D6"/>
    <w:rsid w:val="000D3A36"/>
    <w:rsid w:val="000D3A56"/>
    <w:rsid w:val="000D43D1"/>
    <w:rsid w:val="000D44D2"/>
    <w:rsid w:val="000D4796"/>
    <w:rsid w:val="000D48DD"/>
    <w:rsid w:val="000D49DD"/>
    <w:rsid w:val="000D4D53"/>
    <w:rsid w:val="000D5030"/>
    <w:rsid w:val="000D51C0"/>
    <w:rsid w:val="000D5A8B"/>
    <w:rsid w:val="000D6584"/>
    <w:rsid w:val="000D69BA"/>
    <w:rsid w:val="000D7351"/>
    <w:rsid w:val="000D7A5F"/>
    <w:rsid w:val="000E06CC"/>
    <w:rsid w:val="000E0B3A"/>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6B5"/>
    <w:rsid w:val="000E7114"/>
    <w:rsid w:val="000E712B"/>
    <w:rsid w:val="000E718F"/>
    <w:rsid w:val="000E79FF"/>
    <w:rsid w:val="000E7A08"/>
    <w:rsid w:val="000E7B4D"/>
    <w:rsid w:val="000E7D17"/>
    <w:rsid w:val="000F05D9"/>
    <w:rsid w:val="000F1549"/>
    <w:rsid w:val="000F18CF"/>
    <w:rsid w:val="000F194A"/>
    <w:rsid w:val="000F1E4C"/>
    <w:rsid w:val="000F1F75"/>
    <w:rsid w:val="000F2CA8"/>
    <w:rsid w:val="000F3030"/>
    <w:rsid w:val="000F3685"/>
    <w:rsid w:val="000F4105"/>
    <w:rsid w:val="000F4411"/>
    <w:rsid w:val="000F4ECF"/>
    <w:rsid w:val="000F527F"/>
    <w:rsid w:val="000F5329"/>
    <w:rsid w:val="000F5B00"/>
    <w:rsid w:val="000F5CF0"/>
    <w:rsid w:val="000F5DE8"/>
    <w:rsid w:val="000F6943"/>
    <w:rsid w:val="000F6FC9"/>
    <w:rsid w:val="000F7AD0"/>
    <w:rsid w:val="000F7BDA"/>
    <w:rsid w:val="0010013B"/>
    <w:rsid w:val="00100D0D"/>
    <w:rsid w:val="00100EC4"/>
    <w:rsid w:val="001012A0"/>
    <w:rsid w:val="00101E78"/>
    <w:rsid w:val="00101FEF"/>
    <w:rsid w:val="001020F3"/>
    <w:rsid w:val="00102143"/>
    <w:rsid w:val="00102980"/>
    <w:rsid w:val="00103567"/>
    <w:rsid w:val="0010386F"/>
    <w:rsid w:val="00103C35"/>
    <w:rsid w:val="0010493C"/>
    <w:rsid w:val="00104ACE"/>
    <w:rsid w:val="00104F19"/>
    <w:rsid w:val="0010500E"/>
    <w:rsid w:val="00105035"/>
    <w:rsid w:val="0010535A"/>
    <w:rsid w:val="0010544C"/>
    <w:rsid w:val="0010587C"/>
    <w:rsid w:val="00105DEF"/>
    <w:rsid w:val="00106455"/>
    <w:rsid w:val="00106BFE"/>
    <w:rsid w:val="00106C22"/>
    <w:rsid w:val="00107B3A"/>
    <w:rsid w:val="00107DE7"/>
    <w:rsid w:val="00110680"/>
    <w:rsid w:val="00110BFD"/>
    <w:rsid w:val="00110CF9"/>
    <w:rsid w:val="0011115F"/>
    <w:rsid w:val="001112E7"/>
    <w:rsid w:val="00111AF5"/>
    <w:rsid w:val="00111D52"/>
    <w:rsid w:val="00111E99"/>
    <w:rsid w:val="00112283"/>
    <w:rsid w:val="001127BC"/>
    <w:rsid w:val="001128E4"/>
    <w:rsid w:val="00112A07"/>
    <w:rsid w:val="00112B91"/>
    <w:rsid w:val="00112BC4"/>
    <w:rsid w:val="00113966"/>
    <w:rsid w:val="0011426C"/>
    <w:rsid w:val="001148B1"/>
    <w:rsid w:val="00114BDF"/>
    <w:rsid w:val="00114C71"/>
    <w:rsid w:val="00114CAC"/>
    <w:rsid w:val="00114ED6"/>
    <w:rsid w:val="001152A4"/>
    <w:rsid w:val="001153D8"/>
    <w:rsid w:val="00115783"/>
    <w:rsid w:val="00116172"/>
    <w:rsid w:val="001168DE"/>
    <w:rsid w:val="00116AF0"/>
    <w:rsid w:val="00116CAF"/>
    <w:rsid w:val="00116EC0"/>
    <w:rsid w:val="00116EED"/>
    <w:rsid w:val="00117500"/>
    <w:rsid w:val="0011766F"/>
    <w:rsid w:val="00117F43"/>
    <w:rsid w:val="00120422"/>
    <w:rsid w:val="001214B7"/>
    <w:rsid w:val="00121851"/>
    <w:rsid w:val="00121C4A"/>
    <w:rsid w:val="0012239C"/>
    <w:rsid w:val="001225BD"/>
    <w:rsid w:val="00122A01"/>
    <w:rsid w:val="00122A74"/>
    <w:rsid w:val="001236A1"/>
    <w:rsid w:val="0012443D"/>
    <w:rsid w:val="001244FE"/>
    <w:rsid w:val="00124543"/>
    <w:rsid w:val="001247ED"/>
    <w:rsid w:val="00124ACE"/>
    <w:rsid w:val="00124ED7"/>
    <w:rsid w:val="0012605F"/>
    <w:rsid w:val="001264D1"/>
    <w:rsid w:val="00130490"/>
    <w:rsid w:val="00130A61"/>
    <w:rsid w:val="00130FEC"/>
    <w:rsid w:val="0013132A"/>
    <w:rsid w:val="00131549"/>
    <w:rsid w:val="00131DB5"/>
    <w:rsid w:val="001332AB"/>
    <w:rsid w:val="00133BE2"/>
    <w:rsid w:val="0013458A"/>
    <w:rsid w:val="001347F9"/>
    <w:rsid w:val="00134800"/>
    <w:rsid w:val="001354CF"/>
    <w:rsid w:val="0013597D"/>
    <w:rsid w:val="00135E5D"/>
    <w:rsid w:val="001364A1"/>
    <w:rsid w:val="00136BC5"/>
    <w:rsid w:val="0013783E"/>
    <w:rsid w:val="00137D27"/>
    <w:rsid w:val="00137DC4"/>
    <w:rsid w:val="00137E1A"/>
    <w:rsid w:val="001400BB"/>
    <w:rsid w:val="001401C5"/>
    <w:rsid w:val="00140735"/>
    <w:rsid w:val="00140AEC"/>
    <w:rsid w:val="00140AFA"/>
    <w:rsid w:val="00140E5E"/>
    <w:rsid w:val="00141C2A"/>
    <w:rsid w:val="00142005"/>
    <w:rsid w:val="0014285A"/>
    <w:rsid w:val="00142AAA"/>
    <w:rsid w:val="00142DD3"/>
    <w:rsid w:val="00143632"/>
    <w:rsid w:val="0014397F"/>
    <w:rsid w:val="00143D44"/>
    <w:rsid w:val="001447DF"/>
    <w:rsid w:val="0014498E"/>
    <w:rsid w:val="00144BFE"/>
    <w:rsid w:val="0014567E"/>
    <w:rsid w:val="00145A48"/>
    <w:rsid w:val="00145DC2"/>
    <w:rsid w:val="00146B8E"/>
    <w:rsid w:val="00146DB1"/>
    <w:rsid w:val="00147063"/>
    <w:rsid w:val="001473A6"/>
    <w:rsid w:val="0014776C"/>
    <w:rsid w:val="00147882"/>
    <w:rsid w:val="00147EBC"/>
    <w:rsid w:val="00147FC5"/>
    <w:rsid w:val="001500C1"/>
    <w:rsid w:val="00150446"/>
    <w:rsid w:val="001505BE"/>
    <w:rsid w:val="0015142D"/>
    <w:rsid w:val="00151546"/>
    <w:rsid w:val="00151A73"/>
    <w:rsid w:val="00151EA2"/>
    <w:rsid w:val="001522FD"/>
    <w:rsid w:val="001532BF"/>
    <w:rsid w:val="0015385D"/>
    <w:rsid w:val="001544D6"/>
    <w:rsid w:val="001545B9"/>
    <w:rsid w:val="00155B78"/>
    <w:rsid w:val="00155FF0"/>
    <w:rsid w:val="0015610E"/>
    <w:rsid w:val="00156380"/>
    <w:rsid w:val="00156688"/>
    <w:rsid w:val="001567C6"/>
    <w:rsid w:val="00156FB3"/>
    <w:rsid w:val="0015741F"/>
    <w:rsid w:val="00157681"/>
    <w:rsid w:val="00160034"/>
    <w:rsid w:val="00160091"/>
    <w:rsid w:val="001600AA"/>
    <w:rsid w:val="00160908"/>
    <w:rsid w:val="00160AE9"/>
    <w:rsid w:val="0016163F"/>
    <w:rsid w:val="00161CD5"/>
    <w:rsid w:val="00161EC6"/>
    <w:rsid w:val="00161F7C"/>
    <w:rsid w:val="00162B7C"/>
    <w:rsid w:val="00162EFD"/>
    <w:rsid w:val="0016354B"/>
    <w:rsid w:val="00163563"/>
    <w:rsid w:val="00163AAF"/>
    <w:rsid w:val="0016444A"/>
    <w:rsid w:val="00164B94"/>
    <w:rsid w:val="00164C00"/>
    <w:rsid w:val="00164E67"/>
    <w:rsid w:val="001654D5"/>
    <w:rsid w:val="00165549"/>
    <w:rsid w:val="00165805"/>
    <w:rsid w:val="00165E55"/>
    <w:rsid w:val="001660EA"/>
    <w:rsid w:val="0016692F"/>
    <w:rsid w:val="0016706E"/>
    <w:rsid w:val="00167246"/>
    <w:rsid w:val="001679A5"/>
    <w:rsid w:val="00167A54"/>
    <w:rsid w:val="00167B25"/>
    <w:rsid w:val="00167B65"/>
    <w:rsid w:val="00167DA4"/>
    <w:rsid w:val="001701C2"/>
    <w:rsid w:val="00170469"/>
    <w:rsid w:val="0017077B"/>
    <w:rsid w:val="00170E70"/>
    <w:rsid w:val="001712D6"/>
    <w:rsid w:val="001718AD"/>
    <w:rsid w:val="001721ED"/>
    <w:rsid w:val="00172B6A"/>
    <w:rsid w:val="001731C7"/>
    <w:rsid w:val="001734CF"/>
    <w:rsid w:val="001738E6"/>
    <w:rsid w:val="00173D59"/>
    <w:rsid w:val="00173DFF"/>
    <w:rsid w:val="001740FA"/>
    <w:rsid w:val="00174454"/>
    <w:rsid w:val="001748A6"/>
    <w:rsid w:val="001749E1"/>
    <w:rsid w:val="001751B0"/>
    <w:rsid w:val="001753AD"/>
    <w:rsid w:val="00175515"/>
    <w:rsid w:val="00175F8E"/>
    <w:rsid w:val="00176706"/>
    <w:rsid w:val="001769E6"/>
    <w:rsid w:val="00176B36"/>
    <w:rsid w:val="0017746C"/>
    <w:rsid w:val="00177678"/>
    <w:rsid w:val="001776B8"/>
    <w:rsid w:val="001801B7"/>
    <w:rsid w:val="0018024E"/>
    <w:rsid w:val="00181E69"/>
    <w:rsid w:val="00182F4B"/>
    <w:rsid w:val="00182F7B"/>
    <w:rsid w:val="001839DB"/>
    <w:rsid w:val="00184516"/>
    <w:rsid w:val="0018464C"/>
    <w:rsid w:val="00184FBC"/>
    <w:rsid w:val="00185671"/>
    <w:rsid w:val="00185B0C"/>
    <w:rsid w:val="00185D30"/>
    <w:rsid w:val="00185F89"/>
    <w:rsid w:val="001869FD"/>
    <w:rsid w:val="00186CE7"/>
    <w:rsid w:val="00187097"/>
    <w:rsid w:val="00187818"/>
    <w:rsid w:val="001878AB"/>
    <w:rsid w:val="001878F9"/>
    <w:rsid w:val="00187CED"/>
    <w:rsid w:val="001908EC"/>
    <w:rsid w:val="00190ADD"/>
    <w:rsid w:val="00190E1F"/>
    <w:rsid w:val="00190EE2"/>
    <w:rsid w:val="00190FF5"/>
    <w:rsid w:val="0019105C"/>
    <w:rsid w:val="00191EA5"/>
    <w:rsid w:val="00191F20"/>
    <w:rsid w:val="001922FC"/>
    <w:rsid w:val="001924C1"/>
    <w:rsid w:val="001925FB"/>
    <w:rsid w:val="00192707"/>
    <w:rsid w:val="00192E2B"/>
    <w:rsid w:val="001931F3"/>
    <w:rsid w:val="00193644"/>
    <w:rsid w:val="00193973"/>
    <w:rsid w:val="00193B6B"/>
    <w:rsid w:val="00193F8E"/>
    <w:rsid w:val="00194693"/>
    <w:rsid w:val="00194A96"/>
    <w:rsid w:val="00194ACE"/>
    <w:rsid w:val="00194E0E"/>
    <w:rsid w:val="001950ED"/>
    <w:rsid w:val="00195150"/>
    <w:rsid w:val="001954DF"/>
    <w:rsid w:val="0019582A"/>
    <w:rsid w:val="00195E9F"/>
    <w:rsid w:val="00196358"/>
    <w:rsid w:val="001963A9"/>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544F"/>
    <w:rsid w:val="001B643B"/>
    <w:rsid w:val="001B6645"/>
    <w:rsid w:val="001B66CE"/>
    <w:rsid w:val="001B6716"/>
    <w:rsid w:val="001B697A"/>
    <w:rsid w:val="001B7753"/>
    <w:rsid w:val="001B7923"/>
    <w:rsid w:val="001C0645"/>
    <w:rsid w:val="001C0FE1"/>
    <w:rsid w:val="001C1DDA"/>
    <w:rsid w:val="001C1DEB"/>
    <w:rsid w:val="001C2470"/>
    <w:rsid w:val="001C3B42"/>
    <w:rsid w:val="001C3B50"/>
    <w:rsid w:val="001C56A7"/>
    <w:rsid w:val="001C5944"/>
    <w:rsid w:val="001C5EC9"/>
    <w:rsid w:val="001C5EFB"/>
    <w:rsid w:val="001C6C38"/>
    <w:rsid w:val="001C6DCF"/>
    <w:rsid w:val="001C71C7"/>
    <w:rsid w:val="001C756B"/>
    <w:rsid w:val="001C774A"/>
    <w:rsid w:val="001C77F8"/>
    <w:rsid w:val="001D05FE"/>
    <w:rsid w:val="001D0666"/>
    <w:rsid w:val="001D0E3E"/>
    <w:rsid w:val="001D1145"/>
    <w:rsid w:val="001D218A"/>
    <w:rsid w:val="001D2536"/>
    <w:rsid w:val="001D2BAE"/>
    <w:rsid w:val="001D2F8E"/>
    <w:rsid w:val="001D2FF1"/>
    <w:rsid w:val="001D35C4"/>
    <w:rsid w:val="001D396E"/>
    <w:rsid w:val="001D3EE8"/>
    <w:rsid w:val="001D4024"/>
    <w:rsid w:val="001D4232"/>
    <w:rsid w:val="001D4A48"/>
    <w:rsid w:val="001D4A9A"/>
    <w:rsid w:val="001D4F63"/>
    <w:rsid w:val="001D5A93"/>
    <w:rsid w:val="001D5C51"/>
    <w:rsid w:val="001D62C0"/>
    <w:rsid w:val="001D6A7A"/>
    <w:rsid w:val="001D7002"/>
    <w:rsid w:val="001D7E6D"/>
    <w:rsid w:val="001E000C"/>
    <w:rsid w:val="001E06C1"/>
    <w:rsid w:val="001E09D5"/>
    <w:rsid w:val="001E10E8"/>
    <w:rsid w:val="001E145E"/>
    <w:rsid w:val="001E1808"/>
    <w:rsid w:val="001E189E"/>
    <w:rsid w:val="001E1962"/>
    <w:rsid w:val="001E1C98"/>
    <w:rsid w:val="001E1ECB"/>
    <w:rsid w:val="001E2120"/>
    <w:rsid w:val="001E2474"/>
    <w:rsid w:val="001E25EB"/>
    <w:rsid w:val="001E2CFC"/>
    <w:rsid w:val="001E3788"/>
    <w:rsid w:val="001E37F3"/>
    <w:rsid w:val="001E3EF1"/>
    <w:rsid w:val="001E4A86"/>
    <w:rsid w:val="001E4F64"/>
    <w:rsid w:val="001E5A9D"/>
    <w:rsid w:val="001E5F7F"/>
    <w:rsid w:val="001E68BF"/>
    <w:rsid w:val="001E6C8B"/>
    <w:rsid w:val="001E6F3A"/>
    <w:rsid w:val="001E723D"/>
    <w:rsid w:val="001E72E3"/>
    <w:rsid w:val="001F0615"/>
    <w:rsid w:val="001F0637"/>
    <w:rsid w:val="001F1053"/>
    <w:rsid w:val="001F21FD"/>
    <w:rsid w:val="001F22DC"/>
    <w:rsid w:val="001F2513"/>
    <w:rsid w:val="001F2F2C"/>
    <w:rsid w:val="001F369D"/>
    <w:rsid w:val="001F390B"/>
    <w:rsid w:val="001F3A0A"/>
    <w:rsid w:val="001F3FA8"/>
    <w:rsid w:val="001F4096"/>
    <w:rsid w:val="001F4293"/>
    <w:rsid w:val="001F4487"/>
    <w:rsid w:val="001F4C05"/>
    <w:rsid w:val="001F4FF8"/>
    <w:rsid w:val="001F5A5C"/>
    <w:rsid w:val="001F5E90"/>
    <w:rsid w:val="001F6B5C"/>
    <w:rsid w:val="001F6E2C"/>
    <w:rsid w:val="001F7729"/>
    <w:rsid w:val="001F7DFD"/>
    <w:rsid w:val="0020030E"/>
    <w:rsid w:val="00200794"/>
    <w:rsid w:val="00200B9A"/>
    <w:rsid w:val="00200BAB"/>
    <w:rsid w:val="00201355"/>
    <w:rsid w:val="002013EA"/>
    <w:rsid w:val="00201655"/>
    <w:rsid w:val="00201E08"/>
    <w:rsid w:val="00202D08"/>
    <w:rsid w:val="002030D2"/>
    <w:rsid w:val="002032E3"/>
    <w:rsid w:val="00203453"/>
    <w:rsid w:val="0020395E"/>
    <w:rsid w:val="002039A9"/>
    <w:rsid w:val="00203A7C"/>
    <w:rsid w:val="00203ADF"/>
    <w:rsid w:val="00203C39"/>
    <w:rsid w:val="00203DE2"/>
    <w:rsid w:val="002048F3"/>
    <w:rsid w:val="00204A38"/>
    <w:rsid w:val="00204D01"/>
    <w:rsid w:val="002051ED"/>
    <w:rsid w:val="00206041"/>
    <w:rsid w:val="002064B1"/>
    <w:rsid w:val="0020668F"/>
    <w:rsid w:val="00206C33"/>
    <w:rsid w:val="0020768B"/>
    <w:rsid w:val="0020777D"/>
    <w:rsid w:val="002079E3"/>
    <w:rsid w:val="00207EDF"/>
    <w:rsid w:val="00210904"/>
    <w:rsid w:val="00210D4F"/>
    <w:rsid w:val="0021178C"/>
    <w:rsid w:val="0021181B"/>
    <w:rsid w:val="0021239A"/>
    <w:rsid w:val="002128C6"/>
    <w:rsid w:val="00212A8C"/>
    <w:rsid w:val="00213E34"/>
    <w:rsid w:val="00213E9C"/>
    <w:rsid w:val="002140EF"/>
    <w:rsid w:val="002141AE"/>
    <w:rsid w:val="00214FC4"/>
    <w:rsid w:val="00215274"/>
    <w:rsid w:val="00215432"/>
    <w:rsid w:val="00215696"/>
    <w:rsid w:val="00215AD1"/>
    <w:rsid w:val="00215B12"/>
    <w:rsid w:val="00215FE8"/>
    <w:rsid w:val="00216208"/>
    <w:rsid w:val="002164D9"/>
    <w:rsid w:val="002166EB"/>
    <w:rsid w:val="00216C56"/>
    <w:rsid w:val="002172F6"/>
    <w:rsid w:val="002175A5"/>
    <w:rsid w:val="00217784"/>
    <w:rsid w:val="00217A05"/>
    <w:rsid w:val="00217A97"/>
    <w:rsid w:val="00217FB0"/>
    <w:rsid w:val="002201E2"/>
    <w:rsid w:val="00220CDE"/>
    <w:rsid w:val="00220DA8"/>
    <w:rsid w:val="002218C1"/>
    <w:rsid w:val="00221CF4"/>
    <w:rsid w:val="00222C9E"/>
    <w:rsid w:val="00223315"/>
    <w:rsid w:val="00223328"/>
    <w:rsid w:val="0022373F"/>
    <w:rsid w:val="00223767"/>
    <w:rsid w:val="00223C11"/>
    <w:rsid w:val="002241DF"/>
    <w:rsid w:val="00224466"/>
    <w:rsid w:val="00224866"/>
    <w:rsid w:val="00224E07"/>
    <w:rsid w:val="00225404"/>
    <w:rsid w:val="002254E8"/>
    <w:rsid w:val="0022557B"/>
    <w:rsid w:val="002257F5"/>
    <w:rsid w:val="00225DB9"/>
    <w:rsid w:val="002300DC"/>
    <w:rsid w:val="00230143"/>
    <w:rsid w:val="0023042C"/>
    <w:rsid w:val="00231764"/>
    <w:rsid w:val="00231E1F"/>
    <w:rsid w:val="00232A75"/>
    <w:rsid w:val="00232D3A"/>
    <w:rsid w:val="00232F13"/>
    <w:rsid w:val="00233501"/>
    <w:rsid w:val="002336C7"/>
    <w:rsid w:val="002344F4"/>
    <w:rsid w:val="00234A25"/>
    <w:rsid w:val="00234AAE"/>
    <w:rsid w:val="002350F5"/>
    <w:rsid w:val="00235535"/>
    <w:rsid w:val="002356ED"/>
    <w:rsid w:val="00235A20"/>
    <w:rsid w:val="0023665B"/>
    <w:rsid w:val="00236811"/>
    <w:rsid w:val="0023767D"/>
    <w:rsid w:val="00237947"/>
    <w:rsid w:val="00237A4F"/>
    <w:rsid w:val="00237EA6"/>
    <w:rsid w:val="00240007"/>
    <w:rsid w:val="002400E7"/>
    <w:rsid w:val="00240196"/>
    <w:rsid w:val="00240317"/>
    <w:rsid w:val="002405A7"/>
    <w:rsid w:val="002415C3"/>
    <w:rsid w:val="00241A86"/>
    <w:rsid w:val="00241B75"/>
    <w:rsid w:val="00241E0D"/>
    <w:rsid w:val="00242295"/>
    <w:rsid w:val="00242477"/>
    <w:rsid w:val="0024248A"/>
    <w:rsid w:val="00242A12"/>
    <w:rsid w:val="00242E25"/>
    <w:rsid w:val="002437A1"/>
    <w:rsid w:val="00244BF3"/>
    <w:rsid w:val="0024506A"/>
    <w:rsid w:val="0024509B"/>
    <w:rsid w:val="002453AE"/>
    <w:rsid w:val="002454BA"/>
    <w:rsid w:val="00245B13"/>
    <w:rsid w:val="00246429"/>
    <w:rsid w:val="0024652F"/>
    <w:rsid w:val="00246D0B"/>
    <w:rsid w:val="00246FD0"/>
    <w:rsid w:val="002474C8"/>
    <w:rsid w:val="002477A3"/>
    <w:rsid w:val="00247FE0"/>
    <w:rsid w:val="0025053F"/>
    <w:rsid w:val="0025056B"/>
    <w:rsid w:val="002510EB"/>
    <w:rsid w:val="002512C0"/>
    <w:rsid w:val="00251533"/>
    <w:rsid w:val="00251565"/>
    <w:rsid w:val="00251C52"/>
    <w:rsid w:val="00251F8B"/>
    <w:rsid w:val="00253240"/>
    <w:rsid w:val="002539E9"/>
    <w:rsid w:val="00253CA9"/>
    <w:rsid w:val="00253FFE"/>
    <w:rsid w:val="002543B3"/>
    <w:rsid w:val="00254671"/>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1B58"/>
    <w:rsid w:val="002629DF"/>
    <w:rsid w:val="00262A0C"/>
    <w:rsid w:val="00262EA3"/>
    <w:rsid w:val="0026335E"/>
    <w:rsid w:val="002633CE"/>
    <w:rsid w:val="00263613"/>
    <w:rsid w:val="00263A75"/>
    <w:rsid w:val="00263B31"/>
    <w:rsid w:val="00263CFF"/>
    <w:rsid w:val="002643C2"/>
    <w:rsid w:val="0026451C"/>
    <w:rsid w:val="00264811"/>
    <w:rsid w:val="00264F2C"/>
    <w:rsid w:val="00265693"/>
    <w:rsid w:val="002662C5"/>
    <w:rsid w:val="0026644A"/>
    <w:rsid w:val="00266609"/>
    <w:rsid w:val="00267C59"/>
    <w:rsid w:val="002700E9"/>
    <w:rsid w:val="0027032A"/>
    <w:rsid w:val="00270A2E"/>
    <w:rsid w:val="00270B86"/>
    <w:rsid w:val="00271788"/>
    <w:rsid w:val="002720E5"/>
    <w:rsid w:val="0027260A"/>
    <w:rsid w:val="00273D84"/>
    <w:rsid w:val="00274466"/>
    <w:rsid w:val="00274B5E"/>
    <w:rsid w:val="002751ED"/>
    <w:rsid w:val="002755AF"/>
    <w:rsid w:val="002756BD"/>
    <w:rsid w:val="00275FBD"/>
    <w:rsid w:val="002766FE"/>
    <w:rsid w:val="00276819"/>
    <w:rsid w:val="00276B17"/>
    <w:rsid w:val="00276B6D"/>
    <w:rsid w:val="00276BEE"/>
    <w:rsid w:val="00276C08"/>
    <w:rsid w:val="00276CFE"/>
    <w:rsid w:val="00276E83"/>
    <w:rsid w:val="00277466"/>
    <w:rsid w:val="00277B33"/>
    <w:rsid w:val="00277F22"/>
    <w:rsid w:val="00280024"/>
    <w:rsid w:val="0028015F"/>
    <w:rsid w:val="0028019F"/>
    <w:rsid w:val="00280266"/>
    <w:rsid w:val="00280502"/>
    <w:rsid w:val="00280A47"/>
    <w:rsid w:val="00280BC7"/>
    <w:rsid w:val="0028154C"/>
    <w:rsid w:val="0028170C"/>
    <w:rsid w:val="00281A33"/>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0E26"/>
    <w:rsid w:val="002923F3"/>
    <w:rsid w:val="0029328D"/>
    <w:rsid w:val="00293693"/>
    <w:rsid w:val="00293810"/>
    <w:rsid w:val="00293C4F"/>
    <w:rsid w:val="00293D90"/>
    <w:rsid w:val="00294728"/>
    <w:rsid w:val="002947AF"/>
    <w:rsid w:val="00294B61"/>
    <w:rsid w:val="00294BDD"/>
    <w:rsid w:val="00294F6F"/>
    <w:rsid w:val="0029533F"/>
    <w:rsid w:val="00295CD4"/>
    <w:rsid w:val="00296108"/>
    <w:rsid w:val="00296EEB"/>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95A"/>
    <w:rsid w:val="002A5E89"/>
    <w:rsid w:val="002A63C7"/>
    <w:rsid w:val="002A7116"/>
    <w:rsid w:val="002A7737"/>
    <w:rsid w:val="002B0096"/>
    <w:rsid w:val="002B0EC2"/>
    <w:rsid w:val="002B0FB4"/>
    <w:rsid w:val="002B1874"/>
    <w:rsid w:val="002B1884"/>
    <w:rsid w:val="002B1B4E"/>
    <w:rsid w:val="002B1DD3"/>
    <w:rsid w:val="002B2021"/>
    <w:rsid w:val="002B21B2"/>
    <w:rsid w:val="002B221E"/>
    <w:rsid w:val="002B2489"/>
    <w:rsid w:val="002B2C9F"/>
    <w:rsid w:val="002B2EF2"/>
    <w:rsid w:val="002B3288"/>
    <w:rsid w:val="002B33E4"/>
    <w:rsid w:val="002B375C"/>
    <w:rsid w:val="002B3E98"/>
    <w:rsid w:val="002B6349"/>
    <w:rsid w:val="002B639F"/>
    <w:rsid w:val="002B6FC6"/>
    <w:rsid w:val="002B7046"/>
    <w:rsid w:val="002B738D"/>
    <w:rsid w:val="002B79EF"/>
    <w:rsid w:val="002B7E1C"/>
    <w:rsid w:val="002B7FFA"/>
    <w:rsid w:val="002C31A1"/>
    <w:rsid w:val="002C3879"/>
    <w:rsid w:val="002C3ADC"/>
    <w:rsid w:val="002C3E32"/>
    <w:rsid w:val="002C3EA9"/>
    <w:rsid w:val="002C4B2D"/>
    <w:rsid w:val="002C4B91"/>
    <w:rsid w:val="002C4D23"/>
    <w:rsid w:val="002C4E34"/>
    <w:rsid w:val="002C51D6"/>
    <w:rsid w:val="002C52A4"/>
    <w:rsid w:val="002C563C"/>
    <w:rsid w:val="002C5D51"/>
    <w:rsid w:val="002C5FBA"/>
    <w:rsid w:val="002C6280"/>
    <w:rsid w:val="002C686F"/>
    <w:rsid w:val="002C6A56"/>
    <w:rsid w:val="002C740B"/>
    <w:rsid w:val="002C7993"/>
    <w:rsid w:val="002C7CA4"/>
    <w:rsid w:val="002D0111"/>
    <w:rsid w:val="002D01CA"/>
    <w:rsid w:val="002D14A2"/>
    <w:rsid w:val="002D1779"/>
    <w:rsid w:val="002D280F"/>
    <w:rsid w:val="002D2A33"/>
    <w:rsid w:val="002D35E1"/>
    <w:rsid w:val="002D3941"/>
    <w:rsid w:val="002D3D58"/>
    <w:rsid w:val="002D4B3B"/>
    <w:rsid w:val="002D4C1F"/>
    <w:rsid w:val="002D5149"/>
    <w:rsid w:val="002D55B5"/>
    <w:rsid w:val="002D5CED"/>
    <w:rsid w:val="002D5F1C"/>
    <w:rsid w:val="002D6187"/>
    <w:rsid w:val="002D61FA"/>
    <w:rsid w:val="002D63F1"/>
    <w:rsid w:val="002D64BA"/>
    <w:rsid w:val="002D672E"/>
    <w:rsid w:val="002D778F"/>
    <w:rsid w:val="002D7A20"/>
    <w:rsid w:val="002E0865"/>
    <w:rsid w:val="002E0A17"/>
    <w:rsid w:val="002E0C77"/>
    <w:rsid w:val="002E0E38"/>
    <w:rsid w:val="002E19D1"/>
    <w:rsid w:val="002E250F"/>
    <w:rsid w:val="002E500B"/>
    <w:rsid w:val="002E59A6"/>
    <w:rsid w:val="002E59D4"/>
    <w:rsid w:val="002E5B01"/>
    <w:rsid w:val="002E67EA"/>
    <w:rsid w:val="002E6D85"/>
    <w:rsid w:val="002E6E29"/>
    <w:rsid w:val="002E6FF5"/>
    <w:rsid w:val="002E70CE"/>
    <w:rsid w:val="002E7326"/>
    <w:rsid w:val="002E78B7"/>
    <w:rsid w:val="002E7DF0"/>
    <w:rsid w:val="002F01E7"/>
    <w:rsid w:val="002F07FD"/>
    <w:rsid w:val="002F2617"/>
    <w:rsid w:val="002F295A"/>
    <w:rsid w:val="002F298C"/>
    <w:rsid w:val="002F2F9E"/>
    <w:rsid w:val="002F3291"/>
    <w:rsid w:val="002F32A9"/>
    <w:rsid w:val="002F32BD"/>
    <w:rsid w:val="002F3334"/>
    <w:rsid w:val="002F3404"/>
    <w:rsid w:val="002F3D93"/>
    <w:rsid w:val="002F4358"/>
    <w:rsid w:val="002F4437"/>
    <w:rsid w:val="002F46D1"/>
    <w:rsid w:val="002F4843"/>
    <w:rsid w:val="002F6008"/>
    <w:rsid w:val="002F60C4"/>
    <w:rsid w:val="002F6B49"/>
    <w:rsid w:val="002F6E41"/>
    <w:rsid w:val="003010E0"/>
    <w:rsid w:val="00303297"/>
    <w:rsid w:val="003032C9"/>
    <w:rsid w:val="0030349A"/>
    <w:rsid w:val="00303C09"/>
    <w:rsid w:val="0030446D"/>
    <w:rsid w:val="00304E25"/>
    <w:rsid w:val="0030531E"/>
    <w:rsid w:val="003053E0"/>
    <w:rsid w:val="0030562F"/>
    <w:rsid w:val="00305EBF"/>
    <w:rsid w:val="00307246"/>
    <w:rsid w:val="00307422"/>
    <w:rsid w:val="00310241"/>
    <w:rsid w:val="00310461"/>
    <w:rsid w:val="00311EB7"/>
    <w:rsid w:val="00312304"/>
    <w:rsid w:val="003123AB"/>
    <w:rsid w:val="00312D30"/>
    <w:rsid w:val="00313374"/>
    <w:rsid w:val="003133F3"/>
    <w:rsid w:val="00313E6D"/>
    <w:rsid w:val="00313F21"/>
    <w:rsid w:val="00314099"/>
    <w:rsid w:val="003140DC"/>
    <w:rsid w:val="0031417D"/>
    <w:rsid w:val="003141A7"/>
    <w:rsid w:val="00314915"/>
    <w:rsid w:val="00314D2A"/>
    <w:rsid w:val="00314E5A"/>
    <w:rsid w:val="003150D4"/>
    <w:rsid w:val="00315721"/>
    <w:rsid w:val="003159DF"/>
    <w:rsid w:val="00315D9E"/>
    <w:rsid w:val="00315FEE"/>
    <w:rsid w:val="003160D5"/>
    <w:rsid w:val="00316334"/>
    <w:rsid w:val="0031675A"/>
    <w:rsid w:val="00316DC7"/>
    <w:rsid w:val="00317020"/>
    <w:rsid w:val="003170AE"/>
    <w:rsid w:val="00317544"/>
    <w:rsid w:val="00317A26"/>
    <w:rsid w:val="00317FAB"/>
    <w:rsid w:val="00320780"/>
    <w:rsid w:val="00321173"/>
    <w:rsid w:val="003211C8"/>
    <w:rsid w:val="00321492"/>
    <w:rsid w:val="0032169A"/>
    <w:rsid w:val="00321961"/>
    <w:rsid w:val="0032197E"/>
    <w:rsid w:val="003224B5"/>
    <w:rsid w:val="003226A0"/>
    <w:rsid w:val="003229EC"/>
    <w:rsid w:val="00322DA6"/>
    <w:rsid w:val="003234B5"/>
    <w:rsid w:val="003239A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C3B"/>
    <w:rsid w:val="00326E82"/>
    <w:rsid w:val="003270A5"/>
    <w:rsid w:val="00327706"/>
    <w:rsid w:val="003307CC"/>
    <w:rsid w:val="00331427"/>
    <w:rsid w:val="003315B1"/>
    <w:rsid w:val="00331658"/>
    <w:rsid w:val="0033346F"/>
    <w:rsid w:val="00333E95"/>
    <w:rsid w:val="00334938"/>
    <w:rsid w:val="003349AA"/>
    <w:rsid w:val="00335FFF"/>
    <w:rsid w:val="003366FF"/>
    <w:rsid w:val="00336F3D"/>
    <w:rsid w:val="00336F7D"/>
    <w:rsid w:val="003370B9"/>
    <w:rsid w:val="003371FF"/>
    <w:rsid w:val="00337327"/>
    <w:rsid w:val="003373C0"/>
    <w:rsid w:val="00337855"/>
    <w:rsid w:val="003406A8"/>
    <w:rsid w:val="00341459"/>
    <w:rsid w:val="00341474"/>
    <w:rsid w:val="003415C8"/>
    <w:rsid w:val="00342773"/>
    <w:rsid w:val="00342AF1"/>
    <w:rsid w:val="00342BD2"/>
    <w:rsid w:val="003430B4"/>
    <w:rsid w:val="003430E4"/>
    <w:rsid w:val="00343843"/>
    <w:rsid w:val="00343927"/>
    <w:rsid w:val="00343D4D"/>
    <w:rsid w:val="003443DF"/>
    <w:rsid w:val="00344704"/>
    <w:rsid w:val="003447BC"/>
    <w:rsid w:val="003451A3"/>
    <w:rsid w:val="0034523C"/>
    <w:rsid w:val="00347453"/>
    <w:rsid w:val="00347F27"/>
    <w:rsid w:val="003504DC"/>
    <w:rsid w:val="00350FCC"/>
    <w:rsid w:val="00351240"/>
    <w:rsid w:val="0035132E"/>
    <w:rsid w:val="0035148D"/>
    <w:rsid w:val="003514E4"/>
    <w:rsid w:val="00351B38"/>
    <w:rsid w:val="003524A9"/>
    <w:rsid w:val="00352567"/>
    <w:rsid w:val="003530A3"/>
    <w:rsid w:val="0035320B"/>
    <w:rsid w:val="00353737"/>
    <w:rsid w:val="003539CF"/>
    <w:rsid w:val="00353A16"/>
    <w:rsid w:val="00353F9D"/>
    <w:rsid w:val="0035416A"/>
    <w:rsid w:val="003544ED"/>
    <w:rsid w:val="00354ADE"/>
    <w:rsid w:val="00354EC0"/>
    <w:rsid w:val="00355384"/>
    <w:rsid w:val="0035569A"/>
    <w:rsid w:val="00355B35"/>
    <w:rsid w:val="00357325"/>
    <w:rsid w:val="00357D93"/>
    <w:rsid w:val="00360BCC"/>
    <w:rsid w:val="00360E21"/>
    <w:rsid w:val="00360EF4"/>
    <w:rsid w:val="0036177A"/>
    <w:rsid w:val="00361ACD"/>
    <w:rsid w:val="00361E96"/>
    <w:rsid w:val="00361F52"/>
    <w:rsid w:val="00361FC1"/>
    <w:rsid w:val="003628E9"/>
    <w:rsid w:val="00362B80"/>
    <w:rsid w:val="00362C00"/>
    <w:rsid w:val="003630AE"/>
    <w:rsid w:val="00363439"/>
    <w:rsid w:val="003634CD"/>
    <w:rsid w:val="003639FC"/>
    <w:rsid w:val="003648CB"/>
    <w:rsid w:val="00364FB4"/>
    <w:rsid w:val="00365A6C"/>
    <w:rsid w:val="00365CB8"/>
    <w:rsid w:val="00365ED9"/>
    <w:rsid w:val="00366095"/>
    <w:rsid w:val="00366306"/>
    <w:rsid w:val="0036718E"/>
    <w:rsid w:val="00370C71"/>
    <w:rsid w:val="003711D4"/>
    <w:rsid w:val="00372430"/>
    <w:rsid w:val="0037268B"/>
    <w:rsid w:val="0037271B"/>
    <w:rsid w:val="003738C6"/>
    <w:rsid w:val="00373B89"/>
    <w:rsid w:val="00374408"/>
    <w:rsid w:val="003745D6"/>
    <w:rsid w:val="003756B0"/>
    <w:rsid w:val="00375B13"/>
    <w:rsid w:val="00375B87"/>
    <w:rsid w:val="0037649D"/>
    <w:rsid w:val="00376A32"/>
    <w:rsid w:val="00377CD5"/>
    <w:rsid w:val="003805D2"/>
    <w:rsid w:val="003809C1"/>
    <w:rsid w:val="00381104"/>
    <w:rsid w:val="003811A4"/>
    <w:rsid w:val="00381484"/>
    <w:rsid w:val="00381B4B"/>
    <w:rsid w:val="0038209A"/>
    <w:rsid w:val="00382753"/>
    <w:rsid w:val="003830EF"/>
    <w:rsid w:val="00383742"/>
    <w:rsid w:val="003838C7"/>
    <w:rsid w:val="0038392C"/>
    <w:rsid w:val="00383AF3"/>
    <w:rsid w:val="00383B34"/>
    <w:rsid w:val="00383C72"/>
    <w:rsid w:val="00384563"/>
    <w:rsid w:val="0038458E"/>
    <w:rsid w:val="00385870"/>
    <w:rsid w:val="00385CB1"/>
    <w:rsid w:val="00385E4D"/>
    <w:rsid w:val="003866AA"/>
    <w:rsid w:val="00386934"/>
    <w:rsid w:val="00386CC5"/>
    <w:rsid w:val="00386E8D"/>
    <w:rsid w:val="00387073"/>
    <w:rsid w:val="0038723A"/>
    <w:rsid w:val="003877B7"/>
    <w:rsid w:val="003901BC"/>
    <w:rsid w:val="0039020F"/>
    <w:rsid w:val="00390254"/>
    <w:rsid w:val="00390382"/>
    <w:rsid w:val="00390D47"/>
    <w:rsid w:val="003910E9"/>
    <w:rsid w:val="003910EE"/>
    <w:rsid w:val="00391371"/>
    <w:rsid w:val="0039164A"/>
    <w:rsid w:val="00391CB9"/>
    <w:rsid w:val="00391CCF"/>
    <w:rsid w:val="003931ED"/>
    <w:rsid w:val="003934D0"/>
    <w:rsid w:val="00393526"/>
    <w:rsid w:val="00393561"/>
    <w:rsid w:val="0039392F"/>
    <w:rsid w:val="00393D06"/>
    <w:rsid w:val="0039432D"/>
    <w:rsid w:val="00394AAE"/>
    <w:rsid w:val="00394D29"/>
    <w:rsid w:val="00394EF2"/>
    <w:rsid w:val="00395026"/>
    <w:rsid w:val="00395BBE"/>
    <w:rsid w:val="00395F33"/>
    <w:rsid w:val="00396398"/>
    <w:rsid w:val="0039678F"/>
    <w:rsid w:val="00396C72"/>
    <w:rsid w:val="00396FA3"/>
    <w:rsid w:val="0039739C"/>
    <w:rsid w:val="00397D42"/>
    <w:rsid w:val="003A047E"/>
    <w:rsid w:val="003A0A78"/>
    <w:rsid w:val="003A1C8B"/>
    <w:rsid w:val="003A1D3C"/>
    <w:rsid w:val="003A223C"/>
    <w:rsid w:val="003A2952"/>
    <w:rsid w:val="003A3982"/>
    <w:rsid w:val="003A3B3A"/>
    <w:rsid w:val="003A415A"/>
    <w:rsid w:val="003A44D1"/>
    <w:rsid w:val="003A4576"/>
    <w:rsid w:val="003A45BC"/>
    <w:rsid w:val="003A4B43"/>
    <w:rsid w:val="003A5093"/>
    <w:rsid w:val="003A50FA"/>
    <w:rsid w:val="003A517F"/>
    <w:rsid w:val="003A54B9"/>
    <w:rsid w:val="003A5A52"/>
    <w:rsid w:val="003A6158"/>
    <w:rsid w:val="003A6283"/>
    <w:rsid w:val="003A63D3"/>
    <w:rsid w:val="003A69D1"/>
    <w:rsid w:val="003A6B89"/>
    <w:rsid w:val="003A6F73"/>
    <w:rsid w:val="003A70C6"/>
    <w:rsid w:val="003A7434"/>
    <w:rsid w:val="003A7543"/>
    <w:rsid w:val="003A7C19"/>
    <w:rsid w:val="003B0A3D"/>
    <w:rsid w:val="003B0D95"/>
    <w:rsid w:val="003B0F9B"/>
    <w:rsid w:val="003B1AFC"/>
    <w:rsid w:val="003B1E38"/>
    <w:rsid w:val="003B2109"/>
    <w:rsid w:val="003B2154"/>
    <w:rsid w:val="003B2811"/>
    <w:rsid w:val="003B2C1B"/>
    <w:rsid w:val="003B2CE4"/>
    <w:rsid w:val="003B38E9"/>
    <w:rsid w:val="003B3B1D"/>
    <w:rsid w:val="003B42D1"/>
    <w:rsid w:val="003B48DA"/>
    <w:rsid w:val="003B51FD"/>
    <w:rsid w:val="003B541F"/>
    <w:rsid w:val="003B7796"/>
    <w:rsid w:val="003C06ED"/>
    <w:rsid w:val="003C0D8C"/>
    <w:rsid w:val="003C0E35"/>
    <w:rsid w:val="003C0EB1"/>
    <w:rsid w:val="003C0F20"/>
    <w:rsid w:val="003C0FA5"/>
    <w:rsid w:val="003C10FB"/>
    <w:rsid w:val="003C1239"/>
    <w:rsid w:val="003C1A2D"/>
    <w:rsid w:val="003C2383"/>
    <w:rsid w:val="003C2551"/>
    <w:rsid w:val="003C267A"/>
    <w:rsid w:val="003C28AE"/>
    <w:rsid w:val="003C2976"/>
    <w:rsid w:val="003C3343"/>
    <w:rsid w:val="003C381E"/>
    <w:rsid w:val="003C47BD"/>
    <w:rsid w:val="003C48F5"/>
    <w:rsid w:val="003C4DA1"/>
    <w:rsid w:val="003C535B"/>
    <w:rsid w:val="003C6151"/>
    <w:rsid w:val="003C709E"/>
    <w:rsid w:val="003C7235"/>
    <w:rsid w:val="003C72A0"/>
    <w:rsid w:val="003C77A3"/>
    <w:rsid w:val="003C77FA"/>
    <w:rsid w:val="003D0371"/>
    <w:rsid w:val="003D0546"/>
    <w:rsid w:val="003D057F"/>
    <w:rsid w:val="003D077B"/>
    <w:rsid w:val="003D0D72"/>
    <w:rsid w:val="003D122F"/>
    <w:rsid w:val="003D2050"/>
    <w:rsid w:val="003D2C8C"/>
    <w:rsid w:val="003D333C"/>
    <w:rsid w:val="003D3534"/>
    <w:rsid w:val="003D3D91"/>
    <w:rsid w:val="003D4127"/>
    <w:rsid w:val="003D4234"/>
    <w:rsid w:val="003D47DF"/>
    <w:rsid w:val="003D4C5B"/>
    <w:rsid w:val="003D51A4"/>
    <w:rsid w:val="003D5855"/>
    <w:rsid w:val="003D61AF"/>
    <w:rsid w:val="003D69B6"/>
    <w:rsid w:val="003D6E61"/>
    <w:rsid w:val="003D7FDF"/>
    <w:rsid w:val="003E0876"/>
    <w:rsid w:val="003E0A33"/>
    <w:rsid w:val="003E0B4B"/>
    <w:rsid w:val="003E0F24"/>
    <w:rsid w:val="003E19A1"/>
    <w:rsid w:val="003E19A8"/>
    <w:rsid w:val="003E1AAD"/>
    <w:rsid w:val="003E205C"/>
    <w:rsid w:val="003E2067"/>
    <w:rsid w:val="003E2129"/>
    <w:rsid w:val="003E247C"/>
    <w:rsid w:val="003E29F6"/>
    <w:rsid w:val="003E2B46"/>
    <w:rsid w:val="003E2DDF"/>
    <w:rsid w:val="003E3AA5"/>
    <w:rsid w:val="003E3C81"/>
    <w:rsid w:val="003E44F5"/>
    <w:rsid w:val="003E4E86"/>
    <w:rsid w:val="003E509E"/>
    <w:rsid w:val="003E580A"/>
    <w:rsid w:val="003E5FC7"/>
    <w:rsid w:val="003E61EB"/>
    <w:rsid w:val="003E65F8"/>
    <w:rsid w:val="003E6657"/>
    <w:rsid w:val="003E67AC"/>
    <w:rsid w:val="003E6C58"/>
    <w:rsid w:val="003E7028"/>
    <w:rsid w:val="003E78D2"/>
    <w:rsid w:val="003F09C1"/>
    <w:rsid w:val="003F0C65"/>
    <w:rsid w:val="003F0DD3"/>
    <w:rsid w:val="003F11B3"/>
    <w:rsid w:val="003F1473"/>
    <w:rsid w:val="003F1CA9"/>
    <w:rsid w:val="003F1E52"/>
    <w:rsid w:val="003F2775"/>
    <w:rsid w:val="003F2909"/>
    <w:rsid w:val="003F2960"/>
    <w:rsid w:val="003F2D43"/>
    <w:rsid w:val="003F2EAA"/>
    <w:rsid w:val="003F45D2"/>
    <w:rsid w:val="003F4798"/>
    <w:rsid w:val="003F4881"/>
    <w:rsid w:val="003F4B69"/>
    <w:rsid w:val="003F57DD"/>
    <w:rsid w:val="003F5993"/>
    <w:rsid w:val="003F6814"/>
    <w:rsid w:val="003F6835"/>
    <w:rsid w:val="003F7150"/>
    <w:rsid w:val="003F71DB"/>
    <w:rsid w:val="003F72C9"/>
    <w:rsid w:val="003F75A4"/>
    <w:rsid w:val="003F75CF"/>
    <w:rsid w:val="003F7CF0"/>
    <w:rsid w:val="00400282"/>
    <w:rsid w:val="0040054D"/>
    <w:rsid w:val="00400E92"/>
    <w:rsid w:val="00401163"/>
    <w:rsid w:val="00401C41"/>
    <w:rsid w:val="0040265C"/>
    <w:rsid w:val="00402AA0"/>
    <w:rsid w:val="00402AD9"/>
    <w:rsid w:val="00402C37"/>
    <w:rsid w:val="00402F21"/>
    <w:rsid w:val="00402F29"/>
    <w:rsid w:val="00403C6E"/>
    <w:rsid w:val="00403CDC"/>
    <w:rsid w:val="00403D15"/>
    <w:rsid w:val="004046BA"/>
    <w:rsid w:val="00404A6D"/>
    <w:rsid w:val="004059AB"/>
    <w:rsid w:val="00406010"/>
    <w:rsid w:val="004062B3"/>
    <w:rsid w:val="004066D3"/>
    <w:rsid w:val="00406717"/>
    <w:rsid w:val="00406CFF"/>
    <w:rsid w:val="00406EA4"/>
    <w:rsid w:val="00406EB6"/>
    <w:rsid w:val="00407193"/>
    <w:rsid w:val="004071A4"/>
    <w:rsid w:val="00407620"/>
    <w:rsid w:val="004077AF"/>
    <w:rsid w:val="0040787D"/>
    <w:rsid w:val="004113EC"/>
    <w:rsid w:val="004117AF"/>
    <w:rsid w:val="00411F92"/>
    <w:rsid w:val="00412C4B"/>
    <w:rsid w:val="00412D8B"/>
    <w:rsid w:val="00413DE2"/>
    <w:rsid w:val="004156DF"/>
    <w:rsid w:val="004156F1"/>
    <w:rsid w:val="00415928"/>
    <w:rsid w:val="00415B2B"/>
    <w:rsid w:val="00416089"/>
    <w:rsid w:val="00416619"/>
    <w:rsid w:val="00416858"/>
    <w:rsid w:val="00416C48"/>
    <w:rsid w:val="00416FE1"/>
    <w:rsid w:val="00417756"/>
    <w:rsid w:val="00417820"/>
    <w:rsid w:val="0041790B"/>
    <w:rsid w:val="00417E2B"/>
    <w:rsid w:val="00420189"/>
    <w:rsid w:val="00420C14"/>
    <w:rsid w:val="00421CE9"/>
    <w:rsid w:val="00422056"/>
    <w:rsid w:val="00422997"/>
    <w:rsid w:val="00422B5D"/>
    <w:rsid w:val="00422B62"/>
    <w:rsid w:val="00422B9E"/>
    <w:rsid w:val="00422D45"/>
    <w:rsid w:val="00422FBC"/>
    <w:rsid w:val="00423883"/>
    <w:rsid w:val="00423BE4"/>
    <w:rsid w:val="00423C8D"/>
    <w:rsid w:val="00423D2F"/>
    <w:rsid w:val="00424BC2"/>
    <w:rsid w:val="00424E2C"/>
    <w:rsid w:val="00425C71"/>
    <w:rsid w:val="00426629"/>
    <w:rsid w:val="0042666B"/>
    <w:rsid w:val="00426691"/>
    <w:rsid w:val="00426A94"/>
    <w:rsid w:val="00427BD3"/>
    <w:rsid w:val="00430342"/>
    <w:rsid w:val="00430F36"/>
    <w:rsid w:val="004311F9"/>
    <w:rsid w:val="00431DDA"/>
    <w:rsid w:val="0043226D"/>
    <w:rsid w:val="004326B7"/>
    <w:rsid w:val="00432794"/>
    <w:rsid w:val="00432B63"/>
    <w:rsid w:val="00432D22"/>
    <w:rsid w:val="00432F79"/>
    <w:rsid w:val="0043305C"/>
    <w:rsid w:val="00433C13"/>
    <w:rsid w:val="00433F7A"/>
    <w:rsid w:val="00433FB5"/>
    <w:rsid w:val="00434324"/>
    <w:rsid w:val="0043480A"/>
    <w:rsid w:val="00434C54"/>
    <w:rsid w:val="0043512E"/>
    <w:rsid w:val="00435275"/>
    <w:rsid w:val="00435841"/>
    <w:rsid w:val="004365A5"/>
    <w:rsid w:val="0043660E"/>
    <w:rsid w:val="004367EA"/>
    <w:rsid w:val="00436F91"/>
    <w:rsid w:val="00437455"/>
    <w:rsid w:val="00437FBC"/>
    <w:rsid w:val="004409FE"/>
    <w:rsid w:val="00440BFE"/>
    <w:rsid w:val="004412C0"/>
    <w:rsid w:val="00441D50"/>
    <w:rsid w:val="00442B9A"/>
    <w:rsid w:val="0044336A"/>
    <w:rsid w:val="00443707"/>
    <w:rsid w:val="00443989"/>
    <w:rsid w:val="00443999"/>
    <w:rsid w:val="00443B61"/>
    <w:rsid w:val="00443EB4"/>
    <w:rsid w:val="0044488E"/>
    <w:rsid w:val="00444B14"/>
    <w:rsid w:val="00444E53"/>
    <w:rsid w:val="00444FE1"/>
    <w:rsid w:val="0044506D"/>
    <w:rsid w:val="00445847"/>
    <w:rsid w:val="004458A7"/>
    <w:rsid w:val="00446C4A"/>
    <w:rsid w:val="00446DBB"/>
    <w:rsid w:val="00446F11"/>
    <w:rsid w:val="00446F45"/>
    <w:rsid w:val="00446FE9"/>
    <w:rsid w:val="004473D6"/>
    <w:rsid w:val="0044767E"/>
    <w:rsid w:val="00450331"/>
    <w:rsid w:val="004509AD"/>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5A1A"/>
    <w:rsid w:val="00455EEC"/>
    <w:rsid w:val="00456FC7"/>
    <w:rsid w:val="0045748C"/>
    <w:rsid w:val="00457938"/>
    <w:rsid w:val="00457943"/>
    <w:rsid w:val="00460900"/>
    <w:rsid w:val="00460C75"/>
    <w:rsid w:val="00460DA5"/>
    <w:rsid w:val="00461517"/>
    <w:rsid w:val="004615F9"/>
    <w:rsid w:val="004617EB"/>
    <w:rsid w:val="00462881"/>
    <w:rsid w:val="00462A7D"/>
    <w:rsid w:val="00462BFB"/>
    <w:rsid w:val="00462E44"/>
    <w:rsid w:val="00462E8A"/>
    <w:rsid w:val="004630C6"/>
    <w:rsid w:val="00463341"/>
    <w:rsid w:val="004633A8"/>
    <w:rsid w:val="00463965"/>
    <w:rsid w:val="00463CE7"/>
    <w:rsid w:val="00463DD7"/>
    <w:rsid w:val="00463ED3"/>
    <w:rsid w:val="00466051"/>
    <w:rsid w:val="004660F2"/>
    <w:rsid w:val="00466424"/>
    <w:rsid w:val="004666A3"/>
    <w:rsid w:val="00467151"/>
    <w:rsid w:val="004671C7"/>
    <w:rsid w:val="00467873"/>
    <w:rsid w:val="0046792C"/>
    <w:rsid w:val="0047003B"/>
    <w:rsid w:val="004700E1"/>
    <w:rsid w:val="004703A7"/>
    <w:rsid w:val="004705F3"/>
    <w:rsid w:val="00470AE9"/>
    <w:rsid w:val="00470D1B"/>
    <w:rsid w:val="00471922"/>
    <w:rsid w:val="00471B85"/>
    <w:rsid w:val="00472CF1"/>
    <w:rsid w:val="00472E4B"/>
    <w:rsid w:val="00473426"/>
    <w:rsid w:val="00474043"/>
    <w:rsid w:val="004745C8"/>
    <w:rsid w:val="004745FC"/>
    <w:rsid w:val="004749E0"/>
    <w:rsid w:val="0047554D"/>
    <w:rsid w:val="00476A7B"/>
    <w:rsid w:val="00476CDA"/>
    <w:rsid w:val="00477162"/>
    <w:rsid w:val="0047733B"/>
    <w:rsid w:val="004774BF"/>
    <w:rsid w:val="004801AC"/>
    <w:rsid w:val="00480455"/>
    <w:rsid w:val="00480957"/>
    <w:rsid w:val="00480D74"/>
    <w:rsid w:val="00481700"/>
    <w:rsid w:val="004822AA"/>
    <w:rsid w:val="0048365E"/>
    <w:rsid w:val="004836FD"/>
    <w:rsid w:val="004839B3"/>
    <w:rsid w:val="00483D90"/>
    <w:rsid w:val="00483FB9"/>
    <w:rsid w:val="004840CE"/>
    <w:rsid w:val="004843B4"/>
    <w:rsid w:val="004847A2"/>
    <w:rsid w:val="00484B1B"/>
    <w:rsid w:val="004854D7"/>
    <w:rsid w:val="004860AB"/>
    <w:rsid w:val="004862C2"/>
    <w:rsid w:val="004862D7"/>
    <w:rsid w:val="004869AE"/>
    <w:rsid w:val="004875E6"/>
    <w:rsid w:val="00487D43"/>
    <w:rsid w:val="00487D91"/>
    <w:rsid w:val="00487FB5"/>
    <w:rsid w:val="00490C47"/>
    <w:rsid w:val="00491103"/>
    <w:rsid w:val="00491391"/>
    <w:rsid w:val="004916B5"/>
    <w:rsid w:val="004918D2"/>
    <w:rsid w:val="00491AB5"/>
    <w:rsid w:val="00491D24"/>
    <w:rsid w:val="00491DAE"/>
    <w:rsid w:val="0049262F"/>
    <w:rsid w:val="0049282F"/>
    <w:rsid w:val="00492987"/>
    <w:rsid w:val="00492AE4"/>
    <w:rsid w:val="00492AF8"/>
    <w:rsid w:val="00492E38"/>
    <w:rsid w:val="00493802"/>
    <w:rsid w:val="0049382A"/>
    <w:rsid w:val="0049397A"/>
    <w:rsid w:val="00493E3E"/>
    <w:rsid w:val="00494029"/>
    <w:rsid w:val="00494302"/>
    <w:rsid w:val="00494F49"/>
    <w:rsid w:val="00495838"/>
    <w:rsid w:val="00495FA5"/>
    <w:rsid w:val="00496FEF"/>
    <w:rsid w:val="00497029"/>
    <w:rsid w:val="00497082"/>
    <w:rsid w:val="004972B7"/>
    <w:rsid w:val="00497489"/>
    <w:rsid w:val="00497890"/>
    <w:rsid w:val="00497A69"/>
    <w:rsid w:val="004A0AF2"/>
    <w:rsid w:val="004A1326"/>
    <w:rsid w:val="004A1773"/>
    <w:rsid w:val="004A1966"/>
    <w:rsid w:val="004A25CF"/>
    <w:rsid w:val="004A3DFF"/>
    <w:rsid w:val="004A445D"/>
    <w:rsid w:val="004A483E"/>
    <w:rsid w:val="004A4976"/>
    <w:rsid w:val="004A49F9"/>
    <w:rsid w:val="004A5065"/>
    <w:rsid w:val="004A5194"/>
    <w:rsid w:val="004A5F12"/>
    <w:rsid w:val="004A6876"/>
    <w:rsid w:val="004A71FD"/>
    <w:rsid w:val="004A7394"/>
    <w:rsid w:val="004A7DDB"/>
    <w:rsid w:val="004B0046"/>
    <w:rsid w:val="004B01B7"/>
    <w:rsid w:val="004B079D"/>
    <w:rsid w:val="004B0E94"/>
    <w:rsid w:val="004B135A"/>
    <w:rsid w:val="004B16EE"/>
    <w:rsid w:val="004B1A11"/>
    <w:rsid w:val="004B1A5C"/>
    <w:rsid w:val="004B1EF1"/>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17CF"/>
    <w:rsid w:val="004C1981"/>
    <w:rsid w:val="004C244A"/>
    <w:rsid w:val="004C27AA"/>
    <w:rsid w:val="004C27E5"/>
    <w:rsid w:val="004C2956"/>
    <w:rsid w:val="004C2B00"/>
    <w:rsid w:val="004C2BA2"/>
    <w:rsid w:val="004C300C"/>
    <w:rsid w:val="004C32C3"/>
    <w:rsid w:val="004C428F"/>
    <w:rsid w:val="004C5334"/>
    <w:rsid w:val="004C5B7D"/>
    <w:rsid w:val="004C5B93"/>
    <w:rsid w:val="004C5BFC"/>
    <w:rsid w:val="004C62A6"/>
    <w:rsid w:val="004C65F5"/>
    <w:rsid w:val="004C6AA7"/>
    <w:rsid w:val="004C6B6E"/>
    <w:rsid w:val="004C6CF3"/>
    <w:rsid w:val="004C6E02"/>
    <w:rsid w:val="004C7951"/>
    <w:rsid w:val="004C7D35"/>
    <w:rsid w:val="004D0199"/>
    <w:rsid w:val="004D0B22"/>
    <w:rsid w:val="004D0B7F"/>
    <w:rsid w:val="004D0C2A"/>
    <w:rsid w:val="004D13F2"/>
    <w:rsid w:val="004D1A35"/>
    <w:rsid w:val="004D1BF5"/>
    <w:rsid w:val="004D22FA"/>
    <w:rsid w:val="004D3929"/>
    <w:rsid w:val="004D3C78"/>
    <w:rsid w:val="004D471C"/>
    <w:rsid w:val="004D4932"/>
    <w:rsid w:val="004D49F8"/>
    <w:rsid w:val="004D4EC8"/>
    <w:rsid w:val="004D50EE"/>
    <w:rsid w:val="004D5164"/>
    <w:rsid w:val="004D61FF"/>
    <w:rsid w:val="004D6C6B"/>
    <w:rsid w:val="004D6E0C"/>
    <w:rsid w:val="004D71B8"/>
    <w:rsid w:val="004D7FE2"/>
    <w:rsid w:val="004E00A1"/>
    <w:rsid w:val="004E01E8"/>
    <w:rsid w:val="004E05F8"/>
    <w:rsid w:val="004E0BCE"/>
    <w:rsid w:val="004E1287"/>
    <w:rsid w:val="004E1445"/>
    <w:rsid w:val="004E1564"/>
    <w:rsid w:val="004E15BD"/>
    <w:rsid w:val="004E1B8C"/>
    <w:rsid w:val="004E3AA2"/>
    <w:rsid w:val="004E46C6"/>
    <w:rsid w:val="004E5125"/>
    <w:rsid w:val="004E51DD"/>
    <w:rsid w:val="004E556C"/>
    <w:rsid w:val="004E62BE"/>
    <w:rsid w:val="004E64D6"/>
    <w:rsid w:val="004E7C93"/>
    <w:rsid w:val="004F0393"/>
    <w:rsid w:val="004F06EC"/>
    <w:rsid w:val="004F08B5"/>
    <w:rsid w:val="004F10F0"/>
    <w:rsid w:val="004F1382"/>
    <w:rsid w:val="004F1398"/>
    <w:rsid w:val="004F1979"/>
    <w:rsid w:val="004F2C12"/>
    <w:rsid w:val="004F2C26"/>
    <w:rsid w:val="004F2EB8"/>
    <w:rsid w:val="004F35FE"/>
    <w:rsid w:val="004F43F8"/>
    <w:rsid w:val="004F4D9E"/>
    <w:rsid w:val="004F5015"/>
    <w:rsid w:val="004F50AF"/>
    <w:rsid w:val="004F529B"/>
    <w:rsid w:val="004F5A7B"/>
    <w:rsid w:val="004F64AD"/>
    <w:rsid w:val="004F6B7F"/>
    <w:rsid w:val="004F6CDF"/>
    <w:rsid w:val="004F7611"/>
    <w:rsid w:val="004F7752"/>
    <w:rsid w:val="004F7E65"/>
    <w:rsid w:val="00500A73"/>
    <w:rsid w:val="00500AF3"/>
    <w:rsid w:val="00500CF1"/>
    <w:rsid w:val="00500D58"/>
    <w:rsid w:val="00500E24"/>
    <w:rsid w:val="00501184"/>
    <w:rsid w:val="005018AF"/>
    <w:rsid w:val="00501D9E"/>
    <w:rsid w:val="00502512"/>
    <w:rsid w:val="00503035"/>
    <w:rsid w:val="00503140"/>
    <w:rsid w:val="00503781"/>
    <w:rsid w:val="00503A08"/>
    <w:rsid w:val="00504301"/>
    <w:rsid w:val="005043A4"/>
    <w:rsid w:val="00504B41"/>
    <w:rsid w:val="00504BA3"/>
    <w:rsid w:val="00504F15"/>
    <w:rsid w:val="00504FB1"/>
    <w:rsid w:val="00505097"/>
    <w:rsid w:val="00505298"/>
    <w:rsid w:val="00505683"/>
    <w:rsid w:val="005056AE"/>
    <w:rsid w:val="0050602C"/>
    <w:rsid w:val="00506377"/>
    <w:rsid w:val="005066D6"/>
    <w:rsid w:val="005076A3"/>
    <w:rsid w:val="005101B3"/>
    <w:rsid w:val="00510442"/>
    <w:rsid w:val="005112C3"/>
    <w:rsid w:val="005113E0"/>
    <w:rsid w:val="0051226C"/>
    <w:rsid w:val="00512491"/>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423"/>
    <w:rsid w:val="0052357B"/>
    <w:rsid w:val="0052410A"/>
    <w:rsid w:val="00524254"/>
    <w:rsid w:val="005245CB"/>
    <w:rsid w:val="00524798"/>
    <w:rsid w:val="00524D25"/>
    <w:rsid w:val="005266EF"/>
    <w:rsid w:val="00526792"/>
    <w:rsid w:val="00526C4A"/>
    <w:rsid w:val="0052715B"/>
    <w:rsid w:val="00527760"/>
    <w:rsid w:val="0053007C"/>
    <w:rsid w:val="005305C6"/>
    <w:rsid w:val="005315D0"/>
    <w:rsid w:val="00531A18"/>
    <w:rsid w:val="00531ABE"/>
    <w:rsid w:val="005322F9"/>
    <w:rsid w:val="00532673"/>
    <w:rsid w:val="00532A3C"/>
    <w:rsid w:val="00532E6E"/>
    <w:rsid w:val="0053362D"/>
    <w:rsid w:val="00533A72"/>
    <w:rsid w:val="00533AF2"/>
    <w:rsid w:val="00533DEC"/>
    <w:rsid w:val="005340D9"/>
    <w:rsid w:val="005345F0"/>
    <w:rsid w:val="005349AE"/>
    <w:rsid w:val="00534BBA"/>
    <w:rsid w:val="00535EAA"/>
    <w:rsid w:val="00535EC2"/>
    <w:rsid w:val="00535EE7"/>
    <w:rsid w:val="00536192"/>
    <w:rsid w:val="00536C91"/>
    <w:rsid w:val="00537108"/>
    <w:rsid w:val="00537181"/>
    <w:rsid w:val="0053735C"/>
    <w:rsid w:val="00537502"/>
    <w:rsid w:val="005376A1"/>
    <w:rsid w:val="00537912"/>
    <w:rsid w:val="0054000D"/>
    <w:rsid w:val="005407CC"/>
    <w:rsid w:val="0054082F"/>
    <w:rsid w:val="00540B1D"/>
    <w:rsid w:val="00540B75"/>
    <w:rsid w:val="00542743"/>
    <w:rsid w:val="00542806"/>
    <w:rsid w:val="00542AAB"/>
    <w:rsid w:val="00542C5A"/>
    <w:rsid w:val="00543302"/>
    <w:rsid w:val="005434AF"/>
    <w:rsid w:val="00544093"/>
    <w:rsid w:val="005442FA"/>
    <w:rsid w:val="005446FF"/>
    <w:rsid w:val="005450C9"/>
    <w:rsid w:val="005450D5"/>
    <w:rsid w:val="0054517B"/>
    <w:rsid w:val="00545C84"/>
    <w:rsid w:val="005463C8"/>
    <w:rsid w:val="00546AEB"/>
    <w:rsid w:val="00547388"/>
    <w:rsid w:val="00547A51"/>
    <w:rsid w:val="00547BE8"/>
    <w:rsid w:val="00547CE1"/>
    <w:rsid w:val="005511A9"/>
    <w:rsid w:val="005518E6"/>
    <w:rsid w:val="00551D68"/>
    <w:rsid w:val="0055213D"/>
    <w:rsid w:val="005525C4"/>
    <w:rsid w:val="00552617"/>
    <w:rsid w:val="005526D9"/>
    <w:rsid w:val="00552763"/>
    <w:rsid w:val="00552A2A"/>
    <w:rsid w:val="00552AFC"/>
    <w:rsid w:val="00552F3C"/>
    <w:rsid w:val="00553265"/>
    <w:rsid w:val="00553508"/>
    <w:rsid w:val="0055392F"/>
    <w:rsid w:val="00553967"/>
    <w:rsid w:val="00553C35"/>
    <w:rsid w:val="0055432F"/>
    <w:rsid w:val="005544FD"/>
    <w:rsid w:val="005548AA"/>
    <w:rsid w:val="00554971"/>
    <w:rsid w:val="00554D4C"/>
    <w:rsid w:val="0055512A"/>
    <w:rsid w:val="00555141"/>
    <w:rsid w:val="00555A2F"/>
    <w:rsid w:val="00555C97"/>
    <w:rsid w:val="00556FDB"/>
    <w:rsid w:val="005572C0"/>
    <w:rsid w:val="00557C3D"/>
    <w:rsid w:val="00560085"/>
    <w:rsid w:val="00561140"/>
    <w:rsid w:val="0056117A"/>
    <w:rsid w:val="00562506"/>
    <w:rsid w:val="00562C61"/>
    <w:rsid w:val="00562FE5"/>
    <w:rsid w:val="00563899"/>
    <w:rsid w:val="005644F5"/>
    <w:rsid w:val="0056539C"/>
    <w:rsid w:val="00565611"/>
    <w:rsid w:val="0056569F"/>
    <w:rsid w:val="005656F2"/>
    <w:rsid w:val="00565FE9"/>
    <w:rsid w:val="005662A6"/>
    <w:rsid w:val="005667BA"/>
    <w:rsid w:val="00566CDC"/>
    <w:rsid w:val="00566D2D"/>
    <w:rsid w:val="00566F05"/>
    <w:rsid w:val="00567212"/>
    <w:rsid w:val="005678B2"/>
    <w:rsid w:val="0057199F"/>
    <w:rsid w:val="00571F8E"/>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1FF"/>
    <w:rsid w:val="0057722E"/>
    <w:rsid w:val="00577F9E"/>
    <w:rsid w:val="0058081B"/>
    <w:rsid w:val="0058142F"/>
    <w:rsid w:val="0058153A"/>
    <w:rsid w:val="0058160F"/>
    <w:rsid w:val="00581692"/>
    <w:rsid w:val="005828F4"/>
    <w:rsid w:val="0058298F"/>
    <w:rsid w:val="00583300"/>
    <w:rsid w:val="005835AD"/>
    <w:rsid w:val="00583B53"/>
    <w:rsid w:val="005840CC"/>
    <w:rsid w:val="0058476E"/>
    <w:rsid w:val="00584EB4"/>
    <w:rsid w:val="00584FCE"/>
    <w:rsid w:val="00585086"/>
    <w:rsid w:val="00585434"/>
    <w:rsid w:val="00585C22"/>
    <w:rsid w:val="00585D07"/>
    <w:rsid w:val="00586B2F"/>
    <w:rsid w:val="00586B54"/>
    <w:rsid w:val="00586DE7"/>
    <w:rsid w:val="00587296"/>
    <w:rsid w:val="00587B9C"/>
    <w:rsid w:val="00587EEC"/>
    <w:rsid w:val="0059006E"/>
    <w:rsid w:val="00590118"/>
    <w:rsid w:val="00590553"/>
    <w:rsid w:val="00590746"/>
    <w:rsid w:val="0059089A"/>
    <w:rsid w:val="005909F7"/>
    <w:rsid w:val="00590E2A"/>
    <w:rsid w:val="00590E76"/>
    <w:rsid w:val="00590EE3"/>
    <w:rsid w:val="00591266"/>
    <w:rsid w:val="005913C9"/>
    <w:rsid w:val="005914A6"/>
    <w:rsid w:val="00591977"/>
    <w:rsid w:val="00591F5F"/>
    <w:rsid w:val="0059241E"/>
    <w:rsid w:val="00592494"/>
    <w:rsid w:val="00592695"/>
    <w:rsid w:val="00592802"/>
    <w:rsid w:val="00592B45"/>
    <w:rsid w:val="00592E09"/>
    <w:rsid w:val="005945BA"/>
    <w:rsid w:val="005947B3"/>
    <w:rsid w:val="00594D4C"/>
    <w:rsid w:val="00594F51"/>
    <w:rsid w:val="0059502C"/>
    <w:rsid w:val="00595214"/>
    <w:rsid w:val="0059581A"/>
    <w:rsid w:val="0059712A"/>
    <w:rsid w:val="0059792E"/>
    <w:rsid w:val="00597A89"/>
    <w:rsid w:val="005A0393"/>
    <w:rsid w:val="005A189D"/>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20"/>
    <w:rsid w:val="005B1793"/>
    <w:rsid w:val="005B196D"/>
    <w:rsid w:val="005B1A4B"/>
    <w:rsid w:val="005B208B"/>
    <w:rsid w:val="005B22AE"/>
    <w:rsid w:val="005B2624"/>
    <w:rsid w:val="005B271D"/>
    <w:rsid w:val="005B2879"/>
    <w:rsid w:val="005B34DD"/>
    <w:rsid w:val="005B42FC"/>
    <w:rsid w:val="005B4B97"/>
    <w:rsid w:val="005B5173"/>
    <w:rsid w:val="005B551A"/>
    <w:rsid w:val="005B579C"/>
    <w:rsid w:val="005B5B1A"/>
    <w:rsid w:val="005B5DF6"/>
    <w:rsid w:val="005B5F0B"/>
    <w:rsid w:val="005B5F87"/>
    <w:rsid w:val="005B6332"/>
    <w:rsid w:val="005B65A0"/>
    <w:rsid w:val="005B7137"/>
    <w:rsid w:val="005B73AC"/>
    <w:rsid w:val="005B7CFA"/>
    <w:rsid w:val="005C035B"/>
    <w:rsid w:val="005C06AF"/>
    <w:rsid w:val="005C077E"/>
    <w:rsid w:val="005C0A29"/>
    <w:rsid w:val="005C0B2B"/>
    <w:rsid w:val="005C0E01"/>
    <w:rsid w:val="005C14C9"/>
    <w:rsid w:val="005C19B1"/>
    <w:rsid w:val="005C28C0"/>
    <w:rsid w:val="005C3BB1"/>
    <w:rsid w:val="005C3E8B"/>
    <w:rsid w:val="005C3F29"/>
    <w:rsid w:val="005C45B7"/>
    <w:rsid w:val="005C4A81"/>
    <w:rsid w:val="005C585F"/>
    <w:rsid w:val="005C5A53"/>
    <w:rsid w:val="005C5AA2"/>
    <w:rsid w:val="005C5E9C"/>
    <w:rsid w:val="005C63BF"/>
    <w:rsid w:val="005C6438"/>
    <w:rsid w:val="005C6940"/>
    <w:rsid w:val="005C6E36"/>
    <w:rsid w:val="005C76AB"/>
    <w:rsid w:val="005C7AF5"/>
    <w:rsid w:val="005C7C29"/>
    <w:rsid w:val="005C7E50"/>
    <w:rsid w:val="005D0863"/>
    <w:rsid w:val="005D0B56"/>
    <w:rsid w:val="005D1FCA"/>
    <w:rsid w:val="005D24FD"/>
    <w:rsid w:val="005D2590"/>
    <w:rsid w:val="005D2AEC"/>
    <w:rsid w:val="005D30AC"/>
    <w:rsid w:val="005D3DAD"/>
    <w:rsid w:val="005D5A19"/>
    <w:rsid w:val="005D60F6"/>
    <w:rsid w:val="005D6A9E"/>
    <w:rsid w:val="005D6B44"/>
    <w:rsid w:val="005D6E77"/>
    <w:rsid w:val="005D7058"/>
    <w:rsid w:val="005D78C0"/>
    <w:rsid w:val="005E00CF"/>
    <w:rsid w:val="005E05FB"/>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6E02"/>
    <w:rsid w:val="005E7240"/>
    <w:rsid w:val="005E7684"/>
    <w:rsid w:val="005E7C2A"/>
    <w:rsid w:val="005E7CB1"/>
    <w:rsid w:val="005E7F2D"/>
    <w:rsid w:val="005F000F"/>
    <w:rsid w:val="005F06C6"/>
    <w:rsid w:val="005F08E5"/>
    <w:rsid w:val="005F0B9E"/>
    <w:rsid w:val="005F10DB"/>
    <w:rsid w:val="005F13D2"/>
    <w:rsid w:val="005F1A4F"/>
    <w:rsid w:val="005F1A7E"/>
    <w:rsid w:val="005F1DE3"/>
    <w:rsid w:val="005F2B7A"/>
    <w:rsid w:val="005F2B85"/>
    <w:rsid w:val="005F2FD2"/>
    <w:rsid w:val="005F32A9"/>
    <w:rsid w:val="005F3702"/>
    <w:rsid w:val="005F3703"/>
    <w:rsid w:val="005F3C84"/>
    <w:rsid w:val="005F425A"/>
    <w:rsid w:val="005F45B3"/>
    <w:rsid w:val="005F468F"/>
    <w:rsid w:val="005F4F3D"/>
    <w:rsid w:val="005F50A8"/>
    <w:rsid w:val="005F5691"/>
    <w:rsid w:val="005F58C5"/>
    <w:rsid w:val="005F59DC"/>
    <w:rsid w:val="005F5ACA"/>
    <w:rsid w:val="005F5BC1"/>
    <w:rsid w:val="005F6CCB"/>
    <w:rsid w:val="005F6E34"/>
    <w:rsid w:val="005F7599"/>
    <w:rsid w:val="005F77F2"/>
    <w:rsid w:val="005F782C"/>
    <w:rsid w:val="00601547"/>
    <w:rsid w:val="006015EC"/>
    <w:rsid w:val="006017E2"/>
    <w:rsid w:val="00601DE1"/>
    <w:rsid w:val="00601EBA"/>
    <w:rsid w:val="006026AE"/>
    <w:rsid w:val="0060272E"/>
    <w:rsid w:val="00602C61"/>
    <w:rsid w:val="00602D39"/>
    <w:rsid w:val="00603219"/>
    <w:rsid w:val="0060350C"/>
    <w:rsid w:val="0060354D"/>
    <w:rsid w:val="0060366E"/>
    <w:rsid w:val="006039EC"/>
    <w:rsid w:val="00604388"/>
    <w:rsid w:val="00605DB4"/>
    <w:rsid w:val="006064BC"/>
    <w:rsid w:val="006065FA"/>
    <w:rsid w:val="00606834"/>
    <w:rsid w:val="00606E7A"/>
    <w:rsid w:val="006072EB"/>
    <w:rsid w:val="0060736D"/>
    <w:rsid w:val="00607870"/>
    <w:rsid w:val="00607BEF"/>
    <w:rsid w:val="00607D9C"/>
    <w:rsid w:val="006108D0"/>
    <w:rsid w:val="00610B7F"/>
    <w:rsid w:val="00610DB5"/>
    <w:rsid w:val="00611260"/>
    <w:rsid w:val="0061176B"/>
    <w:rsid w:val="006119A5"/>
    <w:rsid w:val="0061204D"/>
    <w:rsid w:val="006121DD"/>
    <w:rsid w:val="006127F0"/>
    <w:rsid w:val="00612D6C"/>
    <w:rsid w:val="00613397"/>
    <w:rsid w:val="0061365E"/>
    <w:rsid w:val="0061474F"/>
    <w:rsid w:val="0061478D"/>
    <w:rsid w:val="00614F73"/>
    <w:rsid w:val="006153A5"/>
    <w:rsid w:val="006157D8"/>
    <w:rsid w:val="00615D9F"/>
    <w:rsid w:val="00615FDF"/>
    <w:rsid w:val="00616034"/>
    <w:rsid w:val="0061629F"/>
    <w:rsid w:val="006164D3"/>
    <w:rsid w:val="00616AA7"/>
    <w:rsid w:val="006178CA"/>
    <w:rsid w:val="00617A91"/>
    <w:rsid w:val="00617DA9"/>
    <w:rsid w:val="0062022B"/>
    <w:rsid w:val="00620542"/>
    <w:rsid w:val="00620810"/>
    <w:rsid w:val="0062096E"/>
    <w:rsid w:val="00620B0B"/>
    <w:rsid w:val="00620C70"/>
    <w:rsid w:val="00621084"/>
    <w:rsid w:val="0062145C"/>
    <w:rsid w:val="0062170E"/>
    <w:rsid w:val="006221F5"/>
    <w:rsid w:val="00622D24"/>
    <w:rsid w:val="00623190"/>
    <w:rsid w:val="0062340C"/>
    <w:rsid w:val="00623B1C"/>
    <w:rsid w:val="00623DFF"/>
    <w:rsid w:val="006242CB"/>
    <w:rsid w:val="006242DC"/>
    <w:rsid w:val="006243AC"/>
    <w:rsid w:val="00624F96"/>
    <w:rsid w:val="00625560"/>
    <w:rsid w:val="006257C2"/>
    <w:rsid w:val="00625E1F"/>
    <w:rsid w:val="00626890"/>
    <w:rsid w:val="00626992"/>
    <w:rsid w:val="00626A2D"/>
    <w:rsid w:val="00626A3F"/>
    <w:rsid w:val="00626D2F"/>
    <w:rsid w:val="00626EF9"/>
    <w:rsid w:val="00626F17"/>
    <w:rsid w:val="00627989"/>
    <w:rsid w:val="006279BA"/>
    <w:rsid w:val="00627B23"/>
    <w:rsid w:val="00630D6B"/>
    <w:rsid w:val="00631119"/>
    <w:rsid w:val="006313DD"/>
    <w:rsid w:val="0063154D"/>
    <w:rsid w:val="006315B4"/>
    <w:rsid w:val="00632057"/>
    <w:rsid w:val="0063287B"/>
    <w:rsid w:val="00633358"/>
    <w:rsid w:val="00633767"/>
    <w:rsid w:val="00633808"/>
    <w:rsid w:val="00633BFE"/>
    <w:rsid w:val="006345A1"/>
    <w:rsid w:val="00634646"/>
    <w:rsid w:val="00634855"/>
    <w:rsid w:val="00634C9D"/>
    <w:rsid w:val="00634DE4"/>
    <w:rsid w:val="00635409"/>
    <w:rsid w:val="00635602"/>
    <w:rsid w:val="00635915"/>
    <w:rsid w:val="00635D96"/>
    <w:rsid w:val="0063615D"/>
    <w:rsid w:val="0063631F"/>
    <w:rsid w:val="00636582"/>
    <w:rsid w:val="00636F19"/>
    <w:rsid w:val="00640562"/>
    <w:rsid w:val="00640995"/>
    <w:rsid w:val="00640DDC"/>
    <w:rsid w:val="006414B6"/>
    <w:rsid w:val="006415A6"/>
    <w:rsid w:val="006416A0"/>
    <w:rsid w:val="00641804"/>
    <w:rsid w:val="00641E68"/>
    <w:rsid w:val="00642242"/>
    <w:rsid w:val="00642B40"/>
    <w:rsid w:val="00642E7D"/>
    <w:rsid w:val="006432AE"/>
    <w:rsid w:val="00643411"/>
    <w:rsid w:val="00643615"/>
    <w:rsid w:val="00644D04"/>
    <w:rsid w:val="0064549D"/>
    <w:rsid w:val="006457DB"/>
    <w:rsid w:val="006461C5"/>
    <w:rsid w:val="00646379"/>
    <w:rsid w:val="00646994"/>
    <w:rsid w:val="0064721D"/>
    <w:rsid w:val="0064732E"/>
    <w:rsid w:val="0064741E"/>
    <w:rsid w:val="00647938"/>
    <w:rsid w:val="00647E09"/>
    <w:rsid w:val="006502E6"/>
    <w:rsid w:val="00650BAD"/>
    <w:rsid w:val="00651F51"/>
    <w:rsid w:val="00652080"/>
    <w:rsid w:val="00652B73"/>
    <w:rsid w:val="00652D52"/>
    <w:rsid w:val="00652E24"/>
    <w:rsid w:val="00653320"/>
    <w:rsid w:val="00653781"/>
    <w:rsid w:val="006540A1"/>
    <w:rsid w:val="00654A01"/>
    <w:rsid w:val="006554FE"/>
    <w:rsid w:val="006555E8"/>
    <w:rsid w:val="00656257"/>
    <w:rsid w:val="00656D71"/>
    <w:rsid w:val="0065708F"/>
    <w:rsid w:val="00657A9F"/>
    <w:rsid w:val="0066104F"/>
    <w:rsid w:val="00661278"/>
    <w:rsid w:val="00662240"/>
    <w:rsid w:val="00662796"/>
    <w:rsid w:val="006629C4"/>
    <w:rsid w:val="00662A20"/>
    <w:rsid w:val="00662AD8"/>
    <w:rsid w:val="00662B4C"/>
    <w:rsid w:val="00663185"/>
    <w:rsid w:val="00664BCE"/>
    <w:rsid w:val="006652DE"/>
    <w:rsid w:val="00665632"/>
    <w:rsid w:val="00665883"/>
    <w:rsid w:val="00665A01"/>
    <w:rsid w:val="00667F61"/>
    <w:rsid w:val="0067008B"/>
    <w:rsid w:val="006702F1"/>
    <w:rsid w:val="0067088B"/>
    <w:rsid w:val="00670AF5"/>
    <w:rsid w:val="006711A6"/>
    <w:rsid w:val="00671AA7"/>
    <w:rsid w:val="00671EB2"/>
    <w:rsid w:val="00671FA7"/>
    <w:rsid w:val="006720A5"/>
    <w:rsid w:val="006720EA"/>
    <w:rsid w:val="00672239"/>
    <w:rsid w:val="00672615"/>
    <w:rsid w:val="00672A85"/>
    <w:rsid w:val="00672B87"/>
    <w:rsid w:val="00672F0C"/>
    <w:rsid w:val="00673460"/>
    <w:rsid w:val="006734A0"/>
    <w:rsid w:val="006734EA"/>
    <w:rsid w:val="00673DD0"/>
    <w:rsid w:val="00673E89"/>
    <w:rsid w:val="006741FA"/>
    <w:rsid w:val="00674B59"/>
    <w:rsid w:val="00675AFF"/>
    <w:rsid w:val="00676000"/>
    <w:rsid w:val="00676347"/>
    <w:rsid w:val="00676C61"/>
    <w:rsid w:val="00677744"/>
    <w:rsid w:val="006779BB"/>
    <w:rsid w:val="00677FDB"/>
    <w:rsid w:val="0068008B"/>
    <w:rsid w:val="006806B7"/>
    <w:rsid w:val="00680CB1"/>
    <w:rsid w:val="00680E69"/>
    <w:rsid w:val="0068104A"/>
    <w:rsid w:val="006814EE"/>
    <w:rsid w:val="006818A9"/>
    <w:rsid w:val="00681D1D"/>
    <w:rsid w:val="0068238B"/>
    <w:rsid w:val="006828C0"/>
    <w:rsid w:val="00682B17"/>
    <w:rsid w:val="00682E6B"/>
    <w:rsid w:val="0068305D"/>
    <w:rsid w:val="00683710"/>
    <w:rsid w:val="006838D7"/>
    <w:rsid w:val="00683D70"/>
    <w:rsid w:val="00683FAB"/>
    <w:rsid w:val="00684255"/>
    <w:rsid w:val="006855DC"/>
    <w:rsid w:val="00685846"/>
    <w:rsid w:val="00685850"/>
    <w:rsid w:val="00685A69"/>
    <w:rsid w:val="00685F3F"/>
    <w:rsid w:val="00686B99"/>
    <w:rsid w:val="00686CF7"/>
    <w:rsid w:val="00686E6A"/>
    <w:rsid w:val="006873A6"/>
    <w:rsid w:val="00690252"/>
    <w:rsid w:val="00690CF7"/>
    <w:rsid w:val="00690E0D"/>
    <w:rsid w:val="00690E25"/>
    <w:rsid w:val="006921D3"/>
    <w:rsid w:val="00692476"/>
    <w:rsid w:val="00692A61"/>
    <w:rsid w:val="00692BFC"/>
    <w:rsid w:val="00692EC8"/>
    <w:rsid w:val="00693032"/>
    <w:rsid w:val="006934C8"/>
    <w:rsid w:val="00693B89"/>
    <w:rsid w:val="00693BBE"/>
    <w:rsid w:val="00693E83"/>
    <w:rsid w:val="006943BF"/>
    <w:rsid w:val="00694559"/>
    <w:rsid w:val="00694641"/>
    <w:rsid w:val="006946B9"/>
    <w:rsid w:val="00694848"/>
    <w:rsid w:val="00694902"/>
    <w:rsid w:val="0069595C"/>
    <w:rsid w:val="006963AF"/>
    <w:rsid w:val="00696B2A"/>
    <w:rsid w:val="00697084"/>
    <w:rsid w:val="00697223"/>
    <w:rsid w:val="006979DA"/>
    <w:rsid w:val="006979DB"/>
    <w:rsid w:val="00697CD5"/>
    <w:rsid w:val="006A06B2"/>
    <w:rsid w:val="006A0BEA"/>
    <w:rsid w:val="006A1413"/>
    <w:rsid w:val="006A1BAD"/>
    <w:rsid w:val="006A2360"/>
    <w:rsid w:val="006A23C3"/>
    <w:rsid w:val="006A2606"/>
    <w:rsid w:val="006A2939"/>
    <w:rsid w:val="006A2D6E"/>
    <w:rsid w:val="006A3BD3"/>
    <w:rsid w:val="006A42AF"/>
    <w:rsid w:val="006A46A8"/>
    <w:rsid w:val="006A55E1"/>
    <w:rsid w:val="006A5A2A"/>
    <w:rsid w:val="006A5CAE"/>
    <w:rsid w:val="006A5EE1"/>
    <w:rsid w:val="006A6205"/>
    <w:rsid w:val="006A64C1"/>
    <w:rsid w:val="006A6D09"/>
    <w:rsid w:val="006A6D98"/>
    <w:rsid w:val="006A7198"/>
    <w:rsid w:val="006A79DC"/>
    <w:rsid w:val="006A7E51"/>
    <w:rsid w:val="006A7FF6"/>
    <w:rsid w:val="006B00CE"/>
    <w:rsid w:val="006B0420"/>
    <w:rsid w:val="006B0601"/>
    <w:rsid w:val="006B1129"/>
    <w:rsid w:val="006B2851"/>
    <w:rsid w:val="006B2ADF"/>
    <w:rsid w:val="006B35B4"/>
    <w:rsid w:val="006B35C4"/>
    <w:rsid w:val="006B3C99"/>
    <w:rsid w:val="006B3D40"/>
    <w:rsid w:val="006B4E46"/>
    <w:rsid w:val="006B5571"/>
    <w:rsid w:val="006B5EDE"/>
    <w:rsid w:val="006B5EF2"/>
    <w:rsid w:val="006B6447"/>
    <w:rsid w:val="006B69C8"/>
    <w:rsid w:val="006B7AE2"/>
    <w:rsid w:val="006C09FF"/>
    <w:rsid w:val="006C0CA1"/>
    <w:rsid w:val="006C1027"/>
    <w:rsid w:val="006C1088"/>
    <w:rsid w:val="006C12F9"/>
    <w:rsid w:val="006C14E8"/>
    <w:rsid w:val="006C161A"/>
    <w:rsid w:val="006C1D9F"/>
    <w:rsid w:val="006C2631"/>
    <w:rsid w:val="006C2AC5"/>
    <w:rsid w:val="006C2C16"/>
    <w:rsid w:val="006C2E6D"/>
    <w:rsid w:val="006C31D1"/>
    <w:rsid w:val="006C36B2"/>
    <w:rsid w:val="006C37E6"/>
    <w:rsid w:val="006C3B16"/>
    <w:rsid w:val="006C4B9F"/>
    <w:rsid w:val="006C4E9A"/>
    <w:rsid w:val="006C4FE5"/>
    <w:rsid w:val="006C5179"/>
    <w:rsid w:val="006C51F5"/>
    <w:rsid w:val="006C5821"/>
    <w:rsid w:val="006C5E6C"/>
    <w:rsid w:val="006C6B81"/>
    <w:rsid w:val="006C72FB"/>
    <w:rsid w:val="006C7A36"/>
    <w:rsid w:val="006D01C3"/>
    <w:rsid w:val="006D0B01"/>
    <w:rsid w:val="006D0B69"/>
    <w:rsid w:val="006D12A9"/>
    <w:rsid w:val="006D1A26"/>
    <w:rsid w:val="006D1B03"/>
    <w:rsid w:val="006D2268"/>
    <w:rsid w:val="006D253C"/>
    <w:rsid w:val="006D3730"/>
    <w:rsid w:val="006D39BF"/>
    <w:rsid w:val="006D4920"/>
    <w:rsid w:val="006D4EEF"/>
    <w:rsid w:val="006D5269"/>
    <w:rsid w:val="006D5599"/>
    <w:rsid w:val="006D623D"/>
    <w:rsid w:val="006D6335"/>
    <w:rsid w:val="006D6CDC"/>
    <w:rsid w:val="006D756E"/>
    <w:rsid w:val="006D75BF"/>
    <w:rsid w:val="006D79BA"/>
    <w:rsid w:val="006D79C9"/>
    <w:rsid w:val="006D7AEE"/>
    <w:rsid w:val="006D7EF8"/>
    <w:rsid w:val="006E0173"/>
    <w:rsid w:val="006E038C"/>
    <w:rsid w:val="006E048D"/>
    <w:rsid w:val="006E0569"/>
    <w:rsid w:val="006E0ABF"/>
    <w:rsid w:val="006E1103"/>
    <w:rsid w:val="006E1156"/>
    <w:rsid w:val="006E121C"/>
    <w:rsid w:val="006E1B2E"/>
    <w:rsid w:val="006E1EE8"/>
    <w:rsid w:val="006E2110"/>
    <w:rsid w:val="006E27FF"/>
    <w:rsid w:val="006E2818"/>
    <w:rsid w:val="006E3443"/>
    <w:rsid w:val="006E3531"/>
    <w:rsid w:val="006E363C"/>
    <w:rsid w:val="006E3953"/>
    <w:rsid w:val="006E3A86"/>
    <w:rsid w:val="006E3D10"/>
    <w:rsid w:val="006E3DEC"/>
    <w:rsid w:val="006E413C"/>
    <w:rsid w:val="006E4AAB"/>
    <w:rsid w:val="006E552F"/>
    <w:rsid w:val="006E6E07"/>
    <w:rsid w:val="006E6E39"/>
    <w:rsid w:val="006E77CC"/>
    <w:rsid w:val="006E7DB7"/>
    <w:rsid w:val="006E7E27"/>
    <w:rsid w:val="006F032D"/>
    <w:rsid w:val="006F07EB"/>
    <w:rsid w:val="006F082D"/>
    <w:rsid w:val="006F0A2C"/>
    <w:rsid w:val="006F0F3E"/>
    <w:rsid w:val="006F102C"/>
    <w:rsid w:val="006F11FB"/>
    <w:rsid w:val="006F1C25"/>
    <w:rsid w:val="006F2989"/>
    <w:rsid w:val="006F2B39"/>
    <w:rsid w:val="006F35C4"/>
    <w:rsid w:val="006F39AB"/>
    <w:rsid w:val="006F3D7E"/>
    <w:rsid w:val="006F4134"/>
    <w:rsid w:val="006F4B69"/>
    <w:rsid w:val="006F4DA4"/>
    <w:rsid w:val="006F4E1E"/>
    <w:rsid w:val="006F4F37"/>
    <w:rsid w:val="006F4FAF"/>
    <w:rsid w:val="006F54D4"/>
    <w:rsid w:val="006F668A"/>
    <w:rsid w:val="006F6BBA"/>
    <w:rsid w:val="006F7291"/>
    <w:rsid w:val="006F7889"/>
    <w:rsid w:val="007003E0"/>
    <w:rsid w:val="00700778"/>
    <w:rsid w:val="00700A93"/>
    <w:rsid w:val="00701796"/>
    <w:rsid w:val="007019E6"/>
    <w:rsid w:val="00701C69"/>
    <w:rsid w:val="007022A3"/>
    <w:rsid w:val="00702930"/>
    <w:rsid w:val="00702CEF"/>
    <w:rsid w:val="00702E4E"/>
    <w:rsid w:val="00703471"/>
    <w:rsid w:val="00703957"/>
    <w:rsid w:val="00703997"/>
    <w:rsid w:val="00703A10"/>
    <w:rsid w:val="00703C12"/>
    <w:rsid w:val="00703C6E"/>
    <w:rsid w:val="00703ECD"/>
    <w:rsid w:val="0070445E"/>
    <w:rsid w:val="00704663"/>
    <w:rsid w:val="00704A66"/>
    <w:rsid w:val="00704BAD"/>
    <w:rsid w:val="00704D94"/>
    <w:rsid w:val="00705850"/>
    <w:rsid w:val="00705B7F"/>
    <w:rsid w:val="007061FC"/>
    <w:rsid w:val="00706583"/>
    <w:rsid w:val="00706592"/>
    <w:rsid w:val="007069B1"/>
    <w:rsid w:val="007069C2"/>
    <w:rsid w:val="00707288"/>
    <w:rsid w:val="0070734D"/>
    <w:rsid w:val="00707616"/>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626"/>
    <w:rsid w:val="00714E32"/>
    <w:rsid w:val="00714E95"/>
    <w:rsid w:val="00716A6F"/>
    <w:rsid w:val="00717163"/>
    <w:rsid w:val="00717230"/>
    <w:rsid w:val="00717600"/>
    <w:rsid w:val="00717A37"/>
    <w:rsid w:val="00717AD3"/>
    <w:rsid w:val="00717DC0"/>
    <w:rsid w:val="0072010A"/>
    <w:rsid w:val="007201DF"/>
    <w:rsid w:val="007203E8"/>
    <w:rsid w:val="00720492"/>
    <w:rsid w:val="0072057F"/>
    <w:rsid w:val="00720B21"/>
    <w:rsid w:val="00720E38"/>
    <w:rsid w:val="007210D0"/>
    <w:rsid w:val="00721417"/>
    <w:rsid w:val="007219A3"/>
    <w:rsid w:val="00721BAD"/>
    <w:rsid w:val="00722159"/>
    <w:rsid w:val="007224DA"/>
    <w:rsid w:val="00722770"/>
    <w:rsid w:val="00723B13"/>
    <w:rsid w:val="00724089"/>
    <w:rsid w:val="00724559"/>
    <w:rsid w:val="007247E3"/>
    <w:rsid w:val="00724844"/>
    <w:rsid w:val="00724B9A"/>
    <w:rsid w:val="00724C96"/>
    <w:rsid w:val="00724EEA"/>
    <w:rsid w:val="00724FCF"/>
    <w:rsid w:val="00725A96"/>
    <w:rsid w:val="00725B6E"/>
    <w:rsid w:val="00726E82"/>
    <w:rsid w:val="00727716"/>
    <w:rsid w:val="0073008F"/>
    <w:rsid w:val="007311B3"/>
    <w:rsid w:val="00731450"/>
    <w:rsid w:val="007315F1"/>
    <w:rsid w:val="007316F8"/>
    <w:rsid w:val="0073199D"/>
    <w:rsid w:val="00731BE4"/>
    <w:rsid w:val="00731C66"/>
    <w:rsid w:val="0073211E"/>
    <w:rsid w:val="00732A34"/>
    <w:rsid w:val="00732BA4"/>
    <w:rsid w:val="00733704"/>
    <w:rsid w:val="007340C5"/>
    <w:rsid w:val="00734260"/>
    <w:rsid w:val="00734303"/>
    <w:rsid w:val="0073433F"/>
    <w:rsid w:val="0073451B"/>
    <w:rsid w:val="00734644"/>
    <w:rsid w:val="00734AD0"/>
    <w:rsid w:val="00734B33"/>
    <w:rsid w:val="00734F67"/>
    <w:rsid w:val="0073573B"/>
    <w:rsid w:val="00735C4E"/>
    <w:rsid w:val="00735DCA"/>
    <w:rsid w:val="0073635E"/>
    <w:rsid w:val="00736647"/>
    <w:rsid w:val="00736694"/>
    <w:rsid w:val="0073739D"/>
    <w:rsid w:val="00737503"/>
    <w:rsid w:val="00737CDB"/>
    <w:rsid w:val="00737D10"/>
    <w:rsid w:val="00740A2E"/>
    <w:rsid w:val="00740AB7"/>
    <w:rsid w:val="00740DD8"/>
    <w:rsid w:val="00741170"/>
    <w:rsid w:val="0074142B"/>
    <w:rsid w:val="00741A7D"/>
    <w:rsid w:val="00741B7D"/>
    <w:rsid w:val="00741E94"/>
    <w:rsid w:val="007422FE"/>
    <w:rsid w:val="00742318"/>
    <w:rsid w:val="00742C8B"/>
    <w:rsid w:val="00742D0F"/>
    <w:rsid w:val="00742D47"/>
    <w:rsid w:val="00742D6D"/>
    <w:rsid w:val="00743791"/>
    <w:rsid w:val="00743B96"/>
    <w:rsid w:val="00744159"/>
    <w:rsid w:val="00744588"/>
    <w:rsid w:val="00744E48"/>
    <w:rsid w:val="007451A3"/>
    <w:rsid w:val="00745CDA"/>
    <w:rsid w:val="007461FB"/>
    <w:rsid w:val="00746376"/>
    <w:rsid w:val="00746DB0"/>
    <w:rsid w:val="007504BA"/>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9AE"/>
    <w:rsid w:val="00755D11"/>
    <w:rsid w:val="00756032"/>
    <w:rsid w:val="0075632D"/>
    <w:rsid w:val="00756606"/>
    <w:rsid w:val="0075695E"/>
    <w:rsid w:val="00757633"/>
    <w:rsid w:val="007576A8"/>
    <w:rsid w:val="0075792B"/>
    <w:rsid w:val="0075793E"/>
    <w:rsid w:val="00757D0A"/>
    <w:rsid w:val="00757DBE"/>
    <w:rsid w:val="007604D8"/>
    <w:rsid w:val="007606E7"/>
    <w:rsid w:val="00760C5A"/>
    <w:rsid w:val="00760F19"/>
    <w:rsid w:val="0076159E"/>
    <w:rsid w:val="00761CC9"/>
    <w:rsid w:val="00762546"/>
    <w:rsid w:val="007626DF"/>
    <w:rsid w:val="00763226"/>
    <w:rsid w:val="007638D0"/>
    <w:rsid w:val="00763C06"/>
    <w:rsid w:val="00764C60"/>
    <w:rsid w:val="007656BA"/>
    <w:rsid w:val="007659C3"/>
    <w:rsid w:val="007660A9"/>
    <w:rsid w:val="007662D7"/>
    <w:rsid w:val="0076741A"/>
    <w:rsid w:val="007676AE"/>
    <w:rsid w:val="007679AA"/>
    <w:rsid w:val="00767F7C"/>
    <w:rsid w:val="00767FCB"/>
    <w:rsid w:val="00770D97"/>
    <w:rsid w:val="007716C7"/>
    <w:rsid w:val="00771909"/>
    <w:rsid w:val="00771C0C"/>
    <w:rsid w:val="00771F0A"/>
    <w:rsid w:val="007724AF"/>
    <w:rsid w:val="0077294A"/>
    <w:rsid w:val="0077318D"/>
    <w:rsid w:val="00773694"/>
    <w:rsid w:val="00773854"/>
    <w:rsid w:val="007741AA"/>
    <w:rsid w:val="00774468"/>
    <w:rsid w:val="00774D00"/>
    <w:rsid w:val="00774F36"/>
    <w:rsid w:val="00775250"/>
    <w:rsid w:val="007752F5"/>
    <w:rsid w:val="0077562F"/>
    <w:rsid w:val="00776ADE"/>
    <w:rsid w:val="00776B74"/>
    <w:rsid w:val="00776B9A"/>
    <w:rsid w:val="0077726C"/>
    <w:rsid w:val="0077752D"/>
    <w:rsid w:val="00777815"/>
    <w:rsid w:val="00777AFE"/>
    <w:rsid w:val="00780138"/>
    <w:rsid w:val="00780983"/>
    <w:rsid w:val="00780D19"/>
    <w:rsid w:val="00780D42"/>
    <w:rsid w:val="0078119B"/>
    <w:rsid w:val="007815CE"/>
    <w:rsid w:val="00781F80"/>
    <w:rsid w:val="00782142"/>
    <w:rsid w:val="00782675"/>
    <w:rsid w:val="00782700"/>
    <w:rsid w:val="00782C95"/>
    <w:rsid w:val="007830AA"/>
    <w:rsid w:val="007831ED"/>
    <w:rsid w:val="0078357B"/>
    <w:rsid w:val="007841C0"/>
    <w:rsid w:val="0078475A"/>
    <w:rsid w:val="00784ABF"/>
    <w:rsid w:val="007851BF"/>
    <w:rsid w:val="007851F5"/>
    <w:rsid w:val="0078589B"/>
    <w:rsid w:val="00785BA9"/>
    <w:rsid w:val="00785C88"/>
    <w:rsid w:val="00785F3A"/>
    <w:rsid w:val="007864F1"/>
    <w:rsid w:val="007865DF"/>
    <w:rsid w:val="00786671"/>
    <w:rsid w:val="00786756"/>
    <w:rsid w:val="00786954"/>
    <w:rsid w:val="00786B46"/>
    <w:rsid w:val="00786C9D"/>
    <w:rsid w:val="00787297"/>
    <w:rsid w:val="0078742E"/>
    <w:rsid w:val="00787508"/>
    <w:rsid w:val="007877C6"/>
    <w:rsid w:val="007902F4"/>
    <w:rsid w:val="00790B4B"/>
    <w:rsid w:val="00790B64"/>
    <w:rsid w:val="00790B6C"/>
    <w:rsid w:val="00790DA8"/>
    <w:rsid w:val="00791353"/>
    <w:rsid w:val="0079171C"/>
    <w:rsid w:val="00791BD2"/>
    <w:rsid w:val="00791F1C"/>
    <w:rsid w:val="00792127"/>
    <w:rsid w:val="007924D9"/>
    <w:rsid w:val="00793486"/>
    <w:rsid w:val="00793850"/>
    <w:rsid w:val="007943F2"/>
    <w:rsid w:val="0079454C"/>
    <w:rsid w:val="00794FA3"/>
    <w:rsid w:val="00795617"/>
    <w:rsid w:val="007957F5"/>
    <w:rsid w:val="007958D2"/>
    <w:rsid w:val="007959FD"/>
    <w:rsid w:val="00795A6C"/>
    <w:rsid w:val="00795D0B"/>
    <w:rsid w:val="00795ED5"/>
    <w:rsid w:val="0079601E"/>
    <w:rsid w:val="007966FA"/>
    <w:rsid w:val="00796712"/>
    <w:rsid w:val="007967D0"/>
    <w:rsid w:val="00796A43"/>
    <w:rsid w:val="00797069"/>
    <w:rsid w:val="00797AA2"/>
    <w:rsid w:val="00797C5F"/>
    <w:rsid w:val="00797D05"/>
    <w:rsid w:val="00797EB5"/>
    <w:rsid w:val="007A00B0"/>
    <w:rsid w:val="007A015B"/>
    <w:rsid w:val="007A0B2F"/>
    <w:rsid w:val="007A1098"/>
    <w:rsid w:val="007A1337"/>
    <w:rsid w:val="007A35D2"/>
    <w:rsid w:val="007A3620"/>
    <w:rsid w:val="007A3769"/>
    <w:rsid w:val="007A37CB"/>
    <w:rsid w:val="007A3831"/>
    <w:rsid w:val="007A3A83"/>
    <w:rsid w:val="007A3C42"/>
    <w:rsid w:val="007A3D07"/>
    <w:rsid w:val="007A3DA1"/>
    <w:rsid w:val="007A4018"/>
    <w:rsid w:val="007A4BC1"/>
    <w:rsid w:val="007A4C9A"/>
    <w:rsid w:val="007A4CE4"/>
    <w:rsid w:val="007A50CB"/>
    <w:rsid w:val="007A5507"/>
    <w:rsid w:val="007A5774"/>
    <w:rsid w:val="007A6574"/>
    <w:rsid w:val="007A69D7"/>
    <w:rsid w:val="007A6E0C"/>
    <w:rsid w:val="007A6F46"/>
    <w:rsid w:val="007A7777"/>
    <w:rsid w:val="007A78DF"/>
    <w:rsid w:val="007A7A04"/>
    <w:rsid w:val="007A7D21"/>
    <w:rsid w:val="007A7D92"/>
    <w:rsid w:val="007B015E"/>
    <w:rsid w:val="007B0281"/>
    <w:rsid w:val="007B02F6"/>
    <w:rsid w:val="007B05E0"/>
    <w:rsid w:val="007B06B9"/>
    <w:rsid w:val="007B084F"/>
    <w:rsid w:val="007B0889"/>
    <w:rsid w:val="007B0F93"/>
    <w:rsid w:val="007B15B7"/>
    <w:rsid w:val="007B1A03"/>
    <w:rsid w:val="007B2389"/>
    <w:rsid w:val="007B2537"/>
    <w:rsid w:val="007B3052"/>
    <w:rsid w:val="007B3665"/>
    <w:rsid w:val="007B48D8"/>
    <w:rsid w:val="007B4CF7"/>
    <w:rsid w:val="007B4F36"/>
    <w:rsid w:val="007B50F3"/>
    <w:rsid w:val="007B52F2"/>
    <w:rsid w:val="007B540B"/>
    <w:rsid w:val="007B5710"/>
    <w:rsid w:val="007B571B"/>
    <w:rsid w:val="007B6585"/>
    <w:rsid w:val="007B6A85"/>
    <w:rsid w:val="007B7537"/>
    <w:rsid w:val="007B79FB"/>
    <w:rsid w:val="007B7F1B"/>
    <w:rsid w:val="007B7FF9"/>
    <w:rsid w:val="007C060A"/>
    <w:rsid w:val="007C08AD"/>
    <w:rsid w:val="007C0B1C"/>
    <w:rsid w:val="007C1609"/>
    <w:rsid w:val="007C169F"/>
    <w:rsid w:val="007C1B4A"/>
    <w:rsid w:val="007C1CFB"/>
    <w:rsid w:val="007C369A"/>
    <w:rsid w:val="007C369C"/>
    <w:rsid w:val="007C3A6D"/>
    <w:rsid w:val="007C3E7E"/>
    <w:rsid w:val="007C3F87"/>
    <w:rsid w:val="007C4071"/>
    <w:rsid w:val="007C4273"/>
    <w:rsid w:val="007C5083"/>
    <w:rsid w:val="007C548E"/>
    <w:rsid w:val="007C5B5C"/>
    <w:rsid w:val="007C5B92"/>
    <w:rsid w:val="007C5E76"/>
    <w:rsid w:val="007C5E86"/>
    <w:rsid w:val="007C6310"/>
    <w:rsid w:val="007C7413"/>
    <w:rsid w:val="007C7540"/>
    <w:rsid w:val="007C780D"/>
    <w:rsid w:val="007C7B47"/>
    <w:rsid w:val="007D0159"/>
    <w:rsid w:val="007D0597"/>
    <w:rsid w:val="007D1578"/>
    <w:rsid w:val="007D162C"/>
    <w:rsid w:val="007D1A58"/>
    <w:rsid w:val="007D2312"/>
    <w:rsid w:val="007D2FDC"/>
    <w:rsid w:val="007D35B3"/>
    <w:rsid w:val="007D3981"/>
    <w:rsid w:val="007D41C8"/>
    <w:rsid w:val="007D42D4"/>
    <w:rsid w:val="007D46BC"/>
    <w:rsid w:val="007D502F"/>
    <w:rsid w:val="007D5147"/>
    <w:rsid w:val="007D5A70"/>
    <w:rsid w:val="007D5E2B"/>
    <w:rsid w:val="007D5FFF"/>
    <w:rsid w:val="007D6206"/>
    <w:rsid w:val="007D6916"/>
    <w:rsid w:val="007D71DA"/>
    <w:rsid w:val="007D7C3D"/>
    <w:rsid w:val="007E0198"/>
    <w:rsid w:val="007E07AA"/>
    <w:rsid w:val="007E0862"/>
    <w:rsid w:val="007E0C6D"/>
    <w:rsid w:val="007E0EA6"/>
    <w:rsid w:val="007E172F"/>
    <w:rsid w:val="007E26CF"/>
    <w:rsid w:val="007E28B8"/>
    <w:rsid w:val="007E29D4"/>
    <w:rsid w:val="007E29F4"/>
    <w:rsid w:val="007E3149"/>
    <w:rsid w:val="007E3A3D"/>
    <w:rsid w:val="007E41DE"/>
    <w:rsid w:val="007E4F5B"/>
    <w:rsid w:val="007E5608"/>
    <w:rsid w:val="007E599F"/>
    <w:rsid w:val="007E5A9A"/>
    <w:rsid w:val="007E5CE4"/>
    <w:rsid w:val="007E6F88"/>
    <w:rsid w:val="007E7007"/>
    <w:rsid w:val="007E7058"/>
    <w:rsid w:val="007E7298"/>
    <w:rsid w:val="007E7717"/>
    <w:rsid w:val="007E7DB1"/>
    <w:rsid w:val="007E7F25"/>
    <w:rsid w:val="007F0212"/>
    <w:rsid w:val="007F0655"/>
    <w:rsid w:val="007F177B"/>
    <w:rsid w:val="007F1E8E"/>
    <w:rsid w:val="007F22A4"/>
    <w:rsid w:val="007F253D"/>
    <w:rsid w:val="007F255F"/>
    <w:rsid w:val="007F28B3"/>
    <w:rsid w:val="007F28DC"/>
    <w:rsid w:val="007F29C5"/>
    <w:rsid w:val="007F3055"/>
    <w:rsid w:val="007F3372"/>
    <w:rsid w:val="007F3418"/>
    <w:rsid w:val="007F3C32"/>
    <w:rsid w:val="007F3FDB"/>
    <w:rsid w:val="007F4802"/>
    <w:rsid w:val="007F4AC9"/>
    <w:rsid w:val="007F4B72"/>
    <w:rsid w:val="007F4DA5"/>
    <w:rsid w:val="007F527A"/>
    <w:rsid w:val="007F57B8"/>
    <w:rsid w:val="007F5D7B"/>
    <w:rsid w:val="007F5DBB"/>
    <w:rsid w:val="007F5E58"/>
    <w:rsid w:val="007F61E1"/>
    <w:rsid w:val="007F6212"/>
    <w:rsid w:val="007F69FC"/>
    <w:rsid w:val="007F6E0E"/>
    <w:rsid w:val="007F7271"/>
    <w:rsid w:val="007F79E8"/>
    <w:rsid w:val="00800368"/>
    <w:rsid w:val="00800C9F"/>
    <w:rsid w:val="008015B4"/>
    <w:rsid w:val="00801879"/>
    <w:rsid w:val="00801D33"/>
    <w:rsid w:val="00801F41"/>
    <w:rsid w:val="00801F58"/>
    <w:rsid w:val="00802901"/>
    <w:rsid w:val="00802983"/>
    <w:rsid w:val="00802F21"/>
    <w:rsid w:val="008033C5"/>
    <w:rsid w:val="00803405"/>
    <w:rsid w:val="008039FB"/>
    <w:rsid w:val="00803CE1"/>
    <w:rsid w:val="0080446B"/>
    <w:rsid w:val="00804CA0"/>
    <w:rsid w:val="00805032"/>
    <w:rsid w:val="0080549D"/>
    <w:rsid w:val="00805573"/>
    <w:rsid w:val="00805EC4"/>
    <w:rsid w:val="0080617A"/>
    <w:rsid w:val="00806E0E"/>
    <w:rsid w:val="00806F64"/>
    <w:rsid w:val="00807006"/>
    <w:rsid w:val="00807088"/>
    <w:rsid w:val="0080784F"/>
    <w:rsid w:val="00807D28"/>
    <w:rsid w:val="008103B5"/>
    <w:rsid w:val="00810830"/>
    <w:rsid w:val="00810BA4"/>
    <w:rsid w:val="008113C5"/>
    <w:rsid w:val="0081156D"/>
    <w:rsid w:val="00811C88"/>
    <w:rsid w:val="00811D86"/>
    <w:rsid w:val="00812147"/>
    <w:rsid w:val="0081276E"/>
    <w:rsid w:val="008128E9"/>
    <w:rsid w:val="00812958"/>
    <w:rsid w:val="00812BD6"/>
    <w:rsid w:val="00812E41"/>
    <w:rsid w:val="00812EF3"/>
    <w:rsid w:val="00813683"/>
    <w:rsid w:val="00813D00"/>
    <w:rsid w:val="00813DCB"/>
    <w:rsid w:val="0081418C"/>
    <w:rsid w:val="00814412"/>
    <w:rsid w:val="00814786"/>
    <w:rsid w:val="0081552A"/>
    <w:rsid w:val="00816A4F"/>
    <w:rsid w:val="00816EDE"/>
    <w:rsid w:val="008171A9"/>
    <w:rsid w:val="00817420"/>
    <w:rsid w:val="00817562"/>
    <w:rsid w:val="00817903"/>
    <w:rsid w:val="00817D8C"/>
    <w:rsid w:val="00820019"/>
    <w:rsid w:val="00820763"/>
    <w:rsid w:val="008208DC"/>
    <w:rsid w:val="00820F6B"/>
    <w:rsid w:val="0082102D"/>
    <w:rsid w:val="00821047"/>
    <w:rsid w:val="00821448"/>
    <w:rsid w:val="008217D6"/>
    <w:rsid w:val="00821B36"/>
    <w:rsid w:val="00822079"/>
    <w:rsid w:val="008220E5"/>
    <w:rsid w:val="00822503"/>
    <w:rsid w:val="008227B1"/>
    <w:rsid w:val="008227B3"/>
    <w:rsid w:val="0082369B"/>
    <w:rsid w:val="00823D04"/>
    <w:rsid w:val="0082427E"/>
    <w:rsid w:val="0082449F"/>
    <w:rsid w:val="0082474D"/>
    <w:rsid w:val="00825DD8"/>
    <w:rsid w:val="00826089"/>
    <w:rsid w:val="008260B6"/>
    <w:rsid w:val="00826574"/>
    <w:rsid w:val="00826F78"/>
    <w:rsid w:val="008272B7"/>
    <w:rsid w:val="008272C5"/>
    <w:rsid w:val="00827680"/>
    <w:rsid w:val="00827954"/>
    <w:rsid w:val="00827BA1"/>
    <w:rsid w:val="00827D9B"/>
    <w:rsid w:val="00830945"/>
    <w:rsid w:val="00830E4F"/>
    <w:rsid w:val="008310DE"/>
    <w:rsid w:val="008312FC"/>
    <w:rsid w:val="008315C0"/>
    <w:rsid w:val="008315C2"/>
    <w:rsid w:val="00831806"/>
    <w:rsid w:val="00832081"/>
    <w:rsid w:val="008320FC"/>
    <w:rsid w:val="00832322"/>
    <w:rsid w:val="008324F5"/>
    <w:rsid w:val="008327A8"/>
    <w:rsid w:val="00832908"/>
    <w:rsid w:val="008330CF"/>
    <w:rsid w:val="00833126"/>
    <w:rsid w:val="008333FF"/>
    <w:rsid w:val="00833563"/>
    <w:rsid w:val="008340E7"/>
    <w:rsid w:val="0083457D"/>
    <w:rsid w:val="00834778"/>
    <w:rsid w:val="0083477E"/>
    <w:rsid w:val="00834DF9"/>
    <w:rsid w:val="008355E1"/>
    <w:rsid w:val="00835A61"/>
    <w:rsid w:val="00835D7A"/>
    <w:rsid w:val="00835EE9"/>
    <w:rsid w:val="008369E8"/>
    <w:rsid w:val="00836B32"/>
    <w:rsid w:val="00836D95"/>
    <w:rsid w:val="00836F8F"/>
    <w:rsid w:val="008373AF"/>
    <w:rsid w:val="00837566"/>
    <w:rsid w:val="0083767B"/>
    <w:rsid w:val="008376B6"/>
    <w:rsid w:val="00837C38"/>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A31"/>
    <w:rsid w:val="00844B71"/>
    <w:rsid w:val="00844EAA"/>
    <w:rsid w:val="00845483"/>
    <w:rsid w:val="008462B6"/>
    <w:rsid w:val="00846924"/>
    <w:rsid w:val="00847424"/>
    <w:rsid w:val="00850645"/>
    <w:rsid w:val="00852493"/>
    <w:rsid w:val="008527A8"/>
    <w:rsid w:val="00852AC4"/>
    <w:rsid w:val="00852FCB"/>
    <w:rsid w:val="008532AE"/>
    <w:rsid w:val="00853382"/>
    <w:rsid w:val="00853CE3"/>
    <w:rsid w:val="00854251"/>
    <w:rsid w:val="008543C4"/>
    <w:rsid w:val="00854ACF"/>
    <w:rsid w:val="0085531D"/>
    <w:rsid w:val="008555D4"/>
    <w:rsid w:val="0085565F"/>
    <w:rsid w:val="00855876"/>
    <w:rsid w:val="00855BA6"/>
    <w:rsid w:val="008563AC"/>
    <w:rsid w:val="0085659D"/>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417"/>
    <w:rsid w:val="00861718"/>
    <w:rsid w:val="00861A85"/>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104"/>
    <w:rsid w:val="00867F24"/>
    <w:rsid w:val="008703F2"/>
    <w:rsid w:val="00870644"/>
    <w:rsid w:val="00870BA2"/>
    <w:rsid w:val="00872227"/>
    <w:rsid w:val="0087299D"/>
    <w:rsid w:val="008733AB"/>
    <w:rsid w:val="00873CC6"/>
    <w:rsid w:val="00873D8C"/>
    <w:rsid w:val="00873F07"/>
    <w:rsid w:val="00873F8F"/>
    <w:rsid w:val="008743A2"/>
    <w:rsid w:val="00874A67"/>
    <w:rsid w:val="0087557D"/>
    <w:rsid w:val="008759D3"/>
    <w:rsid w:val="00875D1B"/>
    <w:rsid w:val="00875EB9"/>
    <w:rsid w:val="008761E2"/>
    <w:rsid w:val="008765D3"/>
    <w:rsid w:val="0087693F"/>
    <w:rsid w:val="0087697F"/>
    <w:rsid w:val="00876A80"/>
    <w:rsid w:val="00876C16"/>
    <w:rsid w:val="00876F04"/>
    <w:rsid w:val="00876F08"/>
    <w:rsid w:val="00877BE7"/>
    <w:rsid w:val="00877F66"/>
    <w:rsid w:val="00880999"/>
    <w:rsid w:val="00880FE4"/>
    <w:rsid w:val="00881181"/>
    <w:rsid w:val="00881289"/>
    <w:rsid w:val="008812CF"/>
    <w:rsid w:val="00881473"/>
    <w:rsid w:val="008816C5"/>
    <w:rsid w:val="008816CF"/>
    <w:rsid w:val="00881C97"/>
    <w:rsid w:val="00881E9F"/>
    <w:rsid w:val="008823D5"/>
    <w:rsid w:val="008827A9"/>
    <w:rsid w:val="0088342E"/>
    <w:rsid w:val="00883544"/>
    <w:rsid w:val="00883DE1"/>
    <w:rsid w:val="008842C2"/>
    <w:rsid w:val="0088439D"/>
    <w:rsid w:val="00884809"/>
    <w:rsid w:val="00884F50"/>
    <w:rsid w:val="00884F52"/>
    <w:rsid w:val="00884F55"/>
    <w:rsid w:val="008851F6"/>
    <w:rsid w:val="00885539"/>
    <w:rsid w:val="008855C4"/>
    <w:rsid w:val="00885957"/>
    <w:rsid w:val="0088630D"/>
    <w:rsid w:val="008874DD"/>
    <w:rsid w:val="00887853"/>
    <w:rsid w:val="00887F8A"/>
    <w:rsid w:val="008903E5"/>
    <w:rsid w:val="00890486"/>
    <w:rsid w:val="00890724"/>
    <w:rsid w:val="00890756"/>
    <w:rsid w:val="00891295"/>
    <w:rsid w:val="00891848"/>
    <w:rsid w:val="00891927"/>
    <w:rsid w:val="00891A8C"/>
    <w:rsid w:val="00891C99"/>
    <w:rsid w:val="00891D8E"/>
    <w:rsid w:val="00892C79"/>
    <w:rsid w:val="00893628"/>
    <w:rsid w:val="00893A0A"/>
    <w:rsid w:val="00894507"/>
    <w:rsid w:val="008952CB"/>
    <w:rsid w:val="0089649B"/>
    <w:rsid w:val="00896736"/>
    <w:rsid w:val="00896B22"/>
    <w:rsid w:val="00896FF0"/>
    <w:rsid w:val="0089704F"/>
    <w:rsid w:val="0089737D"/>
    <w:rsid w:val="00897656"/>
    <w:rsid w:val="00897767"/>
    <w:rsid w:val="008A0566"/>
    <w:rsid w:val="008A06C2"/>
    <w:rsid w:val="008A07AE"/>
    <w:rsid w:val="008A163E"/>
    <w:rsid w:val="008A19A6"/>
    <w:rsid w:val="008A2208"/>
    <w:rsid w:val="008A23C8"/>
    <w:rsid w:val="008A2992"/>
    <w:rsid w:val="008A2F41"/>
    <w:rsid w:val="008A366A"/>
    <w:rsid w:val="008A3DB6"/>
    <w:rsid w:val="008A426A"/>
    <w:rsid w:val="008A4418"/>
    <w:rsid w:val="008A51B0"/>
    <w:rsid w:val="008A5A1A"/>
    <w:rsid w:val="008A5D72"/>
    <w:rsid w:val="008A600F"/>
    <w:rsid w:val="008A6186"/>
    <w:rsid w:val="008A66F3"/>
    <w:rsid w:val="008A691E"/>
    <w:rsid w:val="008A7096"/>
    <w:rsid w:val="008A7A70"/>
    <w:rsid w:val="008B0267"/>
    <w:rsid w:val="008B140F"/>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1F4A"/>
    <w:rsid w:val="008C212E"/>
    <w:rsid w:val="008C2C5E"/>
    <w:rsid w:val="008C3066"/>
    <w:rsid w:val="008C30E9"/>
    <w:rsid w:val="008C3142"/>
    <w:rsid w:val="008C3866"/>
    <w:rsid w:val="008C3DF6"/>
    <w:rsid w:val="008C3E06"/>
    <w:rsid w:val="008C4715"/>
    <w:rsid w:val="008C4BC7"/>
    <w:rsid w:val="008C52AF"/>
    <w:rsid w:val="008C5D1A"/>
    <w:rsid w:val="008C5DC8"/>
    <w:rsid w:val="008C5F3A"/>
    <w:rsid w:val="008C60EF"/>
    <w:rsid w:val="008C65E2"/>
    <w:rsid w:val="008C6BE6"/>
    <w:rsid w:val="008C6FE0"/>
    <w:rsid w:val="008C7522"/>
    <w:rsid w:val="008D032E"/>
    <w:rsid w:val="008D0356"/>
    <w:rsid w:val="008D077F"/>
    <w:rsid w:val="008D1336"/>
    <w:rsid w:val="008D1615"/>
    <w:rsid w:val="008D184D"/>
    <w:rsid w:val="008D20C3"/>
    <w:rsid w:val="008D319B"/>
    <w:rsid w:val="008D3384"/>
    <w:rsid w:val="008D3AB7"/>
    <w:rsid w:val="008D3AFD"/>
    <w:rsid w:val="008D3BE8"/>
    <w:rsid w:val="008D3DDB"/>
    <w:rsid w:val="008D3F72"/>
    <w:rsid w:val="008D4102"/>
    <w:rsid w:val="008D4475"/>
    <w:rsid w:val="008D46A6"/>
    <w:rsid w:val="008D48C2"/>
    <w:rsid w:val="008D5722"/>
    <w:rsid w:val="008D5F45"/>
    <w:rsid w:val="008D6522"/>
    <w:rsid w:val="008D69AE"/>
    <w:rsid w:val="008D6CA6"/>
    <w:rsid w:val="008D6E3F"/>
    <w:rsid w:val="008D7488"/>
    <w:rsid w:val="008D7C55"/>
    <w:rsid w:val="008E0062"/>
    <w:rsid w:val="008E07A5"/>
    <w:rsid w:val="008E0FE2"/>
    <w:rsid w:val="008E1B42"/>
    <w:rsid w:val="008E26ED"/>
    <w:rsid w:val="008E2C46"/>
    <w:rsid w:val="008E33D1"/>
    <w:rsid w:val="008E41BD"/>
    <w:rsid w:val="008E45C5"/>
    <w:rsid w:val="008E46E9"/>
    <w:rsid w:val="008E4BF7"/>
    <w:rsid w:val="008E529F"/>
    <w:rsid w:val="008E5B79"/>
    <w:rsid w:val="008E5C06"/>
    <w:rsid w:val="008E6959"/>
    <w:rsid w:val="008E70F1"/>
    <w:rsid w:val="008E71FE"/>
    <w:rsid w:val="008E7F69"/>
    <w:rsid w:val="008F03C6"/>
    <w:rsid w:val="008F0928"/>
    <w:rsid w:val="008F0C7E"/>
    <w:rsid w:val="008F1003"/>
    <w:rsid w:val="008F12C0"/>
    <w:rsid w:val="008F154F"/>
    <w:rsid w:val="008F1B9D"/>
    <w:rsid w:val="008F229B"/>
    <w:rsid w:val="008F28E5"/>
    <w:rsid w:val="008F2964"/>
    <w:rsid w:val="008F2F66"/>
    <w:rsid w:val="008F301F"/>
    <w:rsid w:val="008F3051"/>
    <w:rsid w:val="008F3101"/>
    <w:rsid w:val="008F364F"/>
    <w:rsid w:val="008F3E60"/>
    <w:rsid w:val="008F3FD3"/>
    <w:rsid w:val="008F5117"/>
    <w:rsid w:val="008F5818"/>
    <w:rsid w:val="008F5879"/>
    <w:rsid w:val="008F5883"/>
    <w:rsid w:val="008F5C48"/>
    <w:rsid w:val="008F5C69"/>
    <w:rsid w:val="008F6131"/>
    <w:rsid w:val="008F6355"/>
    <w:rsid w:val="008F746E"/>
    <w:rsid w:val="008F7BEB"/>
    <w:rsid w:val="009000F8"/>
    <w:rsid w:val="009007CC"/>
    <w:rsid w:val="00900DFF"/>
    <w:rsid w:val="00900EB8"/>
    <w:rsid w:val="0090172D"/>
    <w:rsid w:val="009018E9"/>
    <w:rsid w:val="0090195A"/>
    <w:rsid w:val="009029E1"/>
    <w:rsid w:val="00902AB6"/>
    <w:rsid w:val="00902EE4"/>
    <w:rsid w:val="00903C78"/>
    <w:rsid w:val="00903E2A"/>
    <w:rsid w:val="00903FEE"/>
    <w:rsid w:val="009043FE"/>
    <w:rsid w:val="009044E4"/>
    <w:rsid w:val="00904AAE"/>
    <w:rsid w:val="00904D27"/>
    <w:rsid w:val="00904DBD"/>
    <w:rsid w:val="009055E9"/>
    <w:rsid w:val="0090574E"/>
    <w:rsid w:val="0090578D"/>
    <w:rsid w:val="00905940"/>
    <w:rsid w:val="00905C36"/>
    <w:rsid w:val="00905F89"/>
    <w:rsid w:val="009101D3"/>
    <w:rsid w:val="009104A1"/>
    <w:rsid w:val="00910B56"/>
    <w:rsid w:val="00910F3C"/>
    <w:rsid w:val="009115D1"/>
    <w:rsid w:val="009117E4"/>
    <w:rsid w:val="009117EB"/>
    <w:rsid w:val="009118BC"/>
    <w:rsid w:val="00911A9C"/>
    <w:rsid w:val="00912253"/>
    <w:rsid w:val="0091239F"/>
    <w:rsid w:val="009125F6"/>
    <w:rsid w:val="00912721"/>
    <w:rsid w:val="00913E57"/>
    <w:rsid w:val="00913F32"/>
    <w:rsid w:val="00914166"/>
    <w:rsid w:val="00914B4B"/>
    <w:rsid w:val="00914CE9"/>
    <w:rsid w:val="009155F6"/>
    <w:rsid w:val="00915D9E"/>
    <w:rsid w:val="00915DB2"/>
    <w:rsid w:val="00916134"/>
    <w:rsid w:val="00916288"/>
    <w:rsid w:val="00916478"/>
    <w:rsid w:val="00916B28"/>
    <w:rsid w:val="00916C74"/>
    <w:rsid w:val="00916D77"/>
    <w:rsid w:val="0091721A"/>
    <w:rsid w:val="00917244"/>
    <w:rsid w:val="00917609"/>
    <w:rsid w:val="00917806"/>
    <w:rsid w:val="00920110"/>
    <w:rsid w:val="0092028F"/>
    <w:rsid w:val="00920881"/>
    <w:rsid w:val="00920C8F"/>
    <w:rsid w:val="009211B9"/>
    <w:rsid w:val="00922833"/>
    <w:rsid w:val="009228BA"/>
    <w:rsid w:val="00922951"/>
    <w:rsid w:val="00923475"/>
    <w:rsid w:val="00923522"/>
    <w:rsid w:val="00923F13"/>
    <w:rsid w:val="00924152"/>
    <w:rsid w:val="0092445E"/>
    <w:rsid w:val="00924B14"/>
    <w:rsid w:val="00924F4E"/>
    <w:rsid w:val="0092541A"/>
    <w:rsid w:val="00925CBE"/>
    <w:rsid w:val="00925EF5"/>
    <w:rsid w:val="00925F0B"/>
    <w:rsid w:val="00925FF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5BBC"/>
    <w:rsid w:val="009369F5"/>
    <w:rsid w:val="00936C98"/>
    <w:rsid w:val="00937158"/>
    <w:rsid w:val="00937358"/>
    <w:rsid w:val="009377A8"/>
    <w:rsid w:val="009377C7"/>
    <w:rsid w:val="00937B50"/>
    <w:rsid w:val="00937E97"/>
    <w:rsid w:val="009403FD"/>
    <w:rsid w:val="00940476"/>
    <w:rsid w:val="00940B78"/>
    <w:rsid w:val="00940E0C"/>
    <w:rsid w:val="00941044"/>
    <w:rsid w:val="00941977"/>
    <w:rsid w:val="00941D55"/>
    <w:rsid w:val="009420AD"/>
    <w:rsid w:val="009425B0"/>
    <w:rsid w:val="00942AA1"/>
    <w:rsid w:val="00942F56"/>
    <w:rsid w:val="009433A8"/>
    <w:rsid w:val="009434BF"/>
    <w:rsid w:val="0094364F"/>
    <w:rsid w:val="00943898"/>
    <w:rsid w:val="00943CB4"/>
    <w:rsid w:val="00943E8A"/>
    <w:rsid w:val="00943FEE"/>
    <w:rsid w:val="009448AB"/>
    <w:rsid w:val="00945F56"/>
    <w:rsid w:val="0094627B"/>
    <w:rsid w:val="009472F6"/>
    <w:rsid w:val="00947621"/>
    <w:rsid w:val="00947C31"/>
    <w:rsid w:val="00950317"/>
    <w:rsid w:val="00950350"/>
    <w:rsid w:val="0095097F"/>
    <w:rsid w:val="0095136F"/>
    <w:rsid w:val="00951B93"/>
    <w:rsid w:val="00951BC7"/>
    <w:rsid w:val="00951E4D"/>
    <w:rsid w:val="009522B7"/>
    <w:rsid w:val="009527EA"/>
    <w:rsid w:val="00952AE5"/>
    <w:rsid w:val="0095412E"/>
    <w:rsid w:val="00954203"/>
    <w:rsid w:val="00954D67"/>
    <w:rsid w:val="009550C2"/>
    <w:rsid w:val="00955C5A"/>
    <w:rsid w:val="00955E7E"/>
    <w:rsid w:val="00955EC2"/>
    <w:rsid w:val="009564E1"/>
    <w:rsid w:val="009566C8"/>
    <w:rsid w:val="00956B05"/>
    <w:rsid w:val="009573B3"/>
    <w:rsid w:val="00957742"/>
    <w:rsid w:val="00960075"/>
    <w:rsid w:val="009606E5"/>
    <w:rsid w:val="00960855"/>
    <w:rsid w:val="00960C0E"/>
    <w:rsid w:val="00960D7B"/>
    <w:rsid w:val="00961460"/>
    <w:rsid w:val="009616DC"/>
    <w:rsid w:val="009618CD"/>
    <w:rsid w:val="00961AD8"/>
    <w:rsid w:val="00961B93"/>
    <w:rsid w:val="00961C20"/>
    <w:rsid w:val="00961DB8"/>
    <w:rsid w:val="009626FD"/>
    <w:rsid w:val="00962D20"/>
    <w:rsid w:val="0096372B"/>
    <w:rsid w:val="009639BD"/>
    <w:rsid w:val="00964828"/>
    <w:rsid w:val="00964AFE"/>
    <w:rsid w:val="00965ED6"/>
    <w:rsid w:val="00966C24"/>
    <w:rsid w:val="009670A0"/>
    <w:rsid w:val="0096711F"/>
    <w:rsid w:val="00967184"/>
    <w:rsid w:val="009671B5"/>
    <w:rsid w:val="009671F2"/>
    <w:rsid w:val="009676C5"/>
    <w:rsid w:val="00967719"/>
    <w:rsid w:val="00967C48"/>
    <w:rsid w:val="00970635"/>
    <w:rsid w:val="0097178B"/>
    <w:rsid w:val="00972375"/>
    <w:rsid w:val="00972A59"/>
    <w:rsid w:val="00972DC8"/>
    <w:rsid w:val="009733BD"/>
    <w:rsid w:val="00973AC0"/>
    <w:rsid w:val="00973F5C"/>
    <w:rsid w:val="00974566"/>
    <w:rsid w:val="00974758"/>
    <w:rsid w:val="009758CB"/>
    <w:rsid w:val="0097703A"/>
    <w:rsid w:val="00977E01"/>
    <w:rsid w:val="009806B2"/>
    <w:rsid w:val="00980BA4"/>
    <w:rsid w:val="0098142A"/>
    <w:rsid w:val="009818AD"/>
    <w:rsid w:val="00981A13"/>
    <w:rsid w:val="0098210A"/>
    <w:rsid w:val="00982399"/>
    <w:rsid w:val="0098267A"/>
    <w:rsid w:val="009828FF"/>
    <w:rsid w:val="0098312F"/>
    <w:rsid w:val="0098383F"/>
    <w:rsid w:val="00983AC8"/>
    <w:rsid w:val="00983F75"/>
    <w:rsid w:val="009841A7"/>
    <w:rsid w:val="009855B9"/>
    <w:rsid w:val="00985A0F"/>
    <w:rsid w:val="00986368"/>
    <w:rsid w:val="00986688"/>
    <w:rsid w:val="009869DB"/>
    <w:rsid w:val="00987077"/>
    <w:rsid w:val="00987083"/>
    <w:rsid w:val="00987369"/>
    <w:rsid w:val="00987BFF"/>
    <w:rsid w:val="0099062D"/>
    <w:rsid w:val="0099089F"/>
    <w:rsid w:val="00990DD8"/>
    <w:rsid w:val="009912B3"/>
    <w:rsid w:val="00991FA1"/>
    <w:rsid w:val="00992414"/>
    <w:rsid w:val="00992FAB"/>
    <w:rsid w:val="00993B40"/>
    <w:rsid w:val="00994283"/>
    <w:rsid w:val="00994501"/>
    <w:rsid w:val="009949AE"/>
    <w:rsid w:val="00995213"/>
    <w:rsid w:val="0099543C"/>
    <w:rsid w:val="00995820"/>
    <w:rsid w:val="00995DD1"/>
    <w:rsid w:val="009960B3"/>
    <w:rsid w:val="00996C92"/>
    <w:rsid w:val="00997CB0"/>
    <w:rsid w:val="00997D26"/>
    <w:rsid w:val="009A0485"/>
    <w:rsid w:val="009A0769"/>
    <w:rsid w:val="009A0876"/>
    <w:rsid w:val="009A095B"/>
    <w:rsid w:val="009A09DC"/>
    <w:rsid w:val="009A1FF2"/>
    <w:rsid w:val="009A4199"/>
    <w:rsid w:val="009A4325"/>
    <w:rsid w:val="009A44A0"/>
    <w:rsid w:val="009A4566"/>
    <w:rsid w:val="009A4656"/>
    <w:rsid w:val="009A4B25"/>
    <w:rsid w:val="009A60C8"/>
    <w:rsid w:val="009A6BFE"/>
    <w:rsid w:val="009A6D73"/>
    <w:rsid w:val="009A709D"/>
    <w:rsid w:val="009B040A"/>
    <w:rsid w:val="009B04E7"/>
    <w:rsid w:val="009B0556"/>
    <w:rsid w:val="009B062B"/>
    <w:rsid w:val="009B0BA1"/>
    <w:rsid w:val="009B0C68"/>
    <w:rsid w:val="009B13D9"/>
    <w:rsid w:val="009B1664"/>
    <w:rsid w:val="009B182D"/>
    <w:rsid w:val="009B213D"/>
    <w:rsid w:val="009B2D9B"/>
    <w:rsid w:val="009B33EF"/>
    <w:rsid w:val="009B36AC"/>
    <w:rsid w:val="009B3876"/>
    <w:rsid w:val="009B3BEA"/>
    <w:rsid w:val="009B4205"/>
    <w:rsid w:val="009B42D9"/>
    <w:rsid w:val="009B4D85"/>
    <w:rsid w:val="009B5013"/>
    <w:rsid w:val="009B66D4"/>
    <w:rsid w:val="009B69A9"/>
    <w:rsid w:val="009B7032"/>
    <w:rsid w:val="009B72B5"/>
    <w:rsid w:val="009B7574"/>
    <w:rsid w:val="009B76C8"/>
    <w:rsid w:val="009B79F5"/>
    <w:rsid w:val="009C0316"/>
    <w:rsid w:val="009C0369"/>
    <w:rsid w:val="009C0485"/>
    <w:rsid w:val="009C050B"/>
    <w:rsid w:val="009C162B"/>
    <w:rsid w:val="009C1667"/>
    <w:rsid w:val="009C17BE"/>
    <w:rsid w:val="009C1800"/>
    <w:rsid w:val="009C186D"/>
    <w:rsid w:val="009C1A71"/>
    <w:rsid w:val="009C1F8E"/>
    <w:rsid w:val="009C313E"/>
    <w:rsid w:val="009C3214"/>
    <w:rsid w:val="009C340B"/>
    <w:rsid w:val="009C3F94"/>
    <w:rsid w:val="009C418E"/>
    <w:rsid w:val="009C4A1F"/>
    <w:rsid w:val="009C50A1"/>
    <w:rsid w:val="009C5468"/>
    <w:rsid w:val="009C58BB"/>
    <w:rsid w:val="009C5B8D"/>
    <w:rsid w:val="009C6332"/>
    <w:rsid w:val="009C65ED"/>
    <w:rsid w:val="009C6646"/>
    <w:rsid w:val="009C676E"/>
    <w:rsid w:val="009C6C4A"/>
    <w:rsid w:val="009C6E42"/>
    <w:rsid w:val="009C6FEF"/>
    <w:rsid w:val="009C71BD"/>
    <w:rsid w:val="009D06F3"/>
    <w:rsid w:val="009D0B29"/>
    <w:rsid w:val="009D0B59"/>
    <w:rsid w:val="009D0EB5"/>
    <w:rsid w:val="009D11A9"/>
    <w:rsid w:val="009D1426"/>
    <w:rsid w:val="009D2050"/>
    <w:rsid w:val="009D2291"/>
    <w:rsid w:val="009D279D"/>
    <w:rsid w:val="009D2F2D"/>
    <w:rsid w:val="009D3223"/>
    <w:rsid w:val="009D3B17"/>
    <w:rsid w:val="009D3B81"/>
    <w:rsid w:val="009D4D26"/>
    <w:rsid w:val="009D4EC6"/>
    <w:rsid w:val="009D5B25"/>
    <w:rsid w:val="009D6373"/>
    <w:rsid w:val="009D6702"/>
    <w:rsid w:val="009D6D4C"/>
    <w:rsid w:val="009D7355"/>
    <w:rsid w:val="009D760B"/>
    <w:rsid w:val="009D7646"/>
    <w:rsid w:val="009D7693"/>
    <w:rsid w:val="009E153C"/>
    <w:rsid w:val="009E1CD9"/>
    <w:rsid w:val="009E1FFC"/>
    <w:rsid w:val="009E2CB4"/>
    <w:rsid w:val="009E2F0C"/>
    <w:rsid w:val="009E3299"/>
    <w:rsid w:val="009E34DE"/>
    <w:rsid w:val="009E3572"/>
    <w:rsid w:val="009E38DA"/>
    <w:rsid w:val="009E3C13"/>
    <w:rsid w:val="009E41EB"/>
    <w:rsid w:val="009E4336"/>
    <w:rsid w:val="009E44CB"/>
    <w:rsid w:val="009E4C9D"/>
    <w:rsid w:val="009E55A1"/>
    <w:rsid w:val="009E59D5"/>
    <w:rsid w:val="009E5F5B"/>
    <w:rsid w:val="009E67EF"/>
    <w:rsid w:val="009E6D02"/>
    <w:rsid w:val="009E78CF"/>
    <w:rsid w:val="009E790F"/>
    <w:rsid w:val="009F0DE9"/>
    <w:rsid w:val="009F1108"/>
    <w:rsid w:val="009F1167"/>
    <w:rsid w:val="009F168C"/>
    <w:rsid w:val="009F1AD3"/>
    <w:rsid w:val="009F1C90"/>
    <w:rsid w:val="009F1CBE"/>
    <w:rsid w:val="009F2B01"/>
    <w:rsid w:val="009F2CDD"/>
    <w:rsid w:val="009F2DAA"/>
    <w:rsid w:val="009F3372"/>
    <w:rsid w:val="009F3760"/>
    <w:rsid w:val="009F382A"/>
    <w:rsid w:val="009F417E"/>
    <w:rsid w:val="009F446C"/>
    <w:rsid w:val="009F459A"/>
    <w:rsid w:val="009F5DBE"/>
    <w:rsid w:val="009F60AA"/>
    <w:rsid w:val="009F612C"/>
    <w:rsid w:val="009F673E"/>
    <w:rsid w:val="009F6B5E"/>
    <w:rsid w:val="009F6FA2"/>
    <w:rsid w:val="009F72D5"/>
    <w:rsid w:val="009F753E"/>
    <w:rsid w:val="009F778C"/>
    <w:rsid w:val="00A0034C"/>
    <w:rsid w:val="00A006E0"/>
    <w:rsid w:val="00A00753"/>
    <w:rsid w:val="00A00BD5"/>
    <w:rsid w:val="00A01004"/>
    <w:rsid w:val="00A016A0"/>
    <w:rsid w:val="00A01A14"/>
    <w:rsid w:val="00A01B35"/>
    <w:rsid w:val="00A0275A"/>
    <w:rsid w:val="00A02C00"/>
    <w:rsid w:val="00A033BB"/>
    <w:rsid w:val="00A03952"/>
    <w:rsid w:val="00A03BC8"/>
    <w:rsid w:val="00A0463D"/>
    <w:rsid w:val="00A046EE"/>
    <w:rsid w:val="00A05703"/>
    <w:rsid w:val="00A060A0"/>
    <w:rsid w:val="00A060B6"/>
    <w:rsid w:val="00A0616C"/>
    <w:rsid w:val="00A0652D"/>
    <w:rsid w:val="00A0685C"/>
    <w:rsid w:val="00A06B34"/>
    <w:rsid w:val="00A07879"/>
    <w:rsid w:val="00A07DB9"/>
    <w:rsid w:val="00A10903"/>
    <w:rsid w:val="00A10D69"/>
    <w:rsid w:val="00A10FDD"/>
    <w:rsid w:val="00A119F1"/>
    <w:rsid w:val="00A11C44"/>
    <w:rsid w:val="00A11C50"/>
    <w:rsid w:val="00A1237A"/>
    <w:rsid w:val="00A125D3"/>
    <w:rsid w:val="00A1284E"/>
    <w:rsid w:val="00A12C6C"/>
    <w:rsid w:val="00A12EE9"/>
    <w:rsid w:val="00A1308F"/>
    <w:rsid w:val="00A134D6"/>
    <w:rsid w:val="00A1389F"/>
    <w:rsid w:val="00A13B3B"/>
    <w:rsid w:val="00A1446A"/>
    <w:rsid w:val="00A148A5"/>
    <w:rsid w:val="00A14C61"/>
    <w:rsid w:val="00A15577"/>
    <w:rsid w:val="00A157CB"/>
    <w:rsid w:val="00A15EA3"/>
    <w:rsid w:val="00A165DB"/>
    <w:rsid w:val="00A16721"/>
    <w:rsid w:val="00A1750A"/>
    <w:rsid w:val="00A17676"/>
    <w:rsid w:val="00A200AF"/>
    <w:rsid w:val="00A200BC"/>
    <w:rsid w:val="00A20C6C"/>
    <w:rsid w:val="00A21529"/>
    <w:rsid w:val="00A2153D"/>
    <w:rsid w:val="00A22EEE"/>
    <w:rsid w:val="00A234BB"/>
    <w:rsid w:val="00A23F97"/>
    <w:rsid w:val="00A244BC"/>
    <w:rsid w:val="00A244C8"/>
    <w:rsid w:val="00A24566"/>
    <w:rsid w:val="00A24682"/>
    <w:rsid w:val="00A24E73"/>
    <w:rsid w:val="00A254E2"/>
    <w:rsid w:val="00A25917"/>
    <w:rsid w:val="00A26190"/>
    <w:rsid w:val="00A262DF"/>
    <w:rsid w:val="00A2683A"/>
    <w:rsid w:val="00A2739B"/>
    <w:rsid w:val="00A276DA"/>
    <w:rsid w:val="00A278AA"/>
    <w:rsid w:val="00A30213"/>
    <w:rsid w:val="00A30453"/>
    <w:rsid w:val="00A31145"/>
    <w:rsid w:val="00A314CF"/>
    <w:rsid w:val="00A318A3"/>
    <w:rsid w:val="00A323EA"/>
    <w:rsid w:val="00A32445"/>
    <w:rsid w:val="00A32DC7"/>
    <w:rsid w:val="00A3316B"/>
    <w:rsid w:val="00A333F8"/>
    <w:rsid w:val="00A33469"/>
    <w:rsid w:val="00A33A15"/>
    <w:rsid w:val="00A33D08"/>
    <w:rsid w:val="00A33F98"/>
    <w:rsid w:val="00A34125"/>
    <w:rsid w:val="00A342BC"/>
    <w:rsid w:val="00A34A06"/>
    <w:rsid w:val="00A35B2F"/>
    <w:rsid w:val="00A35DA9"/>
    <w:rsid w:val="00A35E56"/>
    <w:rsid w:val="00A36507"/>
    <w:rsid w:val="00A368EE"/>
    <w:rsid w:val="00A36DC8"/>
    <w:rsid w:val="00A375BD"/>
    <w:rsid w:val="00A3763D"/>
    <w:rsid w:val="00A406F5"/>
    <w:rsid w:val="00A40791"/>
    <w:rsid w:val="00A40E1B"/>
    <w:rsid w:val="00A41292"/>
    <w:rsid w:val="00A41714"/>
    <w:rsid w:val="00A41800"/>
    <w:rsid w:val="00A42228"/>
    <w:rsid w:val="00A42D68"/>
    <w:rsid w:val="00A43BFE"/>
    <w:rsid w:val="00A43CC3"/>
    <w:rsid w:val="00A43FC8"/>
    <w:rsid w:val="00A4400F"/>
    <w:rsid w:val="00A4468A"/>
    <w:rsid w:val="00A446B2"/>
    <w:rsid w:val="00A45896"/>
    <w:rsid w:val="00A46A63"/>
    <w:rsid w:val="00A4763D"/>
    <w:rsid w:val="00A47683"/>
    <w:rsid w:val="00A478E1"/>
    <w:rsid w:val="00A47914"/>
    <w:rsid w:val="00A47BC4"/>
    <w:rsid w:val="00A47EFF"/>
    <w:rsid w:val="00A5049D"/>
    <w:rsid w:val="00A50605"/>
    <w:rsid w:val="00A507F4"/>
    <w:rsid w:val="00A5092E"/>
    <w:rsid w:val="00A50C19"/>
    <w:rsid w:val="00A50CE8"/>
    <w:rsid w:val="00A50DD8"/>
    <w:rsid w:val="00A50EF3"/>
    <w:rsid w:val="00A510C9"/>
    <w:rsid w:val="00A51B5D"/>
    <w:rsid w:val="00A51CCB"/>
    <w:rsid w:val="00A53090"/>
    <w:rsid w:val="00A53674"/>
    <w:rsid w:val="00A53F4F"/>
    <w:rsid w:val="00A54783"/>
    <w:rsid w:val="00A54CB2"/>
    <w:rsid w:val="00A54CE2"/>
    <w:rsid w:val="00A54EA1"/>
    <w:rsid w:val="00A5506B"/>
    <w:rsid w:val="00A55961"/>
    <w:rsid w:val="00A55C1E"/>
    <w:rsid w:val="00A562FC"/>
    <w:rsid w:val="00A563CB"/>
    <w:rsid w:val="00A56409"/>
    <w:rsid w:val="00A565D7"/>
    <w:rsid w:val="00A567F9"/>
    <w:rsid w:val="00A56DC0"/>
    <w:rsid w:val="00A56DE3"/>
    <w:rsid w:val="00A5767D"/>
    <w:rsid w:val="00A579BA"/>
    <w:rsid w:val="00A57A23"/>
    <w:rsid w:val="00A57B5B"/>
    <w:rsid w:val="00A6089A"/>
    <w:rsid w:val="00A60DAD"/>
    <w:rsid w:val="00A6105E"/>
    <w:rsid w:val="00A61394"/>
    <w:rsid w:val="00A61984"/>
    <w:rsid w:val="00A6234D"/>
    <w:rsid w:val="00A62AAE"/>
    <w:rsid w:val="00A638C9"/>
    <w:rsid w:val="00A639C6"/>
    <w:rsid w:val="00A64900"/>
    <w:rsid w:val="00A6576B"/>
    <w:rsid w:val="00A659F5"/>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3C8"/>
    <w:rsid w:val="00A75715"/>
    <w:rsid w:val="00A75EF5"/>
    <w:rsid w:val="00A7621E"/>
    <w:rsid w:val="00A76690"/>
    <w:rsid w:val="00A768FF"/>
    <w:rsid w:val="00A76A30"/>
    <w:rsid w:val="00A77835"/>
    <w:rsid w:val="00A801E7"/>
    <w:rsid w:val="00A80D10"/>
    <w:rsid w:val="00A812E2"/>
    <w:rsid w:val="00A815D9"/>
    <w:rsid w:val="00A81C00"/>
    <w:rsid w:val="00A820D0"/>
    <w:rsid w:val="00A822DA"/>
    <w:rsid w:val="00A82D74"/>
    <w:rsid w:val="00A82DF0"/>
    <w:rsid w:val="00A82EEF"/>
    <w:rsid w:val="00A82FBA"/>
    <w:rsid w:val="00A846D9"/>
    <w:rsid w:val="00A84A96"/>
    <w:rsid w:val="00A84CA3"/>
    <w:rsid w:val="00A8504B"/>
    <w:rsid w:val="00A85CEC"/>
    <w:rsid w:val="00A864CE"/>
    <w:rsid w:val="00A866F8"/>
    <w:rsid w:val="00A8670F"/>
    <w:rsid w:val="00A869D5"/>
    <w:rsid w:val="00A86D9C"/>
    <w:rsid w:val="00A8712B"/>
    <w:rsid w:val="00A904B3"/>
    <w:rsid w:val="00A906B6"/>
    <w:rsid w:val="00A9093B"/>
    <w:rsid w:val="00A919F2"/>
    <w:rsid w:val="00A91A50"/>
    <w:rsid w:val="00A91D7A"/>
    <w:rsid w:val="00A91F7E"/>
    <w:rsid w:val="00A92B79"/>
    <w:rsid w:val="00A92BE2"/>
    <w:rsid w:val="00A92DA0"/>
    <w:rsid w:val="00A930A8"/>
    <w:rsid w:val="00A942F1"/>
    <w:rsid w:val="00A94A89"/>
    <w:rsid w:val="00A94D0C"/>
    <w:rsid w:val="00A9500D"/>
    <w:rsid w:val="00A951A5"/>
    <w:rsid w:val="00A95266"/>
    <w:rsid w:val="00A95A03"/>
    <w:rsid w:val="00A967C9"/>
    <w:rsid w:val="00A96870"/>
    <w:rsid w:val="00A969F4"/>
    <w:rsid w:val="00A96B2D"/>
    <w:rsid w:val="00A97337"/>
    <w:rsid w:val="00A97356"/>
    <w:rsid w:val="00A974DA"/>
    <w:rsid w:val="00A97F24"/>
    <w:rsid w:val="00AA00F5"/>
    <w:rsid w:val="00AA05DC"/>
    <w:rsid w:val="00AA0741"/>
    <w:rsid w:val="00AA09D8"/>
    <w:rsid w:val="00AA0FB3"/>
    <w:rsid w:val="00AA1528"/>
    <w:rsid w:val="00AA17CA"/>
    <w:rsid w:val="00AA1868"/>
    <w:rsid w:val="00AA21E2"/>
    <w:rsid w:val="00AA2DC2"/>
    <w:rsid w:val="00AA362D"/>
    <w:rsid w:val="00AA37DD"/>
    <w:rsid w:val="00AA3B93"/>
    <w:rsid w:val="00AA4431"/>
    <w:rsid w:val="00AA45DD"/>
    <w:rsid w:val="00AA4635"/>
    <w:rsid w:val="00AA6300"/>
    <w:rsid w:val="00AA68BA"/>
    <w:rsid w:val="00AA6CB2"/>
    <w:rsid w:val="00AA7017"/>
    <w:rsid w:val="00AA71C8"/>
    <w:rsid w:val="00AA7215"/>
    <w:rsid w:val="00AA73AC"/>
    <w:rsid w:val="00AB0730"/>
    <w:rsid w:val="00AB0982"/>
    <w:rsid w:val="00AB0D5F"/>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BE5"/>
    <w:rsid w:val="00AC31E2"/>
    <w:rsid w:val="00AC3BAD"/>
    <w:rsid w:val="00AC3E22"/>
    <w:rsid w:val="00AC3E92"/>
    <w:rsid w:val="00AC3F2A"/>
    <w:rsid w:val="00AC4502"/>
    <w:rsid w:val="00AC472C"/>
    <w:rsid w:val="00AC4BD6"/>
    <w:rsid w:val="00AC4C72"/>
    <w:rsid w:val="00AC4DD2"/>
    <w:rsid w:val="00AC507D"/>
    <w:rsid w:val="00AC5082"/>
    <w:rsid w:val="00AC5198"/>
    <w:rsid w:val="00AC5512"/>
    <w:rsid w:val="00AC571A"/>
    <w:rsid w:val="00AC6549"/>
    <w:rsid w:val="00AC6610"/>
    <w:rsid w:val="00AC66A9"/>
    <w:rsid w:val="00AC78AC"/>
    <w:rsid w:val="00AD076C"/>
    <w:rsid w:val="00AD09A8"/>
    <w:rsid w:val="00AD1D99"/>
    <w:rsid w:val="00AD2887"/>
    <w:rsid w:val="00AD28F9"/>
    <w:rsid w:val="00AD2CD8"/>
    <w:rsid w:val="00AD2E7C"/>
    <w:rsid w:val="00AD3653"/>
    <w:rsid w:val="00AD3EDA"/>
    <w:rsid w:val="00AD4623"/>
    <w:rsid w:val="00AD495E"/>
    <w:rsid w:val="00AD579E"/>
    <w:rsid w:val="00AD5810"/>
    <w:rsid w:val="00AD5C85"/>
    <w:rsid w:val="00AD66A9"/>
    <w:rsid w:val="00AD673C"/>
    <w:rsid w:val="00AD6D44"/>
    <w:rsid w:val="00AD6D8A"/>
    <w:rsid w:val="00AD73CA"/>
    <w:rsid w:val="00AD7486"/>
    <w:rsid w:val="00AD75CE"/>
    <w:rsid w:val="00AD767E"/>
    <w:rsid w:val="00AD7694"/>
    <w:rsid w:val="00AD78B1"/>
    <w:rsid w:val="00AD7B9B"/>
    <w:rsid w:val="00AD7D11"/>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FCA"/>
    <w:rsid w:val="00AE69A1"/>
    <w:rsid w:val="00AE7238"/>
    <w:rsid w:val="00AE7265"/>
    <w:rsid w:val="00AE7EC0"/>
    <w:rsid w:val="00AE7FFD"/>
    <w:rsid w:val="00AF043C"/>
    <w:rsid w:val="00AF1084"/>
    <w:rsid w:val="00AF2E85"/>
    <w:rsid w:val="00AF30DD"/>
    <w:rsid w:val="00AF3B25"/>
    <w:rsid w:val="00AF3C99"/>
    <w:rsid w:val="00AF434E"/>
    <w:rsid w:val="00AF456B"/>
    <w:rsid w:val="00AF492D"/>
    <w:rsid w:val="00AF4EB3"/>
    <w:rsid w:val="00AF4EBA"/>
    <w:rsid w:val="00AF5250"/>
    <w:rsid w:val="00AF5B2E"/>
    <w:rsid w:val="00AF634F"/>
    <w:rsid w:val="00AF709A"/>
    <w:rsid w:val="00AF7A7B"/>
    <w:rsid w:val="00AF7BF5"/>
    <w:rsid w:val="00AF7FA9"/>
    <w:rsid w:val="00B00093"/>
    <w:rsid w:val="00B000A5"/>
    <w:rsid w:val="00B002C3"/>
    <w:rsid w:val="00B004A5"/>
    <w:rsid w:val="00B00B30"/>
    <w:rsid w:val="00B00C28"/>
    <w:rsid w:val="00B01029"/>
    <w:rsid w:val="00B01338"/>
    <w:rsid w:val="00B013D2"/>
    <w:rsid w:val="00B01833"/>
    <w:rsid w:val="00B01D42"/>
    <w:rsid w:val="00B02361"/>
    <w:rsid w:val="00B023CC"/>
    <w:rsid w:val="00B02411"/>
    <w:rsid w:val="00B0266A"/>
    <w:rsid w:val="00B026D0"/>
    <w:rsid w:val="00B032BC"/>
    <w:rsid w:val="00B03325"/>
    <w:rsid w:val="00B03AD2"/>
    <w:rsid w:val="00B03CDE"/>
    <w:rsid w:val="00B0419D"/>
    <w:rsid w:val="00B04670"/>
    <w:rsid w:val="00B04A2E"/>
    <w:rsid w:val="00B04B23"/>
    <w:rsid w:val="00B050FD"/>
    <w:rsid w:val="00B0530E"/>
    <w:rsid w:val="00B05B5F"/>
    <w:rsid w:val="00B068AD"/>
    <w:rsid w:val="00B06B29"/>
    <w:rsid w:val="00B06CFF"/>
    <w:rsid w:val="00B076EC"/>
    <w:rsid w:val="00B07911"/>
    <w:rsid w:val="00B07D48"/>
    <w:rsid w:val="00B07D87"/>
    <w:rsid w:val="00B10270"/>
    <w:rsid w:val="00B102BA"/>
    <w:rsid w:val="00B10697"/>
    <w:rsid w:val="00B109A9"/>
    <w:rsid w:val="00B10DEF"/>
    <w:rsid w:val="00B112C4"/>
    <w:rsid w:val="00B1172B"/>
    <w:rsid w:val="00B11C78"/>
    <w:rsid w:val="00B120BF"/>
    <w:rsid w:val="00B133E6"/>
    <w:rsid w:val="00B138A7"/>
    <w:rsid w:val="00B13DCA"/>
    <w:rsid w:val="00B142B9"/>
    <w:rsid w:val="00B14F2A"/>
    <w:rsid w:val="00B14FAF"/>
    <w:rsid w:val="00B150AE"/>
    <w:rsid w:val="00B1540A"/>
    <w:rsid w:val="00B15547"/>
    <w:rsid w:val="00B15674"/>
    <w:rsid w:val="00B1574C"/>
    <w:rsid w:val="00B15D7C"/>
    <w:rsid w:val="00B15DEE"/>
    <w:rsid w:val="00B16FF4"/>
    <w:rsid w:val="00B17395"/>
    <w:rsid w:val="00B17AF0"/>
    <w:rsid w:val="00B202F4"/>
    <w:rsid w:val="00B209F4"/>
    <w:rsid w:val="00B2146A"/>
    <w:rsid w:val="00B21954"/>
    <w:rsid w:val="00B21D6D"/>
    <w:rsid w:val="00B21E68"/>
    <w:rsid w:val="00B22179"/>
    <w:rsid w:val="00B226AF"/>
    <w:rsid w:val="00B22D61"/>
    <w:rsid w:val="00B22F20"/>
    <w:rsid w:val="00B23280"/>
    <w:rsid w:val="00B239BF"/>
    <w:rsid w:val="00B240F8"/>
    <w:rsid w:val="00B251A7"/>
    <w:rsid w:val="00B25DCC"/>
    <w:rsid w:val="00B260A2"/>
    <w:rsid w:val="00B26797"/>
    <w:rsid w:val="00B26D9F"/>
    <w:rsid w:val="00B27074"/>
    <w:rsid w:val="00B271C3"/>
    <w:rsid w:val="00B2730C"/>
    <w:rsid w:val="00B273CD"/>
    <w:rsid w:val="00B2747C"/>
    <w:rsid w:val="00B27E2E"/>
    <w:rsid w:val="00B30A6B"/>
    <w:rsid w:val="00B30BC9"/>
    <w:rsid w:val="00B30D82"/>
    <w:rsid w:val="00B30ED2"/>
    <w:rsid w:val="00B3163A"/>
    <w:rsid w:val="00B31B46"/>
    <w:rsid w:val="00B3223C"/>
    <w:rsid w:val="00B322C1"/>
    <w:rsid w:val="00B328D6"/>
    <w:rsid w:val="00B328E0"/>
    <w:rsid w:val="00B32C68"/>
    <w:rsid w:val="00B32C6D"/>
    <w:rsid w:val="00B330E4"/>
    <w:rsid w:val="00B33752"/>
    <w:rsid w:val="00B3380D"/>
    <w:rsid w:val="00B33899"/>
    <w:rsid w:val="00B34761"/>
    <w:rsid w:val="00B35091"/>
    <w:rsid w:val="00B35920"/>
    <w:rsid w:val="00B35C9F"/>
    <w:rsid w:val="00B35E1C"/>
    <w:rsid w:val="00B366BC"/>
    <w:rsid w:val="00B36950"/>
    <w:rsid w:val="00B37882"/>
    <w:rsid w:val="00B37A37"/>
    <w:rsid w:val="00B37A3E"/>
    <w:rsid w:val="00B37ABC"/>
    <w:rsid w:val="00B37D22"/>
    <w:rsid w:val="00B4002E"/>
    <w:rsid w:val="00B40182"/>
    <w:rsid w:val="00B40200"/>
    <w:rsid w:val="00B40A5D"/>
    <w:rsid w:val="00B40BB5"/>
    <w:rsid w:val="00B40FC6"/>
    <w:rsid w:val="00B410F6"/>
    <w:rsid w:val="00B41142"/>
    <w:rsid w:val="00B41175"/>
    <w:rsid w:val="00B4151B"/>
    <w:rsid w:val="00B4168B"/>
    <w:rsid w:val="00B420DC"/>
    <w:rsid w:val="00B42EC0"/>
    <w:rsid w:val="00B432C4"/>
    <w:rsid w:val="00B440FF"/>
    <w:rsid w:val="00B4431E"/>
    <w:rsid w:val="00B4436E"/>
    <w:rsid w:val="00B44FAB"/>
    <w:rsid w:val="00B44FDF"/>
    <w:rsid w:val="00B4578E"/>
    <w:rsid w:val="00B45818"/>
    <w:rsid w:val="00B459AE"/>
    <w:rsid w:val="00B45E15"/>
    <w:rsid w:val="00B46973"/>
    <w:rsid w:val="00B46A70"/>
    <w:rsid w:val="00B46B52"/>
    <w:rsid w:val="00B46DCB"/>
    <w:rsid w:val="00B4714F"/>
    <w:rsid w:val="00B47A2C"/>
    <w:rsid w:val="00B47F71"/>
    <w:rsid w:val="00B5009F"/>
    <w:rsid w:val="00B50139"/>
    <w:rsid w:val="00B50CEA"/>
    <w:rsid w:val="00B50E67"/>
    <w:rsid w:val="00B50F6E"/>
    <w:rsid w:val="00B51309"/>
    <w:rsid w:val="00B51B34"/>
    <w:rsid w:val="00B52AF6"/>
    <w:rsid w:val="00B52D71"/>
    <w:rsid w:val="00B530D3"/>
    <w:rsid w:val="00B535E0"/>
    <w:rsid w:val="00B53849"/>
    <w:rsid w:val="00B538F7"/>
    <w:rsid w:val="00B53963"/>
    <w:rsid w:val="00B5398C"/>
    <w:rsid w:val="00B53D64"/>
    <w:rsid w:val="00B53D84"/>
    <w:rsid w:val="00B53DE2"/>
    <w:rsid w:val="00B54088"/>
    <w:rsid w:val="00B542C2"/>
    <w:rsid w:val="00B547ED"/>
    <w:rsid w:val="00B54809"/>
    <w:rsid w:val="00B54DFD"/>
    <w:rsid w:val="00B54ED9"/>
    <w:rsid w:val="00B550CE"/>
    <w:rsid w:val="00B5553F"/>
    <w:rsid w:val="00B55FCC"/>
    <w:rsid w:val="00B56435"/>
    <w:rsid w:val="00B56956"/>
    <w:rsid w:val="00B570C3"/>
    <w:rsid w:val="00B577C5"/>
    <w:rsid w:val="00B57984"/>
    <w:rsid w:val="00B57D79"/>
    <w:rsid w:val="00B60647"/>
    <w:rsid w:val="00B60955"/>
    <w:rsid w:val="00B61044"/>
    <w:rsid w:val="00B6124E"/>
    <w:rsid w:val="00B6269F"/>
    <w:rsid w:val="00B628A7"/>
    <w:rsid w:val="00B63A7C"/>
    <w:rsid w:val="00B63AEC"/>
    <w:rsid w:val="00B63CF7"/>
    <w:rsid w:val="00B64567"/>
    <w:rsid w:val="00B64C50"/>
    <w:rsid w:val="00B64CCC"/>
    <w:rsid w:val="00B65145"/>
    <w:rsid w:val="00B6581E"/>
    <w:rsid w:val="00B6585B"/>
    <w:rsid w:val="00B65D12"/>
    <w:rsid w:val="00B65DB1"/>
    <w:rsid w:val="00B66446"/>
    <w:rsid w:val="00B66687"/>
    <w:rsid w:val="00B66B79"/>
    <w:rsid w:val="00B67150"/>
    <w:rsid w:val="00B67BB3"/>
    <w:rsid w:val="00B67E52"/>
    <w:rsid w:val="00B67FFE"/>
    <w:rsid w:val="00B70180"/>
    <w:rsid w:val="00B70467"/>
    <w:rsid w:val="00B708DE"/>
    <w:rsid w:val="00B71138"/>
    <w:rsid w:val="00B718D2"/>
    <w:rsid w:val="00B7234F"/>
    <w:rsid w:val="00B723EA"/>
    <w:rsid w:val="00B724E0"/>
    <w:rsid w:val="00B7260A"/>
    <w:rsid w:val="00B7269C"/>
    <w:rsid w:val="00B728B6"/>
    <w:rsid w:val="00B72D86"/>
    <w:rsid w:val="00B737C6"/>
    <w:rsid w:val="00B73980"/>
    <w:rsid w:val="00B73B9C"/>
    <w:rsid w:val="00B73BAC"/>
    <w:rsid w:val="00B7457A"/>
    <w:rsid w:val="00B74597"/>
    <w:rsid w:val="00B74B6A"/>
    <w:rsid w:val="00B75619"/>
    <w:rsid w:val="00B75676"/>
    <w:rsid w:val="00B77159"/>
    <w:rsid w:val="00B77AC6"/>
    <w:rsid w:val="00B77B6C"/>
    <w:rsid w:val="00B77B7D"/>
    <w:rsid w:val="00B77DF9"/>
    <w:rsid w:val="00B77F3E"/>
    <w:rsid w:val="00B80F88"/>
    <w:rsid w:val="00B80FDF"/>
    <w:rsid w:val="00B80FED"/>
    <w:rsid w:val="00B817ED"/>
    <w:rsid w:val="00B81ED7"/>
    <w:rsid w:val="00B82F08"/>
    <w:rsid w:val="00B82FD7"/>
    <w:rsid w:val="00B832C2"/>
    <w:rsid w:val="00B832E8"/>
    <w:rsid w:val="00B837B0"/>
    <w:rsid w:val="00B83916"/>
    <w:rsid w:val="00B83D8A"/>
    <w:rsid w:val="00B849B8"/>
    <w:rsid w:val="00B85727"/>
    <w:rsid w:val="00B859F2"/>
    <w:rsid w:val="00B85BF9"/>
    <w:rsid w:val="00B860C5"/>
    <w:rsid w:val="00B86112"/>
    <w:rsid w:val="00B86E64"/>
    <w:rsid w:val="00B87133"/>
    <w:rsid w:val="00B87FDA"/>
    <w:rsid w:val="00B90F89"/>
    <w:rsid w:val="00B911CA"/>
    <w:rsid w:val="00B9134B"/>
    <w:rsid w:val="00B91803"/>
    <w:rsid w:val="00B91C64"/>
    <w:rsid w:val="00B9233F"/>
    <w:rsid w:val="00B92B7C"/>
    <w:rsid w:val="00B9304B"/>
    <w:rsid w:val="00B931F8"/>
    <w:rsid w:val="00B93CB0"/>
    <w:rsid w:val="00B941FB"/>
    <w:rsid w:val="00B9437E"/>
    <w:rsid w:val="00B944AD"/>
    <w:rsid w:val="00B95B7A"/>
    <w:rsid w:val="00B96182"/>
    <w:rsid w:val="00B96246"/>
    <w:rsid w:val="00B964B3"/>
    <w:rsid w:val="00B968D9"/>
    <w:rsid w:val="00B96BD3"/>
    <w:rsid w:val="00B96D9C"/>
    <w:rsid w:val="00B96FD1"/>
    <w:rsid w:val="00B97B72"/>
    <w:rsid w:val="00B97E04"/>
    <w:rsid w:val="00BA0024"/>
    <w:rsid w:val="00BA08B5"/>
    <w:rsid w:val="00BA09FB"/>
    <w:rsid w:val="00BA0ACA"/>
    <w:rsid w:val="00BA0C25"/>
    <w:rsid w:val="00BA0C9A"/>
    <w:rsid w:val="00BA1D86"/>
    <w:rsid w:val="00BA2619"/>
    <w:rsid w:val="00BA2C3B"/>
    <w:rsid w:val="00BA3B0A"/>
    <w:rsid w:val="00BA3DB2"/>
    <w:rsid w:val="00BA4312"/>
    <w:rsid w:val="00BA4F87"/>
    <w:rsid w:val="00BA53D2"/>
    <w:rsid w:val="00BA576D"/>
    <w:rsid w:val="00BA5B8A"/>
    <w:rsid w:val="00BA5E33"/>
    <w:rsid w:val="00BA6D08"/>
    <w:rsid w:val="00BA7508"/>
    <w:rsid w:val="00BA75EA"/>
    <w:rsid w:val="00BA76BE"/>
    <w:rsid w:val="00BA7883"/>
    <w:rsid w:val="00BA7AEA"/>
    <w:rsid w:val="00BB099C"/>
    <w:rsid w:val="00BB0E3A"/>
    <w:rsid w:val="00BB0F84"/>
    <w:rsid w:val="00BB10CD"/>
    <w:rsid w:val="00BB10EB"/>
    <w:rsid w:val="00BB1536"/>
    <w:rsid w:val="00BB1EB3"/>
    <w:rsid w:val="00BB1F00"/>
    <w:rsid w:val="00BB33E6"/>
    <w:rsid w:val="00BB36D0"/>
    <w:rsid w:val="00BB3953"/>
    <w:rsid w:val="00BB449D"/>
    <w:rsid w:val="00BB4BC3"/>
    <w:rsid w:val="00BB4F0E"/>
    <w:rsid w:val="00BB50A9"/>
    <w:rsid w:val="00BB558C"/>
    <w:rsid w:val="00BB58C8"/>
    <w:rsid w:val="00BB62B5"/>
    <w:rsid w:val="00BB6339"/>
    <w:rsid w:val="00BB6493"/>
    <w:rsid w:val="00BB658B"/>
    <w:rsid w:val="00BB65B4"/>
    <w:rsid w:val="00BB721E"/>
    <w:rsid w:val="00BB7566"/>
    <w:rsid w:val="00BB7AD0"/>
    <w:rsid w:val="00BB7E29"/>
    <w:rsid w:val="00BC0643"/>
    <w:rsid w:val="00BC13C7"/>
    <w:rsid w:val="00BC1593"/>
    <w:rsid w:val="00BC1832"/>
    <w:rsid w:val="00BC1A66"/>
    <w:rsid w:val="00BC1BD1"/>
    <w:rsid w:val="00BC1DEA"/>
    <w:rsid w:val="00BC2160"/>
    <w:rsid w:val="00BC2218"/>
    <w:rsid w:val="00BC22CC"/>
    <w:rsid w:val="00BC30E6"/>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4E4"/>
    <w:rsid w:val="00BD12A8"/>
    <w:rsid w:val="00BD1438"/>
    <w:rsid w:val="00BD167D"/>
    <w:rsid w:val="00BD1E02"/>
    <w:rsid w:val="00BD24A4"/>
    <w:rsid w:val="00BD301E"/>
    <w:rsid w:val="00BD3261"/>
    <w:rsid w:val="00BD3FE7"/>
    <w:rsid w:val="00BD42CF"/>
    <w:rsid w:val="00BD4332"/>
    <w:rsid w:val="00BD44D3"/>
    <w:rsid w:val="00BD4A2A"/>
    <w:rsid w:val="00BD4BAD"/>
    <w:rsid w:val="00BD53F7"/>
    <w:rsid w:val="00BD5DB4"/>
    <w:rsid w:val="00BD5E8C"/>
    <w:rsid w:val="00BD67FA"/>
    <w:rsid w:val="00BE03D5"/>
    <w:rsid w:val="00BE0AAB"/>
    <w:rsid w:val="00BE0F28"/>
    <w:rsid w:val="00BE130C"/>
    <w:rsid w:val="00BE1907"/>
    <w:rsid w:val="00BE1AA7"/>
    <w:rsid w:val="00BE219A"/>
    <w:rsid w:val="00BE223F"/>
    <w:rsid w:val="00BE2248"/>
    <w:rsid w:val="00BE321C"/>
    <w:rsid w:val="00BE358C"/>
    <w:rsid w:val="00BE3C9E"/>
    <w:rsid w:val="00BE3D0F"/>
    <w:rsid w:val="00BE51C3"/>
    <w:rsid w:val="00BE657B"/>
    <w:rsid w:val="00BE65CF"/>
    <w:rsid w:val="00BE69E8"/>
    <w:rsid w:val="00BE6E5C"/>
    <w:rsid w:val="00BE714A"/>
    <w:rsid w:val="00BE75A8"/>
    <w:rsid w:val="00BE7AEE"/>
    <w:rsid w:val="00BF01BE"/>
    <w:rsid w:val="00BF01CE"/>
    <w:rsid w:val="00BF1375"/>
    <w:rsid w:val="00BF14D4"/>
    <w:rsid w:val="00BF1DA5"/>
    <w:rsid w:val="00BF1DB6"/>
    <w:rsid w:val="00BF1F4C"/>
    <w:rsid w:val="00BF2BC7"/>
    <w:rsid w:val="00BF2BE0"/>
    <w:rsid w:val="00BF3A79"/>
    <w:rsid w:val="00BF3CAA"/>
    <w:rsid w:val="00BF4046"/>
    <w:rsid w:val="00BF406B"/>
    <w:rsid w:val="00BF418C"/>
    <w:rsid w:val="00BF46D2"/>
    <w:rsid w:val="00BF48A2"/>
    <w:rsid w:val="00BF4C83"/>
    <w:rsid w:val="00BF553D"/>
    <w:rsid w:val="00BF57DE"/>
    <w:rsid w:val="00BF5966"/>
    <w:rsid w:val="00BF5B44"/>
    <w:rsid w:val="00BF64F0"/>
    <w:rsid w:val="00BF6515"/>
    <w:rsid w:val="00BF670D"/>
    <w:rsid w:val="00BF676C"/>
    <w:rsid w:val="00BF68DE"/>
    <w:rsid w:val="00BF6D9B"/>
    <w:rsid w:val="00BF6F06"/>
    <w:rsid w:val="00BF7149"/>
    <w:rsid w:val="00BF77BA"/>
    <w:rsid w:val="00BF7B4D"/>
    <w:rsid w:val="00BF7CB7"/>
    <w:rsid w:val="00C00215"/>
    <w:rsid w:val="00C013FA"/>
    <w:rsid w:val="00C01412"/>
    <w:rsid w:val="00C01E84"/>
    <w:rsid w:val="00C02AE8"/>
    <w:rsid w:val="00C040E9"/>
    <w:rsid w:val="00C05042"/>
    <w:rsid w:val="00C058C8"/>
    <w:rsid w:val="00C05935"/>
    <w:rsid w:val="00C061BB"/>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CF"/>
    <w:rsid w:val="00C12BEE"/>
    <w:rsid w:val="00C13086"/>
    <w:rsid w:val="00C13168"/>
    <w:rsid w:val="00C13960"/>
    <w:rsid w:val="00C13ED0"/>
    <w:rsid w:val="00C14544"/>
    <w:rsid w:val="00C151BC"/>
    <w:rsid w:val="00C1539A"/>
    <w:rsid w:val="00C15D95"/>
    <w:rsid w:val="00C161AA"/>
    <w:rsid w:val="00C168DA"/>
    <w:rsid w:val="00C169F9"/>
    <w:rsid w:val="00C16A70"/>
    <w:rsid w:val="00C16CB7"/>
    <w:rsid w:val="00C16D6E"/>
    <w:rsid w:val="00C17530"/>
    <w:rsid w:val="00C1782C"/>
    <w:rsid w:val="00C17BE9"/>
    <w:rsid w:val="00C17EB4"/>
    <w:rsid w:val="00C17FD3"/>
    <w:rsid w:val="00C2012C"/>
    <w:rsid w:val="00C203DE"/>
    <w:rsid w:val="00C20510"/>
    <w:rsid w:val="00C21641"/>
    <w:rsid w:val="00C21EDC"/>
    <w:rsid w:val="00C221BE"/>
    <w:rsid w:val="00C2287C"/>
    <w:rsid w:val="00C23597"/>
    <w:rsid w:val="00C23F23"/>
    <w:rsid w:val="00C24844"/>
    <w:rsid w:val="00C24F36"/>
    <w:rsid w:val="00C2532F"/>
    <w:rsid w:val="00C25970"/>
    <w:rsid w:val="00C26E30"/>
    <w:rsid w:val="00C274CC"/>
    <w:rsid w:val="00C27611"/>
    <w:rsid w:val="00C3039D"/>
    <w:rsid w:val="00C30D70"/>
    <w:rsid w:val="00C316AE"/>
    <w:rsid w:val="00C32392"/>
    <w:rsid w:val="00C32558"/>
    <w:rsid w:val="00C32664"/>
    <w:rsid w:val="00C3271D"/>
    <w:rsid w:val="00C330F0"/>
    <w:rsid w:val="00C3379C"/>
    <w:rsid w:val="00C33B59"/>
    <w:rsid w:val="00C35733"/>
    <w:rsid w:val="00C362D1"/>
    <w:rsid w:val="00C366DD"/>
    <w:rsid w:val="00C3695F"/>
    <w:rsid w:val="00C369D4"/>
    <w:rsid w:val="00C36D96"/>
    <w:rsid w:val="00C37833"/>
    <w:rsid w:val="00C378D1"/>
    <w:rsid w:val="00C37957"/>
    <w:rsid w:val="00C41897"/>
    <w:rsid w:val="00C418DD"/>
    <w:rsid w:val="00C41A5D"/>
    <w:rsid w:val="00C41BAE"/>
    <w:rsid w:val="00C42158"/>
    <w:rsid w:val="00C4246B"/>
    <w:rsid w:val="00C4288F"/>
    <w:rsid w:val="00C42BF7"/>
    <w:rsid w:val="00C433A3"/>
    <w:rsid w:val="00C4341C"/>
    <w:rsid w:val="00C43A7C"/>
    <w:rsid w:val="00C441FB"/>
    <w:rsid w:val="00C44FC0"/>
    <w:rsid w:val="00C4564E"/>
    <w:rsid w:val="00C45E40"/>
    <w:rsid w:val="00C463D5"/>
    <w:rsid w:val="00C46822"/>
    <w:rsid w:val="00C50426"/>
    <w:rsid w:val="00C50710"/>
    <w:rsid w:val="00C50847"/>
    <w:rsid w:val="00C51FE8"/>
    <w:rsid w:val="00C52442"/>
    <w:rsid w:val="00C529B7"/>
    <w:rsid w:val="00C52BF9"/>
    <w:rsid w:val="00C52DD5"/>
    <w:rsid w:val="00C52FD9"/>
    <w:rsid w:val="00C536E8"/>
    <w:rsid w:val="00C53883"/>
    <w:rsid w:val="00C53B95"/>
    <w:rsid w:val="00C53BDA"/>
    <w:rsid w:val="00C546B3"/>
    <w:rsid w:val="00C553D7"/>
    <w:rsid w:val="00C55529"/>
    <w:rsid w:val="00C55FD0"/>
    <w:rsid w:val="00C56032"/>
    <w:rsid w:val="00C561D2"/>
    <w:rsid w:val="00C5678E"/>
    <w:rsid w:val="00C57621"/>
    <w:rsid w:val="00C5786A"/>
    <w:rsid w:val="00C57A48"/>
    <w:rsid w:val="00C57C2E"/>
    <w:rsid w:val="00C6018A"/>
    <w:rsid w:val="00C60742"/>
    <w:rsid w:val="00C610EA"/>
    <w:rsid w:val="00C612DB"/>
    <w:rsid w:val="00C615F5"/>
    <w:rsid w:val="00C61DFE"/>
    <w:rsid w:val="00C6293E"/>
    <w:rsid w:val="00C62E74"/>
    <w:rsid w:val="00C6310C"/>
    <w:rsid w:val="00C631CF"/>
    <w:rsid w:val="00C64244"/>
    <w:rsid w:val="00C6442E"/>
    <w:rsid w:val="00C6445D"/>
    <w:rsid w:val="00C64BA6"/>
    <w:rsid w:val="00C65A7F"/>
    <w:rsid w:val="00C665BA"/>
    <w:rsid w:val="00C6680B"/>
    <w:rsid w:val="00C678A4"/>
    <w:rsid w:val="00C7003E"/>
    <w:rsid w:val="00C7038C"/>
    <w:rsid w:val="00C7077B"/>
    <w:rsid w:val="00C7098F"/>
    <w:rsid w:val="00C71032"/>
    <w:rsid w:val="00C71201"/>
    <w:rsid w:val="00C71283"/>
    <w:rsid w:val="00C7133D"/>
    <w:rsid w:val="00C71E22"/>
    <w:rsid w:val="00C71EC1"/>
    <w:rsid w:val="00C727E7"/>
    <w:rsid w:val="00C728C2"/>
    <w:rsid w:val="00C72CE6"/>
    <w:rsid w:val="00C730C6"/>
    <w:rsid w:val="00C731B6"/>
    <w:rsid w:val="00C73200"/>
    <w:rsid w:val="00C73A8F"/>
    <w:rsid w:val="00C73C3A"/>
    <w:rsid w:val="00C744E0"/>
    <w:rsid w:val="00C7475E"/>
    <w:rsid w:val="00C7510F"/>
    <w:rsid w:val="00C75B53"/>
    <w:rsid w:val="00C75D5B"/>
    <w:rsid w:val="00C765C4"/>
    <w:rsid w:val="00C76C94"/>
    <w:rsid w:val="00C77104"/>
    <w:rsid w:val="00C77DCD"/>
    <w:rsid w:val="00C77F16"/>
    <w:rsid w:val="00C808B3"/>
    <w:rsid w:val="00C810D2"/>
    <w:rsid w:val="00C811F0"/>
    <w:rsid w:val="00C81440"/>
    <w:rsid w:val="00C81E25"/>
    <w:rsid w:val="00C82BA9"/>
    <w:rsid w:val="00C838EE"/>
    <w:rsid w:val="00C83961"/>
    <w:rsid w:val="00C844D0"/>
    <w:rsid w:val="00C850B3"/>
    <w:rsid w:val="00C85801"/>
    <w:rsid w:val="00C85C64"/>
    <w:rsid w:val="00C8635A"/>
    <w:rsid w:val="00C868FE"/>
    <w:rsid w:val="00C86FB6"/>
    <w:rsid w:val="00C875F4"/>
    <w:rsid w:val="00C87698"/>
    <w:rsid w:val="00C87F19"/>
    <w:rsid w:val="00C87F76"/>
    <w:rsid w:val="00C9028A"/>
    <w:rsid w:val="00C9050A"/>
    <w:rsid w:val="00C90592"/>
    <w:rsid w:val="00C90723"/>
    <w:rsid w:val="00C90A15"/>
    <w:rsid w:val="00C918A0"/>
    <w:rsid w:val="00C92510"/>
    <w:rsid w:val="00C925AD"/>
    <w:rsid w:val="00C92BF5"/>
    <w:rsid w:val="00C934E9"/>
    <w:rsid w:val="00C93952"/>
    <w:rsid w:val="00C9395F"/>
    <w:rsid w:val="00C93CB1"/>
    <w:rsid w:val="00C93DCF"/>
    <w:rsid w:val="00C94314"/>
    <w:rsid w:val="00C9447D"/>
    <w:rsid w:val="00C94870"/>
    <w:rsid w:val="00C94BB4"/>
    <w:rsid w:val="00C94BB9"/>
    <w:rsid w:val="00C94ECC"/>
    <w:rsid w:val="00C9501F"/>
    <w:rsid w:val="00C955CA"/>
    <w:rsid w:val="00C95B48"/>
    <w:rsid w:val="00C95EEA"/>
    <w:rsid w:val="00C9638D"/>
    <w:rsid w:val="00C96629"/>
    <w:rsid w:val="00C96BBF"/>
    <w:rsid w:val="00C96F9D"/>
    <w:rsid w:val="00C972DE"/>
    <w:rsid w:val="00C973DC"/>
    <w:rsid w:val="00C97C60"/>
    <w:rsid w:val="00C97F52"/>
    <w:rsid w:val="00CA08AA"/>
    <w:rsid w:val="00CA0D85"/>
    <w:rsid w:val="00CA0EF3"/>
    <w:rsid w:val="00CA14DD"/>
    <w:rsid w:val="00CA19F8"/>
    <w:rsid w:val="00CA1AFB"/>
    <w:rsid w:val="00CA1D2C"/>
    <w:rsid w:val="00CA297D"/>
    <w:rsid w:val="00CA2C7C"/>
    <w:rsid w:val="00CA38AD"/>
    <w:rsid w:val="00CA3ED1"/>
    <w:rsid w:val="00CA46C4"/>
    <w:rsid w:val="00CA4E7B"/>
    <w:rsid w:val="00CA52D2"/>
    <w:rsid w:val="00CA5A17"/>
    <w:rsid w:val="00CA5EC4"/>
    <w:rsid w:val="00CA6389"/>
    <w:rsid w:val="00CA699F"/>
    <w:rsid w:val="00CA7301"/>
    <w:rsid w:val="00CA7574"/>
    <w:rsid w:val="00CA7871"/>
    <w:rsid w:val="00CA7CF9"/>
    <w:rsid w:val="00CA7E22"/>
    <w:rsid w:val="00CB0385"/>
    <w:rsid w:val="00CB09CB"/>
    <w:rsid w:val="00CB0A02"/>
    <w:rsid w:val="00CB0A61"/>
    <w:rsid w:val="00CB0B7D"/>
    <w:rsid w:val="00CB1448"/>
    <w:rsid w:val="00CB23C4"/>
    <w:rsid w:val="00CB379B"/>
    <w:rsid w:val="00CB3B8C"/>
    <w:rsid w:val="00CB4061"/>
    <w:rsid w:val="00CB44B5"/>
    <w:rsid w:val="00CB4538"/>
    <w:rsid w:val="00CB4742"/>
    <w:rsid w:val="00CB4B38"/>
    <w:rsid w:val="00CB4C8F"/>
    <w:rsid w:val="00CB4F40"/>
    <w:rsid w:val="00CB5655"/>
    <w:rsid w:val="00CB5C69"/>
    <w:rsid w:val="00CB6984"/>
    <w:rsid w:val="00CB6B0C"/>
    <w:rsid w:val="00CB6C04"/>
    <w:rsid w:val="00CC0947"/>
    <w:rsid w:val="00CC11BF"/>
    <w:rsid w:val="00CC12A8"/>
    <w:rsid w:val="00CC1421"/>
    <w:rsid w:val="00CC1D33"/>
    <w:rsid w:val="00CC24B9"/>
    <w:rsid w:val="00CC2F7D"/>
    <w:rsid w:val="00CC332F"/>
    <w:rsid w:val="00CC37C7"/>
    <w:rsid w:val="00CC3AC7"/>
    <w:rsid w:val="00CC4B65"/>
    <w:rsid w:val="00CC4C93"/>
    <w:rsid w:val="00CC4E7C"/>
    <w:rsid w:val="00CC5187"/>
    <w:rsid w:val="00CC521F"/>
    <w:rsid w:val="00CC5238"/>
    <w:rsid w:val="00CC56F7"/>
    <w:rsid w:val="00CC5E0A"/>
    <w:rsid w:val="00CC6376"/>
    <w:rsid w:val="00CC63FA"/>
    <w:rsid w:val="00CC6B50"/>
    <w:rsid w:val="00CC6B91"/>
    <w:rsid w:val="00CC7380"/>
    <w:rsid w:val="00CC79AD"/>
    <w:rsid w:val="00CC7E55"/>
    <w:rsid w:val="00CD06E7"/>
    <w:rsid w:val="00CD0CB6"/>
    <w:rsid w:val="00CD0DCB"/>
    <w:rsid w:val="00CD10CB"/>
    <w:rsid w:val="00CD1C41"/>
    <w:rsid w:val="00CD1D48"/>
    <w:rsid w:val="00CD2A97"/>
    <w:rsid w:val="00CD4084"/>
    <w:rsid w:val="00CD43DB"/>
    <w:rsid w:val="00CD4AB4"/>
    <w:rsid w:val="00CD4E29"/>
    <w:rsid w:val="00CD4EC2"/>
    <w:rsid w:val="00CD506D"/>
    <w:rsid w:val="00CD5E7A"/>
    <w:rsid w:val="00CD647C"/>
    <w:rsid w:val="00CD6AAE"/>
    <w:rsid w:val="00CD6EA9"/>
    <w:rsid w:val="00CD7157"/>
    <w:rsid w:val="00CD7868"/>
    <w:rsid w:val="00CE12C7"/>
    <w:rsid w:val="00CE134C"/>
    <w:rsid w:val="00CE13F3"/>
    <w:rsid w:val="00CE172B"/>
    <w:rsid w:val="00CE19CC"/>
    <w:rsid w:val="00CE25A0"/>
    <w:rsid w:val="00CE2DEB"/>
    <w:rsid w:val="00CE311E"/>
    <w:rsid w:val="00CE35E9"/>
    <w:rsid w:val="00CE3980"/>
    <w:rsid w:val="00CE3EE2"/>
    <w:rsid w:val="00CE4162"/>
    <w:rsid w:val="00CE7274"/>
    <w:rsid w:val="00CE7B0E"/>
    <w:rsid w:val="00CF0123"/>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6CC8"/>
    <w:rsid w:val="00CF70A8"/>
    <w:rsid w:val="00CF746D"/>
    <w:rsid w:val="00CF7B3D"/>
    <w:rsid w:val="00CF7C9F"/>
    <w:rsid w:val="00D001BD"/>
    <w:rsid w:val="00D010AE"/>
    <w:rsid w:val="00D0136F"/>
    <w:rsid w:val="00D016AA"/>
    <w:rsid w:val="00D01F4E"/>
    <w:rsid w:val="00D0227E"/>
    <w:rsid w:val="00D028FE"/>
    <w:rsid w:val="00D02AAF"/>
    <w:rsid w:val="00D02ED2"/>
    <w:rsid w:val="00D03271"/>
    <w:rsid w:val="00D036C4"/>
    <w:rsid w:val="00D03CE4"/>
    <w:rsid w:val="00D03EE4"/>
    <w:rsid w:val="00D04591"/>
    <w:rsid w:val="00D047CF"/>
    <w:rsid w:val="00D04C7A"/>
    <w:rsid w:val="00D04F46"/>
    <w:rsid w:val="00D054DD"/>
    <w:rsid w:val="00D056E8"/>
    <w:rsid w:val="00D05CA6"/>
    <w:rsid w:val="00D0705A"/>
    <w:rsid w:val="00D0723A"/>
    <w:rsid w:val="00D0725D"/>
    <w:rsid w:val="00D101A5"/>
    <w:rsid w:val="00D1020D"/>
    <w:rsid w:val="00D10C57"/>
    <w:rsid w:val="00D11403"/>
    <w:rsid w:val="00D11D0D"/>
    <w:rsid w:val="00D11E34"/>
    <w:rsid w:val="00D1283B"/>
    <w:rsid w:val="00D12A28"/>
    <w:rsid w:val="00D12A78"/>
    <w:rsid w:val="00D12B31"/>
    <w:rsid w:val="00D131C0"/>
    <w:rsid w:val="00D15504"/>
    <w:rsid w:val="00D15950"/>
    <w:rsid w:val="00D15E6F"/>
    <w:rsid w:val="00D16F80"/>
    <w:rsid w:val="00D170BE"/>
    <w:rsid w:val="00D17F21"/>
    <w:rsid w:val="00D20E97"/>
    <w:rsid w:val="00D21525"/>
    <w:rsid w:val="00D219BE"/>
    <w:rsid w:val="00D222A4"/>
    <w:rsid w:val="00D22922"/>
    <w:rsid w:val="00D22FD7"/>
    <w:rsid w:val="00D2384D"/>
    <w:rsid w:val="00D23B5C"/>
    <w:rsid w:val="00D24C75"/>
    <w:rsid w:val="00D2522B"/>
    <w:rsid w:val="00D26C5C"/>
    <w:rsid w:val="00D26F3D"/>
    <w:rsid w:val="00D27684"/>
    <w:rsid w:val="00D2782C"/>
    <w:rsid w:val="00D27F90"/>
    <w:rsid w:val="00D27FA7"/>
    <w:rsid w:val="00D3037D"/>
    <w:rsid w:val="00D30BB3"/>
    <w:rsid w:val="00D30F1B"/>
    <w:rsid w:val="00D3131A"/>
    <w:rsid w:val="00D3134F"/>
    <w:rsid w:val="00D31CB7"/>
    <w:rsid w:val="00D322A6"/>
    <w:rsid w:val="00D324FF"/>
    <w:rsid w:val="00D328D4"/>
    <w:rsid w:val="00D3290D"/>
    <w:rsid w:val="00D32A4F"/>
    <w:rsid w:val="00D32C3A"/>
    <w:rsid w:val="00D3396C"/>
    <w:rsid w:val="00D33B16"/>
    <w:rsid w:val="00D34500"/>
    <w:rsid w:val="00D347DB"/>
    <w:rsid w:val="00D3481A"/>
    <w:rsid w:val="00D350ED"/>
    <w:rsid w:val="00D353B6"/>
    <w:rsid w:val="00D364AF"/>
    <w:rsid w:val="00D36559"/>
    <w:rsid w:val="00D3655C"/>
    <w:rsid w:val="00D369A2"/>
    <w:rsid w:val="00D36A92"/>
    <w:rsid w:val="00D37418"/>
    <w:rsid w:val="00D40325"/>
    <w:rsid w:val="00D407FB"/>
    <w:rsid w:val="00D408D3"/>
    <w:rsid w:val="00D40B0A"/>
    <w:rsid w:val="00D41500"/>
    <w:rsid w:val="00D4151B"/>
    <w:rsid w:val="00D4263D"/>
    <w:rsid w:val="00D42F7C"/>
    <w:rsid w:val="00D438E1"/>
    <w:rsid w:val="00D43B20"/>
    <w:rsid w:val="00D44480"/>
    <w:rsid w:val="00D44A58"/>
    <w:rsid w:val="00D455D8"/>
    <w:rsid w:val="00D45A12"/>
    <w:rsid w:val="00D45FEA"/>
    <w:rsid w:val="00D461A9"/>
    <w:rsid w:val="00D47E1F"/>
    <w:rsid w:val="00D503EB"/>
    <w:rsid w:val="00D50737"/>
    <w:rsid w:val="00D50742"/>
    <w:rsid w:val="00D50C2E"/>
    <w:rsid w:val="00D51051"/>
    <w:rsid w:val="00D512FE"/>
    <w:rsid w:val="00D5194B"/>
    <w:rsid w:val="00D5212B"/>
    <w:rsid w:val="00D5260B"/>
    <w:rsid w:val="00D52B99"/>
    <w:rsid w:val="00D5331E"/>
    <w:rsid w:val="00D53752"/>
    <w:rsid w:val="00D5394C"/>
    <w:rsid w:val="00D53F68"/>
    <w:rsid w:val="00D54641"/>
    <w:rsid w:val="00D551CC"/>
    <w:rsid w:val="00D5588C"/>
    <w:rsid w:val="00D55C21"/>
    <w:rsid w:val="00D55F2D"/>
    <w:rsid w:val="00D5651C"/>
    <w:rsid w:val="00D5673A"/>
    <w:rsid w:val="00D5673D"/>
    <w:rsid w:val="00D5680F"/>
    <w:rsid w:val="00D56F5C"/>
    <w:rsid w:val="00D5706D"/>
    <w:rsid w:val="00D573F0"/>
    <w:rsid w:val="00D5741E"/>
    <w:rsid w:val="00D57945"/>
    <w:rsid w:val="00D57CD4"/>
    <w:rsid w:val="00D57CFF"/>
    <w:rsid w:val="00D60378"/>
    <w:rsid w:val="00D608BF"/>
    <w:rsid w:val="00D60DA8"/>
    <w:rsid w:val="00D6102D"/>
    <w:rsid w:val="00D61340"/>
    <w:rsid w:val="00D614EE"/>
    <w:rsid w:val="00D61DC8"/>
    <w:rsid w:val="00D62826"/>
    <w:rsid w:val="00D62AD5"/>
    <w:rsid w:val="00D631C0"/>
    <w:rsid w:val="00D63254"/>
    <w:rsid w:val="00D635DD"/>
    <w:rsid w:val="00D64C90"/>
    <w:rsid w:val="00D653B7"/>
    <w:rsid w:val="00D657F8"/>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1E0"/>
    <w:rsid w:val="00D7308E"/>
    <w:rsid w:val="00D735F7"/>
    <w:rsid w:val="00D736CB"/>
    <w:rsid w:val="00D73A5F"/>
    <w:rsid w:val="00D73A86"/>
    <w:rsid w:val="00D7401C"/>
    <w:rsid w:val="00D74E67"/>
    <w:rsid w:val="00D75CE1"/>
    <w:rsid w:val="00D75CE2"/>
    <w:rsid w:val="00D77135"/>
    <w:rsid w:val="00D774C0"/>
    <w:rsid w:val="00D776B4"/>
    <w:rsid w:val="00D77C23"/>
    <w:rsid w:val="00D80249"/>
    <w:rsid w:val="00D8072B"/>
    <w:rsid w:val="00D80766"/>
    <w:rsid w:val="00D80AAA"/>
    <w:rsid w:val="00D80B7E"/>
    <w:rsid w:val="00D81463"/>
    <w:rsid w:val="00D81559"/>
    <w:rsid w:val="00D8194B"/>
    <w:rsid w:val="00D82C6D"/>
    <w:rsid w:val="00D83106"/>
    <w:rsid w:val="00D83933"/>
    <w:rsid w:val="00D83D37"/>
    <w:rsid w:val="00D84101"/>
    <w:rsid w:val="00D84174"/>
    <w:rsid w:val="00D841C2"/>
    <w:rsid w:val="00D8468E"/>
    <w:rsid w:val="00D84856"/>
    <w:rsid w:val="00D8487F"/>
    <w:rsid w:val="00D8497A"/>
    <w:rsid w:val="00D84AD7"/>
    <w:rsid w:val="00D85EAB"/>
    <w:rsid w:val="00D85EEA"/>
    <w:rsid w:val="00D8633D"/>
    <w:rsid w:val="00D867A4"/>
    <w:rsid w:val="00D867D6"/>
    <w:rsid w:val="00D86A57"/>
    <w:rsid w:val="00D86A60"/>
    <w:rsid w:val="00D86BE4"/>
    <w:rsid w:val="00D871BD"/>
    <w:rsid w:val="00D902BB"/>
    <w:rsid w:val="00D902F3"/>
    <w:rsid w:val="00D90E18"/>
    <w:rsid w:val="00D90EA4"/>
    <w:rsid w:val="00D9104F"/>
    <w:rsid w:val="00D91F02"/>
    <w:rsid w:val="00D92CD6"/>
    <w:rsid w:val="00D936E6"/>
    <w:rsid w:val="00D939B5"/>
    <w:rsid w:val="00D946E1"/>
    <w:rsid w:val="00D95382"/>
    <w:rsid w:val="00D95D6A"/>
    <w:rsid w:val="00D97BD4"/>
    <w:rsid w:val="00D97F3B"/>
    <w:rsid w:val="00DA0A5A"/>
    <w:rsid w:val="00DA0A9B"/>
    <w:rsid w:val="00DA0E2D"/>
    <w:rsid w:val="00DA2077"/>
    <w:rsid w:val="00DA2107"/>
    <w:rsid w:val="00DA28CE"/>
    <w:rsid w:val="00DA300C"/>
    <w:rsid w:val="00DA38BD"/>
    <w:rsid w:val="00DA3A40"/>
    <w:rsid w:val="00DA4221"/>
    <w:rsid w:val="00DA4443"/>
    <w:rsid w:val="00DA449F"/>
    <w:rsid w:val="00DA451B"/>
    <w:rsid w:val="00DA459A"/>
    <w:rsid w:val="00DA50E3"/>
    <w:rsid w:val="00DA5731"/>
    <w:rsid w:val="00DA577F"/>
    <w:rsid w:val="00DA5854"/>
    <w:rsid w:val="00DA6396"/>
    <w:rsid w:val="00DA6515"/>
    <w:rsid w:val="00DA67A1"/>
    <w:rsid w:val="00DA6F12"/>
    <w:rsid w:val="00DA7E0A"/>
    <w:rsid w:val="00DA7F3E"/>
    <w:rsid w:val="00DA7F72"/>
    <w:rsid w:val="00DB01C7"/>
    <w:rsid w:val="00DB0673"/>
    <w:rsid w:val="00DB09D7"/>
    <w:rsid w:val="00DB137D"/>
    <w:rsid w:val="00DB167A"/>
    <w:rsid w:val="00DB179E"/>
    <w:rsid w:val="00DB1B44"/>
    <w:rsid w:val="00DB21DD"/>
    <w:rsid w:val="00DB2A83"/>
    <w:rsid w:val="00DB2B72"/>
    <w:rsid w:val="00DB30AF"/>
    <w:rsid w:val="00DB3469"/>
    <w:rsid w:val="00DB38C6"/>
    <w:rsid w:val="00DB390F"/>
    <w:rsid w:val="00DB3E85"/>
    <w:rsid w:val="00DB4FA4"/>
    <w:rsid w:val="00DB56FB"/>
    <w:rsid w:val="00DB613B"/>
    <w:rsid w:val="00DB65E8"/>
    <w:rsid w:val="00DB66D2"/>
    <w:rsid w:val="00DB6CDB"/>
    <w:rsid w:val="00DB6F13"/>
    <w:rsid w:val="00DB7490"/>
    <w:rsid w:val="00DB7E7F"/>
    <w:rsid w:val="00DC0132"/>
    <w:rsid w:val="00DC01AA"/>
    <w:rsid w:val="00DC084A"/>
    <w:rsid w:val="00DC08F6"/>
    <w:rsid w:val="00DC1881"/>
    <w:rsid w:val="00DC243D"/>
    <w:rsid w:val="00DC27BC"/>
    <w:rsid w:val="00DC288D"/>
    <w:rsid w:val="00DC2A5B"/>
    <w:rsid w:val="00DC2CA8"/>
    <w:rsid w:val="00DC2D62"/>
    <w:rsid w:val="00DC3CAB"/>
    <w:rsid w:val="00DC3EF5"/>
    <w:rsid w:val="00DC54E0"/>
    <w:rsid w:val="00DC668D"/>
    <w:rsid w:val="00DC72B0"/>
    <w:rsid w:val="00DC755D"/>
    <w:rsid w:val="00DD013F"/>
    <w:rsid w:val="00DD01F0"/>
    <w:rsid w:val="00DD057D"/>
    <w:rsid w:val="00DD14EF"/>
    <w:rsid w:val="00DD1554"/>
    <w:rsid w:val="00DD1D35"/>
    <w:rsid w:val="00DD2077"/>
    <w:rsid w:val="00DD2331"/>
    <w:rsid w:val="00DD27C1"/>
    <w:rsid w:val="00DD29E2"/>
    <w:rsid w:val="00DD2ADC"/>
    <w:rsid w:val="00DD2DD6"/>
    <w:rsid w:val="00DD31EE"/>
    <w:rsid w:val="00DD3C85"/>
    <w:rsid w:val="00DD3E5B"/>
    <w:rsid w:val="00DD40BB"/>
    <w:rsid w:val="00DD43E3"/>
    <w:rsid w:val="00DD46FD"/>
    <w:rsid w:val="00DD474A"/>
    <w:rsid w:val="00DD4829"/>
    <w:rsid w:val="00DD482D"/>
    <w:rsid w:val="00DD48FD"/>
    <w:rsid w:val="00DD4C51"/>
    <w:rsid w:val="00DD4DD0"/>
    <w:rsid w:val="00DD515D"/>
    <w:rsid w:val="00DD5309"/>
    <w:rsid w:val="00DD5B9E"/>
    <w:rsid w:val="00DD6146"/>
    <w:rsid w:val="00DD6589"/>
    <w:rsid w:val="00DD667F"/>
    <w:rsid w:val="00DD6BCA"/>
    <w:rsid w:val="00DD6E18"/>
    <w:rsid w:val="00DD6EAD"/>
    <w:rsid w:val="00DD6FB0"/>
    <w:rsid w:val="00DD7209"/>
    <w:rsid w:val="00DD758B"/>
    <w:rsid w:val="00DD783E"/>
    <w:rsid w:val="00DD78FB"/>
    <w:rsid w:val="00DD7EDD"/>
    <w:rsid w:val="00DE0052"/>
    <w:rsid w:val="00DE08A2"/>
    <w:rsid w:val="00DE0E28"/>
    <w:rsid w:val="00DE1078"/>
    <w:rsid w:val="00DE138D"/>
    <w:rsid w:val="00DE18C0"/>
    <w:rsid w:val="00DE23B9"/>
    <w:rsid w:val="00DE247B"/>
    <w:rsid w:val="00DE28EE"/>
    <w:rsid w:val="00DE298E"/>
    <w:rsid w:val="00DE2FE2"/>
    <w:rsid w:val="00DE32DF"/>
    <w:rsid w:val="00DE3411"/>
    <w:rsid w:val="00DE3867"/>
    <w:rsid w:val="00DE3D8E"/>
    <w:rsid w:val="00DE3F8E"/>
    <w:rsid w:val="00DE524A"/>
    <w:rsid w:val="00DE578D"/>
    <w:rsid w:val="00DE5859"/>
    <w:rsid w:val="00DE59FF"/>
    <w:rsid w:val="00DE5C0B"/>
    <w:rsid w:val="00DE610C"/>
    <w:rsid w:val="00DE66D5"/>
    <w:rsid w:val="00DE6DDA"/>
    <w:rsid w:val="00DE73A2"/>
    <w:rsid w:val="00DE7C77"/>
    <w:rsid w:val="00DF04C0"/>
    <w:rsid w:val="00DF079D"/>
    <w:rsid w:val="00DF0B8A"/>
    <w:rsid w:val="00DF0FF8"/>
    <w:rsid w:val="00DF1086"/>
    <w:rsid w:val="00DF123E"/>
    <w:rsid w:val="00DF131E"/>
    <w:rsid w:val="00DF20F0"/>
    <w:rsid w:val="00DF217B"/>
    <w:rsid w:val="00DF2450"/>
    <w:rsid w:val="00DF24C9"/>
    <w:rsid w:val="00DF2735"/>
    <w:rsid w:val="00DF2EE6"/>
    <w:rsid w:val="00DF31C1"/>
    <w:rsid w:val="00DF3395"/>
    <w:rsid w:val="00DF3554"/>
    <w:rsid w:val="00DF365E"/>
    <w:rsid w:val="00DF4282"/>
    <w:rsid w:val="00DF42E7"/>
    <w:rsid w:val="00DF474F"/>
    <w:rsid w:val="00DF4F0F"/>
    <w:rsid w:val="00DF552C"/>
    <w:rsid w:val="00DF55D0"/>
    <w:rsid w:val="00DF5A7F"/>
    <w:rsid w:val="00DF5EE8"/>
    <w:rsid w:val="00DF63CD"/>
    <w:rsid w:val="00DF6521"/>
    <w:rsid w:val="00DF652F"/>
    <w:rsid w:val="00DF6BC5"/>
    <w:rsid w:val="00E000B1"/>
    <w:rsid w:val="00E001DB"/>
    <w:rsid w:val="00E00BC9"/>
    <w:rsid w:val="00E01107"/>
    <w:rsid w:val="00E02183"/>
    <w:rsid w:val="00E02422"/>
    <w:rsid w:val="00E03A3D"/>
    <w:rsid w:val="00E03DFB"/>
    <w:rsid w:val="00E03E0C"/>
    <w:rsid w:val="00E03FFA"/>
    <w:rsid w:val="00E04424"/>
    <w:rsid w:val="00E0461C"/>
    <w:rsid w:val="00E0492C"/>
    <w:rsid w:val="00E04CC8"/>
    <w:rsid w:val="00E04D77"/>
    <w:rsid w:val="00E05DD1"/>
    <w:rsid w:val="00E0611B"/>
    <w:rsid w:val="00E061D2"/>
    <w:rsid w:val="00E075EF"/>
    <w:rsid w:val="00E0766D"/>
    <w:rsid w:val="00E07723"/>
    <w:rsid w:val="00E07CAF"/>
    <w:rsid w:val="00E07D66"/>
    <w:rsid w:val="00E07E1C"/>
    <w:rsid w:val="00E10920"/>
    <w:rsid w:val="00E10C46"/>
    <w:rsid w:val="00E11A96"/>
    <w:rsid w:val="00E11E22"/>
    <w:rsid w:val="00E12743"/>
    <w:rsid w:val="00E13023"/>
    <w:rsid w:val="00E136EE"/>
    <w:rsid w:val="00E137BD"/>
    <w:rsid w:val="00E137CA"/>
    <w:rsid w:val="00E140F6"/>
    <w:rsid w:val="00E1445D"/>
    <w:rsid w:val="00E148DF"/>
    <w:rsid w:val="00E14B16"/>
    <w:rsid w:val="00E14FDC"/>
    <w:rsid w:val="00E1514F"/>
    <w:rsid w:val="00E158F3"/>
    <w:rsid w:val="00E16014"/>
    <w:rsid w:val="00E16580"/>
    <w:rsid w:val="00E16CDB"/>
    <w:rsid w:val="00E16EEB"/>
    <w:rsid w:val="00E176EB"/>
    <w:rsid w:val="00E20446"/>
    <w:rsid w:val="00E20BC4"/>
    <w:rsid w:val="00E212C3"/>
    <w:rsid w:val="00E21A08"/>
    <w:rsid w:val="00E21D30"/>
    <w:rsid w:val="00E22126"/>
    <w:rsid w:val="00E2212B"/>
    <w:rsid w:val="00E229E0"/>
    <w:rsid w:val="00E22BE3"/>
    <w:rsid w:val="00E22C5F"/>
    <w:rsid w:val="00E22D4F"/>
    <w:rsid w:val="00E23806"/>
    <w:rsid w:val="00E241CC"/>
    <w:rsid w:val="00E245FC"/>
    <w:rsid w:val="00E24663"/>
    <w:rsid w:val="00E24754"/>
    <w:rsid w:val="00E24765"/>
    <w:rsid w:val="00E24898"/>
    <w:rsid w:val="00E248D3"/>
    <w:rsid w:val="00E25672"/>
    <w:rsid w:val="00E25B38"/>
    <w:rsid w:val="00E2600E"/>
    <w:rsid w:val="00E26078"/>
    <w:rsid w:val="00E26148"/>
    <w:rsid w:val="00E26308"/>
    <w:rsid w:val="00E2685A"/>
    <w:rsid w:val="00E26E06"/>
    <w:rsid w:val="00E27195"/>
    <w:rsid w:val="00E2780E"/>
    <w:rsid w:val="00E27FAE"/>
    <w:rsid w:val="00E30150"/>
    <w:rsid w:val="00E30598"/>
    <w:rsid w:val="00E308C6"/>
    <w:rsid w:val="00E31332"/>
    <w:rsid w:val="00E313E8"/>
    <w:rsid w:val="00E31BC2"/>
    <w:rsid w:val="00E32218"/>
    <w:rsid w:val="00E32BB9"/>
    <w:rsid w:val="00E331C5"/>
    <w:rsid w:val="00E3377E"/>
    <w:rsid w:val="00E33D98"/>
    <w:rsid w:val="00E34343"/>
    <w:rsid w:val="00E348CC"/>
    <w:rsid w:val="00E3509B"/>
    <w:rsid w:val="00E351B6"/>
    <w:rsid w:val="00E35358"/>
    <w:rsid w:val="00E3535A"/>
    <w:rsid w:val="00E35375"/>
    <w:rsid w:val="00E35765"/>
    <w:rsid w:val="00E35849"/>
    <w:rsid w:val="00E365ED"/>
    <w:rsid w:val="00E36A57"/>
    <w:rsid w:val="00E36D2D"/>
    <w:rsid w:val="00E36D71"/>
    <w:rsid w:val="00E37009"/>
    <w:rsid w:val="00E37C9B"/>
    <w:rsid w:val="00E37E06"/>
    <w:rsid w:val="00E402FF"/>
    <w:rsid w:val="00E40453"/>
    <w:rsid w:val="00E40BC4"/>
    <w:rsid w:val="00E40BCA"/>
    <w:rsid w:val="00E40F2C"/>
    <w:rsid w:val="00E413A7"/>
    <w:rsid w:val="00E4260E"/>
    <w:rsid w:val="00E42B5D"/>
    <w:rsid w:val="00E42CA1"/>
    <w:rsid w:val="00E42D03"/>
    <w:rsid w:val="00E43927"/>
    <w:rsid w:val="00E43A12"/>
    <w:rsid w:val="00E43AF5"/>
    <w:rsid w:val="00E43CB2"/>
    <w:rsid w:val="00E442C8"/>
    <w:rsid w:val="00E442DD"/>
    <w:rsid w:val="00E44360"/>
    <w:rsid w:val="00E44419"/>
    <w:rsid w:val="00E4460B"/>
    <w:rsid w:val="00E4460D"/>
    <w:rsid w:val="00E44A16"/>
    <w:rsid w:val="00E44B30"/>
    <w:rsid w:val="00E44BAA"/>
    <w:rsid w:val="00E45332"/>
    <w:rsid w:val="00E45474"/>
    <w:rsid w:val="00E45850"/>
    <w:rsid w:val="00E45A1C"/>
    <w:rsid w:val="00E460D0"/>
    <w:rsid w:val="00E478BF"/>
    <w:rsid w:val="00E50F1F"/>
    <w:rsid w:val="00E51761"/>
    <w:rsid w:val="00E51BE6"/>
    <w:rsid w:val="00E51CBA"/>
    <w:rsid w:val="00E51F35"/>
    <w:rsid w:val="00E53361"/>
    <w:rsid w:val="00E542AE"/>
    <w:rsid w:val="00E54337"/>
    <w:rsid w:val="00E54384"/>
    <w:rsid w:val="00E54674"/>
    <w:rsid w:val="00E54AAD"/>
    <w:rsid w:val="00E54F63"/>
    <w:rsid w:val="00E556D3"/>
    <w:rsid w:val="00E5577B"/>
    <w:rsid w:val="00E55CF4"/>
    <w:rsid w:val="00E5620D"/>
    <w:rsid w:val="00E56359"/>
    <w:rsid w:val="00E56409"/>
    <w:rsid w:val="00E567D6"/>
    <w:rsid w:val="00E56F3E"/>
    <w:rsid w:val="00E5709A"/>
    <w:rsid w:val="00E571D6"/>
    <w:rsid w:val="00E5749B"/>
    <w:rsid w:val="00E60825"/>
    <w:rsid w:val="00E615B7"/>
    <w:rsid w:val="00E62F6D"/>
    <w:rsid w:val="00E63142"/>
    <w:rsid w:val="00E63CE4"/>
    <w:rsid w:val="00E64485"/>
    <w:rsid w:val="00E64640"/>
    <w:rsid w:val="00E64A4A"/>
    <w:rsid w:val="00E654A3"/>
    <w:rsid w:val="00E65A7C"/>
    <w:rsid w:val="00E65CE3"/>
    <w:rsid w:val="00E66C21"/>
    <w:rsid w:val="00E66D29"/>
    <w:rsid w:val="00E66F4E"/>
    <w:rsid w:val="00E7057F"/>
    <w:rsid w:val="00E70A4C"/>
    <w:rsid w:val="00E70AFC"/>
    <w:rsid w:val="00E70D5D"/>
    <w:rsid w:val="00E70EE3"/>
    <w:rsid w:val="00E71A58"/>
    <w:rsid w:val="00E71A71"/>
    <w:rsid w:val="00E71E88"/>
    <w:rsid w:val="00E72A30"/>
    <w:rsid w:val="00E72A44"/>
    <w:rsid w:val="00E72B22"/>
    <w:rsid w:val="00E72B6F"/>
    <w:rsid w:val="00E72BF9"/>
    <w:rsid w:val="00E72EB4"/>
    <w:rsid w:val="00E748E2"/>
    <w:rsid w:val="00E74E31"/>
    <w:rsid w:val="00E75807"/>
    <w:rsid w:val="00E7589F"/>
    <w:rsid w:val="00E7597A"/>
    <w:rsid w:val="00E75CE2"/>
    <w:rsid w:val="00E75EFD"/>
    <w:rsid w:val="00E76A5B"/>
    <w:rsid w:val="00E7778A"/>
    <w:rsid w:val="00E77FD3"/>
    <w:rsid w:val="00E803FC"/>
    <w:rsid w:val="00E8053F"/>
    <w:rsid w:val="00E8177D"/>
    <w:rsid w:val="00E81920"/>
    <w:rsid w:val="00E8295E"/>
    <w:rsid w:val="00E8297E"/>
    <w:rsid w:val="00E82AC2"/>
    <w:rsid w:val="00E82B20"/>
    <w:rsid w:val="00E832DD"/>
    <w:rsid w:val="00E83AC9"/>
    <w:rsid w:val="00E83DD2"/>
    <w:rsid w:val="00E8445B"/>
    <w:rsid w:val="00E84F44"/>
    <w:rsid w:val="00E85AE9"/>
    <w:rsid w:val="00E85C12"/>
    <w:rsid w:val="00E85DDC"/>
    <w:rsid w:val="00E8640D"/>
    <w:rsid w:val="00E867E2"/>
    <w:rsid w:val="00E8691E"/>
    <w:rsid w:val="00E86BD9"/>
    <w:rsid w:val="00E86D1D"/>
    <w:rsid w:val="00E86DE1"/>
    <w:rsid w:val="00E86FFF"/>
    <w:rsid w:val="00E8704B"/>
    <w:rsid w:val="00E8746D"/>
    <w:rsid w:val="00E877FC"/>
    <w:rsid w:val="00E87BE5"/>
    <w:rsid w:val="00E90119"/>
    <w:rsid w:val="00E903A5"/>
    <w:rsid w:val="00E904CC"/>
    <w:rsid w:val="00E91692"/>
    <w:rsid w:val="00E91C6B"/>
    <w:rsid w:val="00E92329"/>
    <w:rsid w:val="00E926D1"/>
    <w:rsid w:val="00E92B28"/>
    <w:rsid w:val="00E935D3"/>
    <w:rsid w:val="00E93AB9"/>
    <w:rsid w:val="00E9447B"/>
    <w:rsid w:val="00E94538"/>
    <w:rsid w:val="00E94BAB"/>
    <w:rsid w:val="00E94D39"/>
    <w:rsid w:val="00E95883"/>
    <w:rsid w:val="00E95BFA"/>
    <w:rsid w:val="00E95D6F"/>
    <w:rsid w:val="00E95DE2"/>
    <w:rsid w:val="00E96185"/>
    <w:rsid w:val="00E96BAC"/>
    <w:rsid w:val="00E971D4"/>
    <w:rsid w:val="00E971F2"/>
    <w:rsid w:val="00E97909"/>
    <w:rsid w:val="00EA071E"/>
    <w:rsid w:val="00EA098C"/>
    <w:rsid w:val="00EA1CEE"/>
    <w:rsid w:val="00EA1D0B"/>
    <w:rsid w:val="00EA1DEB"/>
    <w:rsid w:val="00EA22C2"/>
    <w:rsid w:val="00EA23C5"/>
    <w:rsid w:val="00EA24DA"/>
    <w:rsid w:val="00EA2A10"/>
    <w:rsid w:val="00EA310F"/>
    <w:rsid w:val="00EA3373"/>
    <w:rsid w:val="00EA340A"/>
    <w:rsid w:val="00EA3E5B"/>
    <w:rsid w:val="00EA3EF0"/>
    <w:rsid w:val="00EA4493"/>
    <w:rsid w:val="00EA44EC"/>
    <w:rsid w:val="00EA4B0A"/>
    <w:rsid w:val="00EA54DC"/>
    <w:rsid w:val="00EA5EE3"/>
    <w:rsid w:val="00EA5FB0"/>
    <w:rsid w:val="00EA63F9"/>
    <w:rsid w:val="00EA670C"/>
    <w:rsid w:val="00EA680E"/>
    <w:rsid w:val="00EA6CB7"/>
    <w:rsid w:val="00EB049A"/>
    <w:rsid w:val="00EB0549"/>
    <w:rsid w:val="00EB06F6"/>
    <w:rsid w:val="00EB13CF"/>
    <w:rsid w:val="00EB1C18"/>
    <w:rsid w:val="00EB20F8"/>
    <w:rsid w:val="00EB2190"/>
    <w:rsid w:val="00EB2635"/>
    <w:rsid w:val="00EB311A"/>
    <w:rsid w:val="00EB3188"/>
    <w:rsid w:val="00EB3965"/>
    <w:rsid w:val="00EB3CF7"/>
    <w:rsid w:val="00EB3F8D"/>
    <w:rsid w:val="00EB3FD7"/>
    <w:rsid w:val="00EB4056"/>
    <w:rsid w:val="00EB4092"/>
    <w:rsid w:val="00EB40AE"/>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0E6C"/>
    <w:rsid w:val="00EC1557"/>
    <w:rsid w:val="00EC1665"/>
    <w:rsid w:val="00EC1F6C"/>
    <w:rsid w:val="00EC2840"/>
    <w:rsid w:val="00EC29D7"/>
    <w:rsid w:val="00EC30F0"/>
    <w:rsid w:val="00EC3198"/>
    <w:rsid w:val="00EC397D"/>
    <w:rsid w:val="00EC3C67"/>
    <w:rsid w:val="00EC41CD"/>
    <w:rsid w:val="00EC47B0"/>
    <w:rsid w:val="00EC4C13"/>
    <w:rsid w:val="00EC4E6B"/>
    <w:rsid w:val="00EC50B9"/>
    <w:rsid w:val="00EC56F4"/>
    <w:rsid w:val="00EC5DF5"/>
    <w:rsid w:val="00EC64E5"/>
    <w:rsid w:val="00EC6B7B"/>
    <w:rsid w:val="00EC708F"/>
    <w:rsid w:val="00EC7099"/>
    <w:rsid w:val="00EC734F"/>
    <w:rsid w:val="00EC7949"/>
    <w:rsid w:val="00ED0398"/>
    <w:rsid w:val="00ED094C"/>
    <w:rsid w:val="00ED0A98"/>
    <w:rsid w:val="00ED0B19"/>
    <w:rsid w:val="00ED0EA9"/>
    <w:rsid w:val="00ED0F28"/>
    <w:rsid w:val="00ED14CC"/>
    <w:rsid w:val="00ED16F3"/>
    <w:rsid w:val="00ED1821"/>
    <w:rsid w:val="00ED19F0"/>
    <w:rsid w:val="00ED1F15"/>
    <w:rsid w:val="00ED1F36"/>
    <w:rsid w:val="00ED22BF"/>
    <w:rsid w:val="00ED25FB"/>
    <w:rsid w:val="00ED2751"/>
    <w:rsid w:val="00ED2C8C"/>
    <w:rsid w:val="00ED2EA7"/>
    <w:rsid w:val="00ED3171"/>
    <w:rsid w:val="00ED3AAA"/>
    <w:rsid w:val="00ED3C10"/>
    <w:rsid w:val="00ED40F5"/>
    <w:rsid w:val="00ED4244"/>
    <w:rsid w:val="00ED440C"/>
    <w:rsid w:val="00ED4B8D"/>
    <w:rsid w:val="00ED4C18"/>
    <w:rsid w:val="00ED4ED3"/>
    <w:rsid w:val="00ED5406"/>
    <w:rsid w:val="00ED5979"/>
    <w:rsid w:val="00ED5EB5"/>
    <w:rsid w:val="00ED625A"/>
    <w:rsid w:val="00ED7180"/>
    <w:rsid w:val="00ED7337"/>
    <w:rsid w:val="00ED7ED0"/>
    <w:rsid w:val="00EE07D6"/>
    <w:rsid w:val="00EE11CF"/>
    <w:rsid w:val="00EE131A"/>
    <w:rsid w:val="00EE15D9"/>
    <w:rsid w:val="00EE1F92"/>
    <w:rsid w:val="00EE215E"/>
    <w:rsid w:val="00EE271B"/>
    <w:rsid w:val="00EE32A8"/>
    <w:rsid w:val="00EE36B2"/>
    <w:rsid w:val="00EE3F20"/>
    <w:rsid w:val="00EE4A2F"/>
    <w:rsid w:val="00EE5017"/>
    <w:rsid w:val="00EE5558"/>
    <w:rsid w:val="00EE5714"/>
    <w:rsid w:val="00EE5AE9"/>
    <w:rsid w:val="00EE5D0B"/>
    <w:rsid w:val="00EE5F54"/>
    <w:rsid w:val="00EE631C"/>
    <w:rsid w:val="00EE64E5"/>
    <w:rsid w:val="00EE6979"/>
    <w:rsid w:val="00EE74AC"/>
    <w:rsid w:val="00EE7502"/>
    <w:rsid w:val="00EE7627"/>
    <w:rsid w:val="00EF00AE"/>
    <w:rsid w:val="00EF0196"/>
    <w:rsid w:val="00EF0E1E"/>
    <w:rsid w:val="00EF0F2B"/>
    <w:rsid w:val="00EF11C1"/>
    <w:rsid w:val="00EF133E"/>
    <w:rsid w:val="00EF1889"/>
    <w:rsid w:val="00EF25E5"/>
    <w:rsid w:val="00EF28D9"/>
    <w:rsid w:val="00EF3372"/>
    <w:rsid w:val="00EF421C"/>
    <w:rsid w:val="00EF4371"/>
    <w:rsid w:val="00EF45DD"/>
    <w:rsid w:val="00EF47AB"/>
    <w:rsid w:val="00EF5575"/>
    <w:rsid w:val="00EF5A8D"/>
    <w:rsid w:val="00EF5BE9"/>
    <w:rsid w:val="00EF629E"/>
    <w:rsid w:val="00EF6507"/>
    <w:rsid w:val="00EF6908"/>
    <w:rsid w:val="00EF6F9D"/>
    <w:rsid w:val="00EF7515"/>
    <w:rsid w:val="00EF755D"/>
    <w:rsid w:val="00EF7E6D"/>
    <w:rsid w:val="00EF7F9A"/>
    <w:rsid w:val="00F00604"/>
    <w:rsid w:val="00F0072D"/>
    <w:rsid w:val="00F00A16"/>
    <w:rsid w:val="00F0134A"/>
    <w:rsid w:val="00F02D25"/>
    <w:rsid w:val="00F02F77"/>
    <w:rsid w:val="00F03009"/>
    <w:rsid w:val="00F0359B"/>
    <w:rsid w:val="00F03D37"/>
    <w:rsid w:val="00F04739"/>
    <w:rsid w:val="00F04854"/>
    <w:rsid w:val="00F04A99"/>
    <w:rsid w:val="00F05073"/>
    <w:rsid w:val="00F05289"/>
    <w:rsid w:val="00F063C4"/>
    <w:rsid w:val="00F065A5"/>
    <w:rsid w:val="00F1047F"/>
    <w:rsid w:val="00F1049D"/>
    <w:rsid w:val="00F105B4"/>
    <w:rsid w:val="00F114EB"/>
    <w:rsid w:val="00F119B8"/>
    <w:rsid w:val="00F119D5"/>
    <w:rsid w:val="00F121D8"/>
    <w:rsid w:val="00F12637"/>
    <w:rsid w:val="00F13212"/>
    <w:rsid w:val="00F1322C"/>
    <w:rsid w:val="00F1345D"/>
    <w:rsid w:val="00F13A41"/>
    <w:rsid w:val="00F146BD"/>
    <w:rsid w:val="00F14BE6"/>
    <w:rsid w:val="00F16504"/>
    <w:rsid w:val="00F17B6B"/>
    <w:rsid w:val="00F17D62"/>
    <w:rsid w:val="00F2053B"/>
    <w:rsid w:val="00F2055A"/>
    <w:rsid w:val="00F20EC4"/>
    <w:rsid w:val="00F219F8"/>
    <w:rsid w:val="00F22233"/>
    <w:rsid w:val="00F2265D"/>
    <w:rsid w:val="00F22B29"/>
    <w:rsid w:val="00F22EEF"/>
    <w:rsid w:val="00F22F17"/>
    <w:rsid w:val="00F2329A"/>
    <w:rsid w:val="00F238B6"/>
    <w:rsid w:val="00F24212"/>
    <w:rsid w:val="00F243AE"/>
    <w:rsid w:val="00F246D6"/>
    <w:rsid w:val="00F2494A"/>
    <w:rsid w:val="00F26098"/>
    <w:rsid w:val="00F2617C"/>
    <w:rsid w:val="00F26486"/>
    <w:rsid w:val="00F26F88"/>
    <w:rsid w:val="00F27B63"/>
    <w:rsid w:val="00F30C82"/>
    <w:rsid w:val="00F30FE5"/>
    <w:rsid w:val="00F311DC"/>
    <w:rsid w:val="00F3145D"/>
    <w:rsid w:val="00F31692"/>
    <w:rsid w:val="00F319C1"/>
    <w:rsid w:val="00F31B8E"/>
    <w:rsid w:val="00F31B9D"/>
    <w:rsid w:val="00F31ED9"/>
    <w:rsid w:val="00F32280"/>
    <w:rsid w:val="00F32402"/>
    <w:rsid w:val="00F32615"/>
    <w:rsid w:val="00F32A43"/>
    <w:rsid w:val="00F33AC0"/>
    <w:rsid w:val="00F33FDD"/>
    <w:rsid w:val="00F342DF"/>
    <w:rsid w:val="00F34844"/>
    <w:rsid w:val="00F34893"/>
    <w:rsid w:val="00F349D9"/>
    <w:rsid w:val="00F34A05"/>
    <w:rsid w:val="00F34F5C"/>
    <w:rsid w:val="00F35571"/>
    <w:rsid w:val="00F35C91"/>
    <w:rsid w:val="00F36B9F"/>
    <w:rsid w:val="00F36DE9"/>
    <w:rsid w:val="00F36FF3"/>
    <w:rsid w:val="00F3718D"/>
    <w:rsid w:val="00F373B1"/>
    <w:rsid w:val="00F37610"/>
    <w:rsid w:val="00F37AA6"/>
    <w:rsid w:val="00F37FB5"/>
    <w:rsid w:val="00F402A3"/>
    <w:rsid w:val="00F40386"/>
    <w:rsid w:val="00F41CF2"/>
    <w:rsid w:val="00F42101"/>
    <w:rsid w:val="00F423D5"/>
    <w:rsid w:val="00F424B6"/>
    <w:rsid w:val="00F428FA"/>
    <w:rsid w:val="00F42E8D"/>
    <w:rsid w:val="00F43544"/>
    <w:rsid w:val="00F442D3"/>
    <w:rsid w:val="00F449F0"/>
    <w:rsid w:val="00F45191"/>
    <w:rsid w:val="00F46284"/>
    <w:rsid w:val="00F46C6E"/>
    <w:rsid w:val="00F46D1E"/>
    <w:rsid w:val="00F47030"/>
    <w:rsid w:val="00F47A22"/>
    <w:rsid w:val="00F506CD"/>
    <w:rsid w:val="00F507F5"/>
    <w:rsid w:val="00F51331"/>
    <w:rsid w:val="00F5224A"/>
    <w:rsid w:val="00F53058"/>
    <w:rsid w:val="00F538D9"/>
    <w:rsid w:val="00F55331"/>
    <w:rsid w:val="00F557E7"/>
    <w:rsid w:val="00F55CBA"/>
    <w:rsid w:val="00F55F38"/>
    <w:rsid w:val="00F55FA4"/>
    <w:rsid w:val="00F5648F"/>
    <w:rsid w:val="00F5735D"/>
    <w:rsid w:val="00F574C1"/>
    <w:rsid w:val="00F57966"/>
    <w:rsid w:val="00F57A69"/>
    <w:rsid w:val="00F57C10"/>
    <w:rsid w:val="00F57EA8"/>
    <w:rsid w:val="00F60262"/>
    <w:rsid w:val="00F6045E"/>
    <w:rsid w:val="00F60708"/>
    <w:rsid w:val="00F607F7"/>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DD1"/>
    <w:rsid w:val="00F66E5F"/>
    <w:rsid w:val="00F67DAB"/>
    <w:rsid w:val="00F701AC"/>
    <w:rsid w:val="00F70D9F"/>
    <w:rsid w:val="00F70E2B"/>
    <w:rsid w:val="00F711F8"/>
    <w:rsid w:val="00F71B58"/>
    <w:rsid w:val="00F722EE"/>
    <w:rsid w:val="00F728FB"/>
    <w:rsid w:val="00F72F68"/>
    <w:rsid w:val="00F73650"/>
    <w:rsid w:val="00F7427F"/>
    <w:rsid w:val="00F74A92"/>
    <w:rsid w:val="00F75848"/>
    <w:rsid w:val="00F75A6B"/>
    <w:rsid w:val="00F76FBF"/>
    <w:rsid w:val="00F7702C"/>
    <w:rsid w:val="00F77A2D"/>
    <w:rsid w:val="00F77C89"/>
    <w:rsid w:val="00F80EE2"/>
    <w:rsid w:val="00F80FD0"/>
    <w:rsid w:val="00F81044"/>
    <w:rsid w:val="00F81E20"/>
    <w:rsid w:val="00F81F92"/>
    <w:rsid w:val="00F83BAB"/>
    <w:rsid w:val="00F841E1"/>
    <w:rsid w:val="00F84976"/>
    <w:rsid w:val="00F84A98"/>
    <w:rsid w:val="00F84AF1"/>
    <w:rsid w:val="00F8508C"/>
    <w:rsid w:val="00F853A0"/>
    <w:rsid w:val="00F8590E"/>
    <w:rsid w:val="00F85945"/>
    <w:rsid w:val="00F85F2A"/>
    <w:rsid w:val="00F864BA"/>
    <w:rsid w:val="00F86E67"/>
    <w:rsid w:val="00F871D1"/>
    <w:rsid w:val="00F87C8C"/>
    <w:rsid w:val="00F90197"/>
    <w:rsid w:val="00F9051D"/>
    <w:rsid w:val="00F90884"/>
    <w:rsid w:val="00F908E1"/>
    <w:rsid w:val="00F9094B"/>
    <w:rsid w:val="00F90E4F"/>
    <w:rsid w:val="00F90FF4"/>
    <w:rsid w:val="00F9132B"/>
    <w:rsid w:val="00F91C1C"/>
    <w:rsid w:val="00F91DAE"/>
    <w:rsid w:val="00F92BB5"/>
    <w:rsid w:val="00F92C0D"/>
    <w:rsid w:val="00F92FDA"/>
    <w:rsid w:val="00F93187"/>
    <w:rsid w:val="00F936DF"/>
    <w:rsid w:val="00F938DA"/>
    <w:rsid w:val="00F938FA"/>
    <w:rsid w:val="00F940B2"/>
    <w:rsid w:val="00F941A2"/>
    <w:rsid w:val="00F941EB"/>
    <w:rsid w:val="00F94BA0"/>
    <w:rsid w:val="00F94EF5"/>
    <w:rsid w:val="00F94F7D"/>
    <w:rsid w:val="00F9501A"/>
    <w:rsid w:val="00F959DB"/>
    <w:rsid w:val="00F960A6"/>
    <w:rsid w:val="00F960DC"/>
    <w:rsid w:val="00F96272"/>
    <w:rsid w:val="00F962A3"/>
    <w:rsid w:val="00F96563"/>
    <w:rsid w:val="00F9694A"/>
    <w:rsid w:val="00F96E32"/>
    <w:rsid w:val="00F97396"/>
    <w:rsid w:val="00F9776D"/>
    <w:rsid w:val="00FA05DC"/>
    <w:rsid w:val="00FA0AC7"/>
    <w:rsid w:val="00FA0C87"/>
    <w:rsid w:val="00FA16DC"/>
    <w:rsid w:val="00FA17D9"/>
    <w:rsid w:val="00FA1D00"/>
    <w:rsid w:val="00FA1FBF"/>
    <w:rsid w:val="00FA2425"/>
    <w:rsid w:val="00FA30BF"/>
    <w:rsid w:val="00FA338F"/>
    <w:rsid w:val="00FA3402"/>
    <w:rsid w:val="00FA354B"/>
    <w:rsid w:val="00FA35FC"/>
    <w:rsid w:val="00FA3932"/>
    <w:rsid w:val="00FA43EE"/>
    <w:rsid w:val="00FA4F46"/>
    <w:rsid w:val="00FA5076"/>
    <w:rsid w:val="00FA50C6"/>
    <w:rsid w:val="00FA512B"/>
    <w:rsid w:val="00FA51B9"/>
    <w:rsid w:val="00FA5447"/>
    <w:rsid w:val="00FA5645"/>
    <w:rsid w:val="00FA5C06"/>
    <w:rsid w:val="00FA5E76"/>
    <w:rsid w:val="00FA676F"/>
    <w:rsid w:val="00FA7004"/>
    <w:rsid w:val="00FA7C5C"/>
    <w:rsid w:val="00FB0CFB"/>
    <w:rsid w:val="00FB113D"/>
    <w:rsid w:val="00FB13DC"/>
    <w:rsid w:val="00FB23CF"/>
    <w:rsid w:val="00FB34C5"/>
    <w:rsid w:val="00FB35F0"/>
    <w:rsid w:val="00FB399F"/>
    <w:rsid w:val="00FB3B0B"/>
    <w:rsid w:val="00FB40AF"/>
    <w:rsid w:val="00FB4560"/>
    <w:rsid w:val="00FB4E7B"/>
    <w:rsid w:val="00FB51DF"/>
    <w:rsid w:val="00FB610C"/>
    <w:rsid w:val="00FB63BB"/>
    <w:rsid w:val="00FB6EB8"/>
    <w:rsid w:val="00FB72D9"/>
    <w:rsid w:val="00FB78F7"/>
    <w:rsid w:val="00FC08FD"/>
    <w:rsid w:val="00FC0AB0"/>
    <w:rsid w:val="00FC1DD1"/>
    <w:rsid w:val="00FC1E9A"/>
    <w:rsid w:val="00FC202D"/>
    <w:rsid w:val="00FC2FB0"/>
    <w:rsid w:val="00FC3647"/>
    <w:rsid w:val="00FC3B64"/>
    <w:rsid w:val="00FC3DE4"/>
    <w:rsid w:val="00FC43F6"/>
    <w:rsid w:val="00FC63A5"/>
    <w:rsid w:val="00FC63F6"/>
    <w:rsid w:val="00FC6AE6"/>
    <w:rsid w:val="00FC6CA3"/>
    <w:rsid w:val="00FC70B2"/>
    <w:rsid w:val="00FC71F9"/>
    <w:rsid w:val="00FC73C9"/>
    <w:rsid w:val="00FC7558"/>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119F"/>
    <w:rsid w:val="00FE192D"/>
    <w:rsid w:val="00FE1DCA"/>
    <w:rsid w:val="00FE3142"/>
    <w:rsid w:val="00FE3C30"/>
    <w:rsid w:val="00FE3ED2"/>
    <w:rsid w:val="00FE3EFC"/>
    <w:rsid w:val="00FE4932"/>
    <w:rsid w:val="00FE53F5"/>
    <w:rsid w:val="00FE5C06"/>
    <w:rsid w:val="00FE5C73"/>
    <w:rsid w:val="00FE5DF5"/>
    <w:rsid w:val="00FE609F"/>
    <w:rsid w:val="00FE6FBE"/>
    <w:rsid w:val="00FE7238"/>
    <w:rsid w:val="00FE78F4"/>
    <w:rsid w:val="00FF00B8"/>
    <w:rsid w:val="00FF0BD9"/>
    <w:rsid w:val="00FF0BFA"/>
    <w:rsid w:val="00FF1084"/>
    <w:rsid w:val="00FF12E1"/>
    <w:rsid w:val="00FF18AE"/>
    <w:rsid w:val="00FF255F"/>
    <w:rsid w:val="00FF2A61"/>
    <w:rsid w:val="00FF2AA3"/>
    <w:rsid w:val="00FF30A2"/>
    <w:rsid w:val="00FF39E7"/>
    <w:rsid w:val="00FF39EE"/>
    <w:rsid w:val="00FF42E0"/>
    <w:rsid w:val="00FF495D"/>
    <w:rsid w:val="00FF4A82"/>
    <w:rsid w:val="00FF4AA0"/>
    <w:rsid w:val="00FF4BFE"/>
    <w:rsid w:val="00FF5443"/>
    <w:rsid w:val="00FF5A7A"/>
    <w:rsid w:val="00FF68BD"/>
    <w:rsid w:val="00FF700D"/>
    <w:rsid w:val="00FF72F4"/>
    <w:rsid w:val="00FF772B"/>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47A548A"/>
  <w15:chartTrackingRefBased/>
  <w15:docId w15:val="{5B1E0E3A-BDA9-46D6-94AF-0A444E07B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4"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46994"/>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646994"/>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46994"/>
    <w:pPr>
      <w:spacing w:before="600" w:line="340" w:lineRule="exact"/>
      <w:outlineLvl w:val="1"/>
    </w:pPr>
    <w:rPr>
      <w:sz w:val="32"/>
    </w:rPr>
  </w:style>
  <w:style w:type="paragraph" w:styleId="Rubrik3">
    <w:name w:val="heading 3"/>
    <w:basedOn w:val="Rubrik2"/>
    <w:next w:val="Normalutanindragellerluft"/>
    <w:link w:val="Rubrik3Char"/>
    <w:qFormat/>
    <w:rsid w:val="00646994"/>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646994"/>
    <w:pPr>
      <w:outlineLvl w:val="3"/>
    </w:pPr>
    <w:rPr>
      <w:b w:val="0"/>
      <w:bCs w:val="0"/>
      <w:i/>
      <w:szCs w:val="28"/>
    </w:rPr>
  </w:style>
  <w:style w:type="paragraph" w:styleId="Rubrik5">
    <w:name w:val="heading 5"/>
    <w:basedOn w:val="Rubrik4"/>
    <w:next w:val="Normalutanindragellerluft"/>
    <w:link w:val="Rubrik5Char"/>
    <w:uiPriority w:val="4"/>
    <w:unhideWhenUsed/>
    <w:rsid w:val="00646994"/>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646994"/>
    <w:pPr>
      <w:outlineLvl w:val="5"/>
    </w:pPr>
    <w:rPr>
      <w:b w:val="0"/>
      <w:bCs/>
      <w:i/>
      <w:szCs w:val="22"/>
    </w:rPr>
  </w:style>
  <w:style w:type="paragraph" w:styleId="Rubrik7">
    <w:name w:val="heading 7"/>
    <w:basedOn w:val="Rubrik6"/>
    <w:next w:val="Normalutanindragellerluft"/>
    <w:link w:val="Rubrik7Char"/>
    <w:uiPriority w:val="4"/>
    <w:semiHidden/>
    <w:rsid w:val="00646994"/>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646994"/>
    <w:pPr>
      <w:outlineLvl w:val="7"/>
    </w:pPr>
    <w:rPr>
      <w:szCs w:val="21"/>
    </w:rPr>
  </w:style>
  <w:style w:type="paragraph" w:styleId="Rubrik9">
    <w:name w:val="heading 9"/>
    <w:basedOn w:val="Rubrik8"/>
    <w:next w:val="Normalutanindragellerluft"/>
    <w:link w:val="Rubrik9Char"/>
    <w:uiPriority w:val="4"/>
    <w:semiHidden/>
    <w:rsid w:val="00646994"/>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646994"/>
    <w:rPr>
      <w:rFonts w:asciiTheme="majorHAnsi" w:hAnsiTheme="majorHAnsi"/>
      <w:kern w:val="28"/>
      <w:sz w:val="38"/>
      <w:lang w:val="sv-SE"/>
    </w:rPr>
  </w:style>
  <w:style w:type="character" w:customStyle="1" w:styleId="Rubrik2Char">
    <w:name w:val="Rubrik 2 Char"/>
    <w:basedOn w:val="Standardstycketeckensnitt"/>
    <w:link w:val="Rubrik2"/>
    <w:rsid w:val="00646994"/>
    <w:rPr>
      <w:rFonts w:asciiTheme="majorHAnsi" w:hAnsiTheme="majorHAnsi"/>
      <w:kern w:val="28"/>
      <w:sz w:val="32"/>
      <w:lang w:val="sv-SE"/>
    </w:rPr>
  </w:style>
  <w:style w:type="character" w:customStyle="1" w:styleId="Rubrik3Char">
    <w:name w:val="Rubrik 3 Char"/>
    <w:basedOn w:val="Standardstycketeckensnitt"/>
    <w:link w:val="Rubrik3"/>
    <w:rsid w:val="00646994"/>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646994"/>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646994"/>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646994"/>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646994"/>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64699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646994"/>
    <w:pPr>
      <w:spacing w:before="150" w:line="240" w:lineRule="exact"/>
      <w:ind w:left="340"/>
    </w:pPr>
    <w:rPr>
      <w:iCs/>
    </w:rPr>
  </w:style>
  <w:style w:type="character" w:customStyle="1" w:styleId="CitatChar">
    <w:name w:val="Citat Char"/>
    <w:basedOn w:val="Standardstycketeckensnitt"/>
    <w:link w:val="Citat"/>
    <w:uiPriority w:val="2"/>
    <w:rsid w:val="00646994"/>
    <w:rPr>
      <w:iCs/>
      <w:kern w:val="28"/>
      <w:lang w:val="sv-SE"/>
      <w14:numSpacing w14:val="proportional"/>
    </w:rPr>
  </w:style>
  <w:style w:type="paragraph" w:customStyle="1" w:styleId="Citatmedindrag">
    <w:name w:val="Citat med indrag"/>
    <w:basedOn w:val="Citat"/>
    <w:uiPriority w:val="2"/>
    <w:qFormat/>
    <w:rsid w:val="00646994"/>
    <w:pPr>
      <w:spacing w:before="0"/>
      <w:ind w:firstLine="340"/>
    </w:pPr>
  </w:style>
  <w:style w:type="paragraph" w:customStyle="1" w:styleId="Citaticitat">
    <w:name w:val="Citat i citat"/>
    <w:basedOn w:val="Citat"/>
    <w:next w:val="Citatmedindrag"/>
    <w:autoRedefine/>
    <w:uiPriority w:val="2"/>
    <w:unhideWhenUsed/>
    <w:rsid w:val="00646994"/>
    <w:pPr>
      <w:ind w:left="680"/>
    </w:pPr>
  </w:style>
  <w:style w:type="paragraph" w:styleId="Fotnotstext">
    <w:name w:val="footnote text"/>
    <w:basedOn w:val="Normalutanindragellerluft"/>
    <w:next w:val="Normalutanindragellerluft"/>
    <w:link w:val="FotnotstextChar"/>
    <w:uiPriority w:val="5"/>
    <w:unhideWhenUsed/>
    <w:rsid w:val="00646994"/>
    <w:pPr>
      <w:spacing w:before="0" w:line="240" w:lineRule="exact"/>
    </w:pPr>
    <w:rPr>
      <w:sz w:val="20"/>
      <w:szCs w:val="20"/>
    </w:rPr>
  </w:style>
  <w:style w:type="character" w:customStyle="1" w:styleId="FotnotstextChar">
    <w:name w:val="Fotnotstext Char"/>
    <w:basedOn w:val="Standardstycketeckensnitt"/>
    <w:link w:val="Fotnotstext"/>
    <w:uiPriority w:val="5"/>
    <w:rsid w:val="00646994"/>
    <w:rPr>
      <w:kern w:val="28"/>
      <w:sz w:val="20"/>
      <w:szCs w:val="20"/>
      <w:lang w:val="sv-SE"/>
      <w14:numSpacing w14:val="proportional"/>
    </w:rPr>
  </w:style>
  <w:style w:type="paragraph" w:styleId="Innehllsfrteckningsrubrik">
    <w:name w:val="TOC Heading"/>
    <w:basedOn w:val="Rubrik1"/>
    <w:next w:val="Normal"/>
    <w:uiPriority w:val="39"/>
    <w:qFormat/>
    <w:rsid w:val="00646994"/>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646994"/>
    <w:rPr>
      <w:rFonts w:eastAsiaTheme="majorEastAsia" w:cstheme="majorBidi"/>
      <w:szCs w:val="56"/>
    </w:rPr>
  </w:style>
  <w:style w:type="character" w:customStyle="1" w:styleId="RubrikChar">
    <w:name w:val="Rubrik Char"/>
    <w:basedOn w:val="Standardstycketeckensnitt"/>
    <w:link w:val="Rubrik"/>
    <w:uiPriority w:val="58"/>
    <w:semiHidden/>
    <w:rsid w:val="00646994"/>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646994"/>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646994"/>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646994"/>
    <w:pPr>
      <w:numPr>
        <w:numId w:val="12"/>
      </w:numPr>
      <w:tabs>
        <w:tab w:val="clear" w:pos="284"/>
        <w:tab w:val="clear" w:pos="567"/>
        <w:tab w:val="clear" w:pos="851"/>
        <w:tab w:val="clear" w:pos="1134"/>
        <w:tab w:val="clear" w:pos="1701"/>
        <w:tab w:val="clear" w:pos="2268"/>
        <w:tab w:val="clear" w:pos="4536"/>
        <w:tab w:val="clear" w:pos="9072"/>
        <w:tab w:val="left" w:pos="397"/>
      </w:tabs>
      <w:contextualSpacing/>
    </w:pPr>
  </w:style>
  <w:style w:type="paragraph" w:customStyle="1" w:styleId="Frslagsrubrik">
    <w:name w:val="Förslagsrubrik"/>
    <w:basedOn w:val="Rubrik1"/>
    <w:next w:val="Normal"/>
    <w:uiPriority w:val="2"/>
    <w:rsid w:val="00646994"/>
  </w:style>
  <w:style w:type="paragraph" w:styleId="Innehll1">
    <w:name w:val="toc 1"/>
    <w:basedOn w:val="Normalutanindragellerluft"/>
    <w:next w:val="Normal"/>
    <w:uiPriority w:val="39"/>
    <w:unhideWhenUsed/>
    <w:rsid w:val="00646994"/>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646994"/>
    <w:pPr>
      <w:ind w:left="284"/>
    </w:pPr>
  </w:style>
  <w:style w:type="paragraph" w:styleId="Innehll3">
    <w:name w:val="toc 3"/>
    <w:basedOn w:val="Innehll2"/>
    <w:next w:val="Normal"/>
    <w:uiPriority w:val="39"/>
    <w:unhideWhenUsed/>
    <w:rsid w:val="00646994"/>
    <w:pPr>
      <w:ind w:left="567"/>
    </w:pPr>
  </w:style>
  <w:style w:type="paragraph" w:styleId="Innehll4">
    <w:name w:val="toc 4"/>
    <w:basedOn w:val="Innehll3"/>
    <w:next w:val="Normal"/>
    <w:uiPriority w:val="39"/>
    <w:semiHidden/>
    <w:unhideWhenUsed/>
    <w:rsid w:val="00646994"/>
    <w:pPr>
      <w:ind w:left="851"/>
    </w:pPr>
  </w:style>
  <w:style w:type="paragraph" w:styleId="Innehll5">
    <w:name w:val="toc 5"/>
    <w:basedOn w:val="Innehll4"/>
    <w:next w:val="Normal"/>
    <w:uiPriority w:val="39"/>
    <w:semiHidden/>
    <w:unhideWhenUsed/>
    <w:rsid w:val="00646994"/>
    <w:pPr>
      <w:ind w:left="1134"/>
    </w:pPr>
  </w:style>
  <w:style w:type="paragraph" w:styleId="Innehll6">
    <w:name w:val="toc 6"/>
    <w:basedOn w:val="Innehll5"/>
    <w:next w:val="Normal"/>
    <w:uiPriority w:val="39"/>
    <w:semiHidden/>
    <w:unhideWhenUsed/>
    <w:rsid w:val="00646994"/>
  </w:style>
  <w:style w:type="paragraph" w:styleId="Innehll7">
    <w:name w:val="toc 7"/>
    <w:basedOn w:val="Rubrik6"/>
    <w:next w:val="Normal"/>
    <w:uiPriority w:val="39"/>
    <w:semiHidden/>
    <w:unhideWhenUsed/>
    <w:rsid w:val="00646994"/>
    <w:pPr>
      <w:spacing w:line="240" w:lineRule="auto"/>
      <w:ind w:left="1134" w:firstLine="284"/>
    </w:pPr>
  </w:style>
  <w:style w:type="paragraph" w:styleId="Innehll8">
    <w:name w:val="toc 8"/>
    <w:basedOn w:val="Innehll7"/>
    <w:next w:val="Normal"/>
    <w:uiPriority w:val="39"/>
    <w:semiHidden/>
    <w:unhideWhenUsed/>
    <w:rsid w:val="00646994"/>
  </w:style>
  <w:style w:type="paragraph" w:styleId="Innehll9">
    <w:name w:val="toc 9"/>
    <w:basedOn w:val="Innehll8"/>
    <w:next w:val="Normal"/>
    <w:uiPriority w:val="39"/>
    <w:semiHidden/>
    <w:unhideWhenUsed/>
    <w:rsid w:val="00646994"/>
  </w:style>
  <w:style w:type="paragraph" w:styleId="Inledning">
    <w:name w:val="Salutation"/>
    <w:basedOn w:val="Rubrik1"/>
    <w:next w:val="Normal"/>
    <w:link w:val="InledningChar"/>
    <w:uiPriority w:val="99"/>
    <w:semiHidden/>
    <w:unhideWhenUsed/>
    <w:locked/>
    <w:rsid w:val="00646994"/>
  </w:style>
  <w:style w:type="character" w:customStyle="1" w:styleId="InledningChar">
    <w:name w:val="Inledning Char"/>
    <w:basedOn w:val="Standardstycketeckensnitt"/>
    <w:link w:val="Inledning"/>
    <w:uiPriority w:val="99"/>
    <w:semiHidden/>
    <w:rsid w:val="00646994"/>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646994"/>
    <w:pPr>
      <w:suppressLineNumbers/>
      <w:suppressAutoHyphens/>
      <w:spacing w:line="300" w:lineRule="exact"/>
    </w:pPr>
    <w:rPr>
      <w:noProof/>
    </w:rPr>
  </w:style>
  <w:style w:type="paragraph" w:customStyle="1" w:styleId="FSHNormalS5">
    <w:name w:val="FSH_NormalS5"/>
    <w:basedOn w:val="FSHNormal"/>
    <w:next w:val="FSHNormal"/>
    <w:uiPriority w:val="7"/>
    <w:semiHidden/>
    <w:rsid w:val="00646994"/>
    <w:pPr>
      <w:keepNext/>
      <w:keepLines/>
      <w:spacing w:before="230" w:after="520" w:line="250" w:lineRule="exact"/>
    </w:pPr>
    <w:rPr>
      <w:b/>
      <w:sz w:val="27"/>
    </w:rPr>
  </w:style>
  <w:style w:type="paragraph" w:customStyle="1" w:styleId="FSHLogo">
    <w:name w:val="FSH_Logo"/>
    <w:basedOn w:val="FSHNormal"/>
    <w:next w:val="FSHNormal"/>
    <w:uiPriority w:val="7"/>
    <w:semiHidden/>
    <w:rsid w:val="00646994"/>
    <w:pPr>
      <w:spacing w:line="240" w:lineRule="auto"/>
    </w:pPr>
  </w:style>
  <w:style w:type="paragraph" w:customStyle="1" w:styleId="FSHNormL">
    <w:name w:val="FSH_NormLÖ"/>
    <w:basedOn w:val="FSHNormal"/>
    <w:next w:val="FSHNormal"/>
    <w:uiPriority w:val="7"/>
    <w:semiHidden/>
    <w:rsid w:val="00646994"/>
    <w:pPr>
      <w:pBdr>
        <w:top w:val="single" w:sz="12" w:space="3" w:color="auto"/>
      </w:pBdr>
    </w:pPr>
  </w:style>
  <w:style w:type="paragraph" w:customStyle="1" w:styleId="FSHRub1">
    <w:name w:val="FSH_Rub1"/>
    <w:aliases w:val="Rubrik1_S5"/>
    <w:basedOn w:val="FSHNormal"/>
    <w:next w:val="FSHNormal"/>
    <w:uiPriority w:val="7"/>
    <w:semiHidden/>
    <w:rsid w:val="00646994"/>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646994"/>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646994"/>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646994"/>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646994"/>
    <w:pPr>
      <w:spacing w:before="0" w:line="200" w:lineRule="exact"/>
    </w:pPr>
  </w:style>
  <w:style w:type="paragraph" w:customStyle="1" w:styleId="KantRubrikS5V">
    <w:name w:val="KantRubrikS5V"/>
    <w:basedOn w:val="KantRubrikS5H"/>
    <w:uiPriority w:val="7"/>
    <w:semiHidden/>
    <w:rsid w:val="00646994"/>
    <w:pPr>
      <w:tabs>
        <w:tab w:val="right" w:pos="1814"/>
        <w:tab w:val="left" w:pos="1899"/>
      </w:tabs>
      <w:ind w:right="0"/>
      <w:jc w:val="left"/>
    </w:pPr>
  </w:style>
  <w:style w:type="paragraph" w:customStyle="1" w:styleId="KantRubrikS5Vrad2">
    <w:name w:val="KantRubrikS5Vrad2"/>
    <w:basedOn w:val="KantRubrikS5V"/>
    <w:uiPriority w:val="7"/>
    <w:semiHidden/>
    <w:rsid w:val="00646994"/>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646994"/>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646994"/>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646994"/>
    <w:pPr>
      <w:spacing w:line="240" w:lineRule="auto"/>
      <w:ind w:firstLine="284"/>
    </w:pPr>
  </w:style>
  <w:style w:type="paragraph" w:customStyle="1" w:styleId="Lagtext">
    <w:name w:val="Lagtext"/>
    <w:basedOn w:val="Lagtextindrag"/>
    <w:next w:val="Lagtextindrag"/>
    <w:uiPriority w:val="3"/>
    <w:rsid w:val="00646994"/>
    <w:pPr>
      <w:ind w:firstLine="0"/>
    </w:pPr>
  </w:style>
  <w:style w:type="paragraph" w:customStyle="1" w:styleId="Lagtextrubrik">
    <w:name w:val="Lagtext_rubrik"/>
    <w:basedOn w:val="Lagtextindrag"/>
    <w:next w:val="Lagtext"/>
    <w:uiPriority w:val="3"/>
    <w:rsid w:val="00646994"/>
    <w:pPr>
      <w:suppressAutoHyphens/>
      <w:ind w:firstLine="0"/>
    </w:pPr>
    <w:rPr>
      <w:i/>
      <w:spacing w:val="20"/>
    </w:rPr>
  </w:style>
  <w:style w:type="paragraph" w:customStyle="1" w:styleId="NormalA4fot">
    <w:name w:val="Normal_A4fot"/>
    <w:basedOn w:val="Normalutanindragellerluft"/>
    <w:uiPriority w:val="7"/>
    <w:semiHidden/>
    <w:rsid w:val="00646994"/>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6994"/>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6994"/>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646994"/>
    <w:pPr>
      <w:tabs>
        <w:tab w:val="right" w:pos="1814"/>
        <w:tab w:val="left" w:pos="1899"/>
      </w:tabs>
      <w:ind w:right="0"/>
      <w:jc w:val="left"/>
    </w:pPr>
  </w:style>
  <w:style w:type="paragraph" w:customStyle="1" w:styleId="Normal00">
    <w:name w:val="Normal00"/>
    <w:basedOn w:val="Normalutanindragellerluft"/>
    <w:uiPriority w:val="7"/>
    <w:semiHidden/>
    <w:rsid w:val="00646994"/>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6994"/>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6994"/>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646994"/>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646994"/>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646994"/>
    <w:pPr>
      <w:numPr>
        <w:numId w:val="21"/>
      </w:numPr>
      <w:suppressLineNumbers/>
      <w:tabs>
        <w:tab w:val="clear" w:pos="360"/>
      </w:tabs>
      <w:contextualSpacing/>
    </w:pPr>
  </w:style>
  <w:style w:type="paragraph" w:styleId="Punktlista">
    <w:name w:val="List Bullet"/>
    <w:aliases w:val="Punktlista_Bomb"/>
    <w:basedOn w:val="Normalutanindragellerluft"/>
    <w:uiPriority w:val="1"/>
    <w:qFormat/>
    <w:rsid w:val="00646994"/>
    <w:pPr>
      <w:numPr>
        <w:numId w:val="22"/>
      </w:numPr>
      <w:suppressLineNumbers/>
      <w:tabs>
        <w:tab w:val="clear" w:pos="360"/>
      </w:tabs>
      <w:contextualSpacing/>
    </w:pPr>
  </w:style>
  <w:style w:type="paragraph" w:customStyle="1" w:styleId="Strecklista">
    <w:name w:val="Strecklista"/>
    <w:aliases w:val="Punktlista_Tankstreck"/>
    <w:basedOn w:val="Punktlista"/>
    <w:uiPriority w:val="1"/>
    <w:qFormat/>
    <w:rsid w:val="00646994"/>
    <w:pPr>
      <w:numPr>
        <w:numId w:val="27"/>
      </w:numPr>
    </w:pPr>
  </w:style>
  <w:style w:type="paragraph" w:customStyle="1" w:styleId="RubrikInnehllsf">
    <w:name w:val="RubrikInnehållsf"/>
    <w:basedOn w:val="Rubrik1"/>
    <w:next w:val="Normal"/>
    <w:uiPriority w:val="3"/>
    <w:semiHidden/>
    <w:rsid w:val="00646994"/>
  </w:style>
  <w:style w:type="paragraph" w:customStyle="1" w:styleId="RubrikSammanf">
    <w:name w:val="RubrikSammanf"/>
    <w:basedOn w:val="Rubrik1"/>
    <w:next w:val="Normal"/>
    <w:uiPriority w:val="3"/>
    <w:semiHidden/>
    <w:rsid w:val="00646994"/>
  </w:style>
  <w:style w:type="paragraph" w:styleId="Sidfot">
    <w:name w:val="footer"/>
    <w:basedOn w:val="Normalutanindragellerluft"/>
    <w:link w:val="SidfotChar"/>
    <w:uiPriority w:val="7"/>
    <w:unhideWhenUsed/>
    <w:rsid w:val="0064699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646994"/>
    <w:rPr>
      <w:kern w:val="28"/>
      <w:sz w:val="23"/>
      <w:lang w:val="sv-SE"/>
      <w14:numSpacing w14:val="proportional"/>
    </w:rPr>
  </w:style>
  <w:style w:type="paragraph" w:styleId="Sidhuvud">
    <w:name w:val="header"/>
    <w:basedOn w:val="Normalutanindragellerluft"/>
    <w:link w:val="SidhuvudChar"/>
    <w:uiPriority w:val="7"/>
    <w:unhideWhenUsed/>
    <w:rsid w:val="00646994"/>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646994"/>
    <w:rPr>
      <w:kern w:val="28"/>
      <w:lang w:val="sv-SE"/>
      <w14:numSpacing w14:val="proportional"/>
    </w:rPr>
  </w:style>
  <w:style w:type="paragraph" w:customStyle="1" w:styleId="Underskrifter">
    <w:name w:val="Underskrifter"/>
    <w:basedOn w:val="Normalutanindragellerluft"/>
    <w:uiPriority w:val="3"/>
    <w:unhideWhenUsed/>
    <w:rsid w:val="00646994"/>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646994"/>
    <w:pPr>
      <w:suppressLineNumbers/>
      <w:spacing w:before="480"/>
    </w:pPr>
    <w:rPr>
      <w:i w:val="0"/>
    </w:rPr>
  </w:style>
  <w:style w:type="paragraph" w:customStyle="1" w:styleId="Yrkandehnv">
    <w:name w:val="Yrkandehänv"/>
    <w:aliases w:val="Förslagspunkthänv"/>
    <w:uiPriority w:val="3"/>
    <w:unhideWhenUsed/>
    <w:rsid w:val="00646994"/>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646994"/>
    <w:rPr>
      <w:color w:val="F4B083" w:themeColor="accent2" w:themeTint="99"/>
    </w:rPr>
  </w:style>
  <w:style w:type="table" w:styleId="Tabellrutnt">
    <w:name w:val="Table Grid"/>
    <w:basedOn w:val="Normaltabell"/>
    <w:uiPriority w:val="39"/>
    <w:locked/>
    <w:rsid w:val="0064699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646994"/>
    <w:rPr>
      <w:sz w:val="16"/>
      <w:szCs w:val="16"/>
    </w:rPr>
  </w:style>
  <w:style w:type="paragraph" w:styleId="Kommentarer">
    <w:name w:val="annotation text"/>
    <w:basedOn w:val="Normal"/>
    <w:link w:val="KommentarerChar"/>
    <w:uiPriority w:val="99"/>
    <w:semiHidden/>
    <w:unhideWhenUsed/>
    <w:rsid w:val="00646994"/>
    <w:pPr>
      <w:spacing w:line="240" w:lineRule="auto"/>
    </w:pPr>
    <w:rPr>
      <w:sz w:val="20"/>
      <w:szCs w:val="20"/>
    </w:rPr>
  </w:style>
  <w:style w:type="character" w:customStyle="1" w:styleId="KommentarerChar">
    <w:name w:val="Kommentarer Char"/>
    <w:basedOn w:val="Standardstycketeckensnitt"/>
    <w:link w:val="Kommentarer"/>
    <w:uiPriority w:val="99"/>
    <w:semiHidden/>
    <w:rsid w:val="00646994"/>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646994"/>
    <w:rPr>
      <w:b/>
      <w:bCs/>
    </w:rPr>
  </w:style>
  <w:style w:type="character" w:customStyle="1" w:styleId="KommentarsmneChar">
    <w:name w:val="Kommentarsämne Char"/>
    <w:basedOn w:val="KommentarerChar"/>
    <w:link w:val="Kommentarsmne"/>
    <w:uiPriority w:val="99"/>
    <w:semiHidden/>
    <w:rsid w:val="00646994"/>
    <w:rPr>
      <w:b/>
      <w:bCs/>
      <w:kern w:val="28"/>
      <w:sz w:val="20"/>
      <w:szCs w:val="20"/>
      <w:lang w:val="sv-SE"/>
      <w14:numSpacing w14:val="proportional"/>
    </w:rPr>
  </w:style>
  <w:style w:type="paragraph" w:styleId="Ballongtext">
    <w:name w:val="Balloon Text"/>
    <w:basedOn w:val="Normal"/>
    <w:link w:val="BallongtextChar"/>
    <w:uiPriority w:val="58"/>
    <w:semiHidden/>
    <w:locked/>
    <w:rsid w:val="00646994"/>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646994"/>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646994"/>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646994"/>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646994"/>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646994"/>
    <w:rPr>
      <w:kern w:val="28"/>
      <w:lang w:val="sv-SE"/>
      <w14:numSpacing w14:val="proportional"/>
    </w:rPr>
  </w:style>
  <w:style w:type="paragraph" w:customStyle="1" w:styleId="R1">
    <w:name w:val="R1"/>
    <w:basedOn w:val="Rubrik1"/>
    <w:next w:val="Normalutanindragellerluft"/>
    <w:uiPriority w:val="3"/>
    <w:semiHidden/>
    <w:rsid w:val="00646994"/>
    <w:pPr>
      <w:outlineLvl w:val="9"/>
    </w:pPr>
  </w:style>
  <w:style w:type="paragraph" w:customStyle="1" w:styleId="R2">
    <w:name w:val="R2"/>
    <w:basedOn w:val="Rubrik2"/>
    <w:next w:val="Normalutanindragellerluft"/>
    <w:uiPriority w:val="3"/>
    <w:semiHidden/>
    <w:rsid w:val="00646994"/>
    <w:pPr>
      <w:outlineLvl w:val="9"/>
    </w:pPr>
  </w:style>
  <w:style w:type="paragraph" w:customStyle="1" w:styleId="R3">
    <w:name w:val="R3"/>
    <w:basedOn w:val="Rubrik3"/>
    <w:next w:val="Normalutanindragellerluft"/>
    <w:uiPriority w:val="3"/>
    <w:semiHidden/>
    <w:rsid w:val="00646994"/>
    <w:pPr>
      <w:outlineLvl w:val="9"/>
    </w:pPr>
  </w:style>
  <w:style w:type="paragraph" w:customStyle="1" w:styleId="KantrubrikV">
    <w:name w:val="KantrubrikV"/>
    <w:basedOn w:val="Sidhuvud"/>
    <w:qFormat/>
    <w:rsid w:val="00646994"/>
    <w:pPr>
      <w:tabs>
        <w:tab w:val="clear" w:pos="4536"/>
        <w:tab w:val="clear" w:pos="9072"/>
      </w:tabs>
      <w:ind w:left="-1701"/>
    </w:pPr>
    <w:rPr>
      <w:sz w:val="20"/>
      <w:szCs w:val="20"/>
    </w:rPr>
  </w:style>
  <w:style w:type="paragraph" w:customStyle="1" w:styleId="KantrubrikH">
    <w:name w:val="KantrubrikH"/>
    <w:basedOn w:val="FSHNormal"/>
    <w:qFormat/>
    <w:rsid w:val="00646994"/>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646994"/>
    <w:pPr>
      <w:spacing w:before="360" w:after="0" w:line="390" w:lineRule="exact"/>
      <w:contextualSpacing/>
    </w:pPr>
    <w:rPr>
      <w:sz w:val="39"/>
    </w:rPr>
  </w:style>
  <w:style w:type="paragraph" w:styleId="Normaltindrag">
    <w:name w:val="Normal Indent"/>
    <w:basedOn w:val="Normal"/>
    <w:uiPriority w:val="99"/>
    <w:semiHidden/>
    <w:locked/>
    <w:rsid w:val="00646994"/>
    <w:pPr>
      <w:ind w:left="1304"/>
    </w:pPr>
  </w:style>
  <w:style w:type="paragraph" w:customStyle="1" w:styleId="RubrikFrslagTIllRiksdagsbeslut">
    <w:name w:val="RubrikFörslagTIllRiksdagsbeslut"/>
    <w:basedOn w:val="Rubrik1"/>
    <w:next w:val="Normalutanindragellerluft"/>
    <w:qFormat/>
    <w:rsid w:val="00646994"/>
    <w:pPr>
      <w:spacing w:after="300"/>
    </w:pPr>
    <w:rPr>
      <w:szCs w:val="38"/>
    </w:rPr>
  </w:style>
  <w:style w:type="paragraph" w:styleId="Lista">
    <w:name w:val="List"/>
    <w:basedOn w:val="Normal"/>
    <w:uiPriority w:val="99"/>
    <w:unhideWhenUsed/>
    <w:rsid w:val="00646994"/>
    <w:pPr>
      <w:tabs>
        <w:tab w:val="clear" w:pos="284"/>
        <w:tab w:val="left" w:pos="340"/>
      </w:tabs>
      <w:spacing w:before="150" w:after="150"/>
      <w:ind w:left="340" w:hanging="340"/>
      <w:contextualSpacing/>
    </w:pPr>
  </w:style>
  <w:style w:type="paragraph" w:customStyle="1" w:styleId="Motionr">
    <w:name w:val="Motionär"/>
    <w:basedOn w:val="Underskrifter"/>
    <w:qFormat/>
    <w:rsid w:val="00646994"/>
    <w:pPr>
      <w:spacing w:before="280" w:after="630"/>
    </w:pPr>
    <w:rPr>
      <w:b/>
      <w:i w:val="0"/>
      <w:sz w:val="32"/>
    </w:rPr>
  </w:style>
  <w:style w:type="paragraph" w:customStyle="1" w:styleId="Rubrik1numrerat">
    <w:name w:val="Rubrik 1 numrerat"/>
    <w:basedOn w:val="Rubrik1"/>
    <w:next w:val="Normalutanindragellerluft"/>
    <w:uiPriority w:val="5"/>
    <w:qFormat/>
    <w:rsid w:val="00646994"/>
    <w:pPr>
      <w:keepLines w:val="0"/>
      <w:numPr>
        <w:numId w:val="26"/>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646994"/>
    <w:pPr>
      <w:numPr>
        <w:ilvl w:val="1"/>
        <w:numId w:val="26"/>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646994"/>
    <w:pPr>
      <w:numPr>
        <w:ilvl w:val="2"/>
        <w:numId w:val="26"/>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646994"/>
    <w:pPr>
      <w:numPr>
        <w:numId w:val="16"/>
      </w:numPr>
    </w:pPr>
  </w:style>
  <w:style w:type="paragraph" w:customStyle="1" w:styleId="ListaNummer">
    <w:name w:val="ListaNummer"/>
    <w:basedOn w:val="Lista"/>
    <w:qFormat/>
    <w:rsid w:val="00646994"/>
    <w:pPr>
      <w:numPr>
        <w:numId w:val="15"/>
      </w:numPr>
      <w:suppressLineNumbers/>
    </w:pPr>
  </w:style>
  <w:style w:type="paragraph" w:styleId="Liststycke">
    <w:name w:val="List Paragraph"/>
    <w:basedOn w:val="Normal"/>
    <w:uiPriority w:val="58"/>
    <w:semiHidden/>
    <w:locked/>
    <w:rsid w:val="00646994"/>
    <w:pPr>
      <w:ind w:left="720"/>
      <w:contextualSpacing/>
    </w:pPr>
  </w:style>
  <w:style w:type="paragraph" w:customStyle="1" w:styleId="ListaLinje">
    <w:name w:val="ListaLinje"/>
    <w:basedOn w:val="Lista"/>
    <w:qFormat/>
    <w:rsid w:val="00646994"/>
    <w:pPr>
      <w:numPr>
        <w:numId w:val="14"/>
      </w:numPr>
    </w:pPr>
  </w:style>
  <w:style w:type="paragraph" w:customStyle="1" w:styleId="ListaGemener">
    <w:name w:val="ListaGemener"/>
    <w:basedOn w:val="Lista"/>
    <w:qFormat/>
    <w:rsid w:val="00646994"/>
    <w:pPr>
      <w:numPr>
        <w:numId w:val="13"/>
      </w:numPr>
    </w:pPr>
  </w:style>
  <w:style w:type="paragraph" w:customStyle="1" w:styleId="Klla">
    <w:name w:val="Källa"/>
    <w:basedOn w:val="Normalutanindragellerluft"/>
    <w:next w:val="Normalutanindragellerluft"/>
    <w:qFormat/>
    <w:rsid w:val="00646994"/>
    <w:pPr>
      <w:spacing w:before="0" w:line="240" w:lineRule="exact"/>
    </w:pPr>
    <w:rPr>
      <w:sz w:val="20"/>
    </w:rPr>
  </w:style>
  <w:style w:type="paragraph" w:customStyle="1" w:styleId="Tabellrubrik">
    <w:name w:val="Tabellrubrik"/>
    <w:basedOn w:val="Normalutanindragellerluft"/>
    <w:next w:val="Normalutanindragellerluft"/>
    <w:qFormat/>
    <w:rsid w:val="00646994"/>
    <w:pPr>
      <w:keepNext/>
      <w:spacing w:before="150"/>
    </w:pPr>
    <w:rPr>
      <w:b/>
      <w:sz w:val="23"/>
    </w:rPr>
  </w:style>
  <w:style w:type="paragraph" w:customStyle="1" w:styleId="Tabellunderrubrik">
    <w:name w:val="Tabell underrubrik"/>
    <w:basedOn w:val="Tabellrubrik"/>
    <w:qFormat/>
    <w:rsid w:val="00646994"/>
    <w:pPr>
      <w:spacing w:before="0"/>
    </w:pPr>
    <w:rPr>
      <w:b w:val="0"/>
      <w:i/>
      <w:sz w:val="20"/>
      <w:szCs w:val="20"/>
    </w:rPr>
  </w:style>
  <w:style w:type="paragraph" w:customStyle="1" w:styleId="Rubrik4numrerat">
    <w:name w:val="Rubrik 4 numrerat"/>
    <w:basedOn w:val="Rubrik4"/>
    <w:next w:val="Normalutanindragellerluft"/>
    <w:qFormat/>
    <w:rsid w:val="00646994"/>
    <w:pPr>
      <w:numPr>
        <w:ilvl w:val="3"/>
        <w:numId w:val="26"/>
      </w:numPr>
    </w:pPr>
  </w:style>
  <w:style w:type="paragraph" w:customStyle="1" w:styleId="Beteckning">
    <w:name w:val="Beteckning"/>
    <w:basedOn w:val="MotionTIllRiksdagen"/>
    <w:next w:val="Motionr"/>
    <w:link w:val="BeteckningChar"/>
    <w:rsid w:val="00646994"/>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646994"/>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646994"/>
    <w:rPr>
      <w:noProof/>
      <w:kern w:val="28"/>
      <w:sz w:val="48"/>
      <w:lang w:val="sv-SE"/>
      <w14:numSpacing w14:val="proportional"/>
    </w:rPr>
  </w:style>
  <w:style w:type="character" w:customStyle="1" w:styleId="MotionTIllRiksdagenChar">
    <w:name w:val="MotionTIllRiksdagen Char"/>
    <w:basedOn w:val="FSHRub2Char"/>
    <w:link w:val="MotionTIllRiksdagen"/>
    <w:rsid w:val="00646994"/>
    <w:rPr>
      <w:noProof/>
      <w:kern w:val="28"/>
      <w:sz w:val="39"/>
      <w:lang w:val="sv-SE"/>
      <w14:numSpacing w14:val="proportional"/>
    </w:rPr>
  </w:style>
  <w:style w:type="character" w:customStyle="1" w:styleId="BeteckningChar">
    <w:name w:val="Beteckning Char"/>
    <w:basedOn w:val="MotionTIllRiksdagenChar"/>
    <w:link w:val="Beteckning"/>
    <w:rsid w:val="00646994"/>
    <w:rPr>
      <w:noProof/>
      <w:kern w:val="28"/>
      <w:sz w:val="39"/>
      <w:lang w:val="sv-SE"/>
      <w14:numSpacing w14:val="proportional"/>
    </w:rPr>
  </w:style>
  <w:style w:type="character" w:styleId="Hyperlnk">
    <w:name w:val="Hyperlink"/>
    <w:basedOn w:val="Standardstycketeckensnitt"/>
    <w:uiPriority w:val="99"/>
    <w:unhideWhenUsed/>
    <w:locked/>
    <w:rsid w:val="00646994"/>
    <w:rPr>
      <w:color w:val="0563C1" w:themeColor="hyperlink"/>
      <w:u w:val="single"/>
    </w:rPr>
  </w:style>
  <w:style w:type="paragraph" w:customStyle="1" w:styleId="Motiveringrubrik4numrerat11">
    <w:name w:val="Motivering rubrik 4 numrerat 1.1"/>
    <w:basedOn w:val="Rubrik4"/>
    <w:next w:val="Normalutanindragellerluft"/>
    <w:qFormat/>
    <w:rsid w:val="00646994"/>
    <w:pPr>
      <w:numPr>
        <w:ilvl w:val="1"/>
        <w:numId w:val="20"/>
      </w:numPr>
    </w:pPr>
  </w:style>
  <w:style w:type="paragraph" w:customStyle="1" w:styleId="Motiveringrubrik3numrerat1">
    <w:name w:val="Motivering rubrik 3 numrerat 1"/>
    <w:basedOn w:val="Rubrik3"/>
    <w:next w:val="Normalutanindragellerluft"/>
    <w:qFormat/>
    <w:rsid w:val="00646994"/>
    <w:pPr>
      <w:numPr>
        <w:numId w:val="20"/>
      </w:numPr>
    </w:pPr>
  </w:style>
  <w:style w:type="paragraph" w:customStyle="1" w:styleId="Motiveringrubrik3numrerat11">
    <w:name w:val="Motivering rubrik 3 numrerat 1.1"/>
    <w:basedOn w:val="Rubrik3"/>
    <w:next w:val="Normalutanindragellerluft"/>
    <w:qFormat/>
    <w:rsid w:val="00646994"/>
    <w:pPr>
      <w:numPr>
        <w:ilvl w:val="1"/>
        <w:numId w:val="19"/>
      </w:numPr>
    </w:pPr>
  </w:style>
  <w:style w:type="paragraph" w:customStyle="1" w:styleId="Motiveringrubrik2numrerat1">
    <w:name w:val="Motivering rubrik 2 numrerat 1"/>
    <w:basedOn w:val="Rubrik2"/>
    <w:next w:val="Normalutanindragellerluft"/>
    <w:qFormat/>
    <w:rsid w:val="00646994"/>
    <w:pPr>
      <w:numPr>
        <w:numId w:val="19"/>
      </w:numPr>
    </w:pPr>
  </w:style>
  <w:style w:type="paragraph" w:styleId="Normalwebb">
    <w:name w:val="Normal (Web)"/>
    <w:basedOn w:val="Normal"/>
    <w:uiPriority w:val="99"/>
    <w:unhideWhenUsed/>
    <w:locked/>
    <w:rsid w:val="00646994"/>
    <w:rPr>
      <w:rFonts w:ascii="Times New Roman" w:hAnsi="Times New Roman" w:cs="Times New Roman"/>
    </w:rPr>
  </w:style>
  <w:style w:type="character" w:styleId="Fotnotsreferens">
    <w:name w:val="footnote reference"/>
    <w:basedOn w:val="Standardstycketeckensnitt"/>
    <w:uiPriority w:val="5"/>
    <w:unhideWhenUsed/>
    <w:locked/>
    <w:rsid w:val="006127F0"/>
    <w:rPr>
      <w:vertAlign w:val="superscript"/>
    </w:rPr>
  </w:style>
  <w:style w:type="character" w:styleId="Olstomnmnande">
    <w:name w:val="Unresolved Mention"/>
    <w:basedOn w:val="Standardstycketeckensnitt"/>
    <w:uiPriority w:val="99"/>
    <w:semiHidden/>
    <w:unhideWhenUsed/>
    <w:rsid w:val="00724089"/>
    <w:rPr>
      <w:color w:val="605E5C"/>
      <w:shd w:val="clear" w:color="auto" w:fill="E1DFDD"/>
    </w:rPr>
  </w:style>
  <w:style w:type="character" w:styleId="AnvndHyperlnk">
    <w:name w:val="FollowedHyperlink"/>
    <w:basedOn w:val="Standardstycketeckensnitt"/>
    <w:uiPriority w:val="58"/>
    <w:semiHidden/>
    <w:locked/>
    <w:rsid w:val="00E95BF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81057999">
      <w:bodyDiv w:val="1"/>
      <w:marLeft w:val="0"/>
      <w:marRight w:val="0"/>
      <w:marTop w:val="0"/>
      <w:marBottom w:val="0"/>
      <w:divBdr>
        <w:top w:val="none" w:sz="0" w:space="0" w:color="auto"/>
        <w:left w:val="none" w:sz="0" w:space="0" w:color="auto"/>
        <w:bottom w:val="none" w:sz="0" w:space="0" w:color="auto"/>
        <w:right w:val="none" w:sz="0" w:space="0" w:color="auto"/>
      </w:divBdr>
    </w:div>
    <w:div w:id="387262028">
      <w:bodyDiv w:val="1"/>
      <w:marLeft w:val="0"/>
      <w:marRight w:val="0"/>
      <w:marTop w:val="0"/>
      <w:marBottom w:val="0"/>
      <w:divBdr>
        <w:top w:val="none" w:sz="0" w:space="0" w:color="auto"/>
        <w:left w:val="none" w:sz="0" w:space="0" w:color="auto"/>
        <w:bottom w:val="none" w:sz="0" w:space="0" w:color="auto"/>
        <w:right w:val="none" w:sz="0" w:space="0" w:color="auto"/>
      </w:divBdr>
    </w:div>
    <w:div w:id="469521813">
      <w:bodyDiv w:val="1"/>
      <w:marLeft w:val="0"/>
      <w:marRight w:val="0"/>
      <w:marTop w:val="0"/>
      <w:marBottom w:val="0"/>
      <w:divBdr>
        <w:top w:val="none" w:sz="0" w:space="0" w:color="auto"/>
        <w:left w:val="none" w:sz="0" w:space="0" w:color="auto"/>
        <w:bottom w:val="none" w:sz="0" w:space="0" w:color="auto"/>
        <w:right w:val="none" w:sz="0" w:space="0" w:color="auto"/>
      </w:divBdr>
      <w:divsChild>
        <w:div w:id="222524531">
          <w:marLeft w:val="720"/>
          <w:marRight w:val="0"/>
          <w:marTop w:val="0"/>
          <w:marBottom w:val="0"/>
          <w:divBdr>
            <w:top w:val="none" w:sz="0" w:space="0" w:color="auto"/>
            <w:left w:val="none" w:sz="0" w:space="0" w:color="auto"/>
            <w:bottom w:val="none" w:sz="0" w:space="0" w:color="auto"/>
            <w:right w:val="none" w:sz="0" w:space="0" w:color="auto"/>
          </w:divBdr>
        </w:div>
        <w:div w:id="373580602">
          <w:marLeft w:val="720"/>
          <w:marRight w:val="0"/>
          <w:marTop w:val="0"/>
          <w:marBottom w:val="0"/>
          <w:divBdr>
            <w:top w:val="none" w:sz="0" w:space="0" w:color="auto"/>
            <w:left w:val="none" w:sz="0" w:space="0" w:color="auto"/>
            <w:bottom w:val="none" w:sz="0" w:space="0" w:color="auto"/>
            <w:right w:val="none" w:sz="0" w:space="0" w:color="auto"/>
          </w:divBdr>
        </w:div>
        <w:div w:id="414981056">
          <w:marLeft w:val="720"/>
          <w:marRight w:val="0"/>
          <w:marTop w:val="0"/>
          <w:marBottom w:val="0"/>
          <w:divBdr>
            <w:top w:val="none" w:sz="0" w:space="0" w:color="auto"/>
            <w:left w:val="none" w:sz="0" w:space="0" w:color="auto"/>
            <w:bottom w:val="none" w:sz="0" w:space="0" w:color="auto"/>
            <w:right w:val="none" w:sz="0" w:space="0" w:color="auto"/>
          </w:divBdr>
        </w:div>
        <w:div w:id="1149859638">
          <w:marLeft w:val="1440"/>
          <w:marRight w:val="0"/>
          <w:marTop w:val="0"/>
          <w:marBottom w:val="0"/>
          <w:divBdr>
            <w:top w:val="none" w:sz="0" w:space="0" w:color="auto"/>
            <w:left w:val="none" w:sz="0" w:space="0" w:color="auto"/>
            <w:bottom w:val="none" w:sz="0" w:space="0" w:color="auto"/>
            <w:right w:val="none" w:sz="0" w:space="0" w:color="auto"/>
          </w:divBdr>
        </w:div>
      </w:divsChild>
    </w:div>
    <w:div w:id="614142577">
      <w:bodyDiv w:val="1"/>
      <w:marLeft w:val="0"/>
      <w:marRight w:val="0"/>
      <w:marTop w:val="0"/>
      <w:marBottom w:val="0"/>
      <w:divBdr>
        <w:top w:val="none" w:sz="0" w:space="0" w:color="auto"/>
        <w:left w:val="none" w:sz="0" w:space="0" w:color="auto"/>
        <w:bottom w:val="none" w:sz="0" w:space="0" w:color="auto"/>
        <w:right w:val="none" w:sz="0" w:space="0" w:color="auto"/>
      </w:divBdr>
    </w:div>
    <w:div w:id="656884552">
      <w:bodyDiv w:val="1"/>
      <w:marLeft w:val="0"/>
      <w:marRight w:val="0"/>
      <w:marTop w:val="0"/>
      <w:marBottom w:val="0"/>
      <w:divBdr>
        <w:top w:val="none" w:sz="0" w:space="0" w:color="auto"/>
        <w:left w:val="none" w:sz="0" w:space="0" w:color="auto"/>
        <w:bottom w:val="none" w:sz="0" w:space="0" w:color="auto"/>
        <w:right w:val="none" w:sz="0" w:space="0" w:color="auto"/>
      </w:divBdr>
    </w:div>
    <w:div w:id="682049339">
      <w:bodyDiv w:val="1"/>
      <w:marLeft w:val="0"/>
      <w:marRight w:val="0"/>
      <w:marTop w:val="0"/>
      <w:marBottom w:val="0"/>
      <w:divBdr>
        <w:top w:val="none" w:sz="0" w:space="0" w:color="auto"/>
        <w:left w:val="none" w:sz="0" w:space="0" w:color="auto"/>
        <w:bottom w:val="none" w:sz="0" w:space="0" w:color="auto"/>
        <w:right w:val="none" w:sz="0" w:space="0" w:color="auto"/>
      </w:divBdr>
    </w:div>
    <w:div w:id="80388787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24345609">
      <w:bodyDiv w:val="1"/>
      <w:marLeft w:val="0"/>
      <w:marRight w:val="0"/>
      <w:marTop w:val="0"/>
      <w:marBottom w:val="0"/>
      <w:divBdr>
        <w:top w:val="none" w:sz="0" w:space="0" w:color="auto"/>
        <w:left w:val="none" w:sz="0" w:space="0" w:color="auto"/>
        <w:bottom w:val="none" w:sz="0" w:space="0" w:color="auto"/>
        <w:right w:val="none" w:sz="0" w:space="0" w:color="auto"/>
      </w:divBdr>
    </w:div>
    <w:div w:id="1254437865">
      <w:bodyDiv w:val="1"/>
      <w:marLeft w:val="0"/>
      <w:marRight w:val="0"/>
      <w:marTop w:val="0"/>
      <w:marBottom w:val="0"/>
      <w:divBdr>
        <w:top w:val="none" w:sz="0" w:space="0" w:color="auto"/>
        <w:left w:val="none" w:sz="0" w:space="0" w:color="auto"/>
        <w:bottom w:val="none" w:sz="0" w:space="0" w:color="auto"/>
        <w:right w:val="none" w:sz="0" w:space="0" w:color="auto"/>
      </w:divBdr>
    </w:div>
    <w:div w:id="1271888384">
      <w:bodyDiv w:val="1"/>
      <w:marLeft w:val="0"/>
      <w:marRight w:val="0"/>
      <w:marTop w:val="0"/>
      <w:marBottom w:val="0"/>
      <w:divBdr>
        <w:top w:val="none" w:sz="0" w:space="0" w:color="auto"/>
        <w:left w:val="none" w:sz="0" w:space="0" w:color="auto"/>
        <w:bottom w:val="none" w:sz="0" w:space="0" w:color="auto"/>
        <w:right w:val="none" w:sz="0" w:space="0" w:color="auto"/>
      </w:divBdr>
    </w:div>
    <w:div w:id="1296063969">
      <w:bodyDiv w:val="1"/>
      <w:marLeft w:val="0"/>
      <w:marRight w:val="0"/>
      <w:marTop w:val="0"/>
      <w:marBottom w:val="0"/>
      <w:divBdr>
        <w:top w:val="none" w:sz="0" w:space="0" w:color="auto"/>
        <w:left w:val="none" w:sz="0" w:space="0" w:color="auto"/>
        <w:bottom w:val="none" w:sz="0" w:space="0" w:color="auto"/>
        <w:right w:val="none" w:sz="0" w:space="0" w:color="auto"/>
      </w:divBdr>
    </w:div>
    <w:div w:id="1451822116">
      <w:bodyDiv w:val="1"/>
      <w:marLeft w:val="0"/>
      <w:marRight w:val="0"/>
      <w:marTop w:val="0"/>
      <w:marBottom w:val="0"/>
      <w:divBdr>
        <w:top w:val="none" w:sz="0" w:space="0" w:color="auto"/>
        <w:left w:val="none" w:sz="0" w:space="0" w:color="auto"/>
        <w:bottom w:val="none" w:sz="0" w:space="0" w:color="auto"/>
        <w:right w:val="none" w:sz="0" w:space="0" w:color="auto"/>
      </w:divBdr>
      <w:divsChild>
        <w:div w:id="574245102">
          <w:marLeft w:val="720"/>
          <w:marRight w:val="0"/>
          <w:marTop w:val="0"/>
          <w:marBottom w:val="0"/>
          <w:divBdr>
            <w:top w:val="none" w:sz="0" w:space="0" w:color="auto"/>
            <w:left w:val="none" w:sz="0" w:space="0" w:color="auto"/>
            <w:bottom w:val="none" w:sz="0" w:space="0" w:color="auto"/>
            <w:right w:val="none" w:sz="0" w:space="0" w:color="auto"/>
          </w:divBdr>
        </w:div>
        <w:div w:id="915552220">
          <w:marLeft w:val="720"/>
          <w:marRight w:val="0"/>
          <w:marTop w:val="0"/>
          <w:marBottom w:val="0"/>
          <w:divBdr>
            <w:top w:val="none" w:sz="0" w:space="0" w:color="auto"/>
            <w:left w:val="none" w:sz="0" w:space="0" w:color="auto"/>
            <w:bottom w:val="none" w:sz="0" w:space="0" w:color="auto"/>
            <w:right w:val="none" w:sz="0" w:space="0" w:color="auto"/>
          </w:divBdr>
        </w:div>
        <w:div w:id="243925921">
          <w:marLeft w:val="720"/>
          <w:marRight w:val="0"/>
          <w:marTop w:val="0"/>
          <w:marBottom w:val="0"/>
          <w:divBdr>
            <w:top w:val="none" w:sz="0" w:space="0" w:color="auto"/>
            <w:left w:val="none" w:sz="0" w:space="0" w:color="auto"/>
            <w:bottom w:val="none" w:sz="0" w:space="0" w:color="auto"/>
            <w:right w:val="none" w:sz="0" w:space="0" w:color="auto"/>
          </w:divBdr>
        </w:div>
        <w:div w:id="789512578">
          <w:marLeft w:val="720"/>
          <w:marRight w:val="0"/>
          <w:marTop w:val="0"/>
          <w:marBottom w:val="0"/>
          <w:divBdr>
            <w:top w:val="none" w:sz="0" w:space="0" w:color="auto"/>
            <w:left w:val="none" w:sz="0" w:space="0" w:color="auto"/>
            <w:bottom w:val="none" w:sz="0" w:space="0" w:color="auto"/>
            <w:right w:val="none" w:sz="0" w:space="0" w:color="auto"/>
          </w:divBdr>
        </w:div>
        <w:div w:id="689798418">
          <w:marLeft w:val="720"/>
          <w:marRight w:val="0"/>
          <w:marTop w:val="0"/>
          <w:marBottom w:val="0"/>
          <w:divBdr>
            <w:top w:val="none" w:sz="0" w:space="0" w:color="auto"/>
            <w:left w:val="none" w:sz="0" w:space="0" w:color="auto"/>
            <w:bottom w:val="none" w:sz="0" w:space="0" w:color="auto"/>
            <w:right w:val="none" w:sz="0" w:space="0" w:color="auto"/>
          </w:divBdr>
        </w:div>
      </w:divsChild>
    </w:div>
    <w:div w:id="1456371305">
      <w:bodyDiv w:val="1"/>
      <w:marLeft w:val="0"/>
      <w:marRight w:val="0"/>
      <w:marTop w:val="0"/>
      <w:marBottom w:val="0"/>
      <w:divBdr>
        <w:top w:val="none" w:sz="0" w:space="0" w:color="auto"/>
        <w:left w:val="none" w:sz="0" w:space="0" w:color="auto"/>
        <w:bottom w:val="none" w:sz="0" w:space="0" w:color="auto"/>
        <w:right w:val="none" w:sz="0" w:space="0" w:color="auto"/>
      </w:divBdr>
    </w:div>
    <w:div w:id="1577662629">
      <w:bodyDiv w:val="1"/>
      <w:marLeft w:val="0"/>
      <w:marRight w:val="0"/>
      <w:marTop w:val="0"/>
      <w:marBottom w:val="0"/>
      <w:divBdr>
        <w:top w:val="none" w:sz="0" w:space="0" w:color="auto"/>
        <w:left w:val="none" w:sz="0" w:space="0" w:color="auto"/>
        <w:bottom w:val="none" w:sz="0" w:space="0" w:color="auto"/>
        <w:right w:val="none" w:sz="0" w:space="0" w:color="auto"/>
      </w:divBdr>
    </w:div>
    <w:div w:id="1886287204">
      <w:bodyDiv w:val="1"/>
      <w:marLeft w:val="0"/>
      <w:marRight w:val="0"/>
      <w:marTop w:val="0"/>
      <w:marBottom w:val="0"/>
      <w:divBdr>
        <w:top w:val="none" w:sz="0" w:space="0" w:color="auto"/>
        <w:left w:val="none" w:sz="0" w:space="0" w:color="auto"/>
        <w:bottom w:val="none" w:sz="0" w:space="0" w:color="auto"/>
        <w:right w:val="none" w:sz="0" w:space="0" w:color="auto"/>
      </w:divBdr>
    </w:div>
    <w:div w:id="2039700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header" Target="header2.xml"/><Relationship Id="rId21" Type="http://schemas.openxmlformats.org/officeDocument/2006/relationships/image" Target="media/image1.png"/><Relationship Id="rId34" Type="http://schemas.openxmlformats.org/officeDocument/2006/relationships/customXml" Target="../customXml/item1.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header" Target="header1.xml"/><Relationship Id="rId33" Type="http://schemas.openxmlformats.org/officeDocument/2006/relationships/theme" Target="theme/theme1.xml"/><Relationship Id="rId16" Type="http://schemas.openxmlformats.org/officeDocument/2006/relationships/chart" Target="charts/chart6.xml"/><Relationship Id="rId20" Type="http://schemas.openxmlformats.org/officeDocument/2006/relationships/chart" Target="charts/chart10.xml"/><Relationship Id="rId29" Type="http://schemas.openxmlformats.org/officeDocument/2006/relationships/header" Target="header3.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chart" Target="charts/chart13.xml"/><Relationship Id="rId32"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chart" Target="charts/chart5.xml"/><Relationship Id="rId23" Type="http://schemas.openxmlformats.org/officeDocument/2006/relationships/chart" Target="charts/chart12.xml"/><Relationship Id="rId28" Type="http://schemas.openxmlformats.org/officeDocument/2006/relationships/footer" Target="footer2.xml"/><Relationship Id="rId36" Type="http://schemas.openxmlformats.org/officeDocument/2006/relationships/customXml" Target="../customXml/item3.xml"/><Relationship Id="rId10" Type="http://schemas.openxmlformats.org/officeDocument/2006/relationships/endnotes" Target="endnotes.xml"/><Relationship Id="rId19" Type="http://schemas.openxmlformats.org/officeDocument/2006/relationships/chart" Target="charts/chart9.xml"/><Relationship Id="rId31" Type="http://schemas.openxmlformats.org/officeDocument/2006/relationships/fontTable" Target="fontTable.xml"/><Relationship Id="rId9" Type="http://schemas.openxmlformats.org/officeDocument/2006/relationships/footnotes" Target="footnotes.xml"/><Relationship Id="rId14" Type="http://schemas.openxmlformats.org/officeDocument/2006/relationships/chart" Target="charts/chart4.xml"/><Relationship Id="rId22" Type="http://schemas.openxmlformats.org/officeDocument/2006/relationships/chart" Target="charts/chart11.xml"/><Relationship Id="rId27" Type="http://schemas.openxmlformats.org/officeDocument/2006/relationships/footer" Target="footer1.xml"/><Relationship Id="rId30" Type="http://schemas.openxmlformats.org/officeDocument/2006/relationships/footer" Target="footer3.xml"/><Relationship Id="rId35"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charts/_rels/chart1.xml.rels><?xml version="1.0" encoding="UTF-8" standalone="yes"?>
<Relationships xmlns="http://schemas.openxmlformats.org/package/2006/relationships"><Relationship Id="rId3" Type="http://schemas.openxmlformats.org/officeDocument/2006/relationships/oleObject" Target="file:///\\fshome2.riksdagen.se\fshome2share\jn0106aa\V&#229;r%202025\BNP%20kvartal%20s&#228;songsrensad.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fsgem1.riksdagen.se\fsgem1share\V\Team\Reformteamet\Excel\KI%20konfidensinidkator%20mars%202025.xls.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fsgem1.riksdagen.se\fsgem1share\V\Team\Reformteamet\Excel\Eurostat%20Food%20prices%202016-2025feb.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fshome3\fshome3share\oe0310aa\Minadok\Reformteam\fattigdom%202021-2024.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3.xml"/><Relationship Id="rId1" Type="http://schemas.microsoft.com/office/2011/relationships/chartStyle" Target="style13.xml"/></Relationships>
</file>

<file path=word/charts/_rels/chart2.xml.rels><?xml version="1.0" encoding="UTF-8" standalone="yes"?>
<Relationships xmlns="http://schemas.openxmlformats.org/package/2006/relationships"><Relationship Id="rId3" Type="http://schemas.openxmlformats.org/officeDocument/2006/relationships/oleObject" Target="file:///\\fshome2.riksdagen.se\fshome2share\jn0106aa\V&#229;r%202025\Hush&#229;llens%20konfidensindikator_makro%20och%20mikro.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fshome2.riksdagen.se\fshome2share\jn0106aa\V&#229;r%202025\Reall&#246;ner%2098_24.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fshome2.riksdagen.se\fshome2share\jn0106aa\V&#229;r%202025\Diagram%20bostadsbyggande.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fshome2.riksdagen.se\fshome2share\jn0106aa\V&#229;r%202025\Diagram%20arbetsl&#246;shet%2006_25%20feb.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fshome2.riksdagen.se\fshome2share\jn0106aa\V&#229;r%202025\Diagram%20arbetsl&#246;shet%20EU27%20och%20Sverige.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fshome2.riksdagen.se\fshome2share\jn0106aa\V&#229;r%202025\KPIF%20diagram.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aa1016aa\AppData\Local\Microsoft\Windows\INetCache\Content.Outlook\XEE8ITWK\Diagramunderlag-konjunkturlaget-mars-2025.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fsgem1.riksdagen.se\fsgem1share\V\Team\Reformteamet\Excel\F&#246;rsvarsutgifter%202014-2030.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NR0103CF!$I$17</c:f>
              <c:strCache>
                <c:ptCount val="1"/>
                <c:pt idx="0">
                  <c:v>Arbetslöshet</c:v>
                </c:pt>
              </c:strCache>
            </c:strRef>
          </c:tx>
          <c:spPr>
            <a:solidFill>
              <a:schemeClr val="accent1"/>
            </a:solidFill>
            <a:ln>
              <a:noFill/>
            </a:ln>
            <a:effectLst/>
          </c:spPr>
          <c:invertIfNegative val="0"/>
          <c:cat>
            <c:strRef>
              <c:f>NR0103CF!$J$16:$Y$16</c:f>
              <c:strCache>
                <c:ptCount val="16"/>
                <c:pt idx="0">
                  <c:v>2021K1</c:v>
                </c:pt>
                <c:pt idx="1">
                  <c:v>2021K2</c:v>
                </c:pt>
                <c:pt idx="2">
                  <c:v>2021K3</c:v>
                </c:pt>
                <c:pt idx="3">
                  <c:v>2021K4</c:v>
                </c:pt>
                <c:pt idx="4">
                  <c:v>2022K1</c:v>
                </c:pt>
                <c:pt idx="5">
                  <c:v>2022K2</c:v>
                </c:pt>
                <c:pt idx="6">
                  <c:v>2022K3</c:v>
                </c:pt>
                <c:pt idx="7">
                  <c:v>2022K4</c:v>
                </c:pt>
                <c:pt idx="8">
                  <c:v>2023K1</c:v>
                </c:pt>
                <c:pt idx="9">
                  <c:v>2023K2</c:v>
                </c:pt>
                <c:pt idx="10">
                  <c:v>2023K3</c:v>
                </c:pt>
                <c:pt idx="11">
                  <c:v>2023K4</c:v>
                </c:pt>
                <c:pt idx="12">
                  <c:v>2024K1</c:v>
                </c:pt>
                <c:pt idx="13">
                  <c:v>2024K2</c:v>
                </c:pt>
                <c:pt idx="14">
                  <c:v>2024K3</c:v>
                </c:pt>
                <c:pt idx="15">
                  <c:v>2024K4</c:v>
                </c:pt>
              </c:strCache>
            </c:strRef>
          </c:cat>
          <c:val>
            <c:numRef>
              <c:f>NR0103CF!$J$17:$Y$17</c:f>
              <c:numCache>
                <c:formatCode>0.0</c:formatCode>
                <c:ptCount val="16"/>
                <c:pt idx="0">
                  <c:v>2.5</c:v>
                </c:pt>
                <c:pt idx="1">
                  <c:v>0.8</c:v>
                </c:pt>
                <c:pt idx="2">
                  <c:v>0.4</c:v>
                </c:pt>
                <c:pt idx="3">
                  <c:v>2.2000000000000002</c:v>
                </c:pt>
                <c:pt idx="4">
                  <c:v>-1.2</c:v>
                </c:pt>
                <c:pt idx="5">
                  <c:v>1.1000000000000001</c:v>
                </c:pt>
                <c:pt idx="6">
                  <c:v>0.2</c:v>
                </c:pt>
                <c:pt idx="7">
                  <c:v>-0.8</c:v>
                </c:pt>
                <c:pt idx="8">
                  <c:v>0.7</c:v>
                </c:pt>
                <c:pt idx="9">
                  <c:v>-0.4</c:v>
                </c:pt>
                <c:pt idx="10">
                  <c:v>0.2</c:v>
                </c:pt>
                <c:pt idx="11">
                  <c:v>-0.6</c:v>
                </c:pt>
                <c:pt idx="12">
                  <c:v>0.7</c:v>
                </c:pt>
                <c:pt idx="13">
                  <c:v>0.2</c:v>
                </c:pt>
                <c:pt idx="14">
                  <c:v>0.6</c:v>
                </c:pt>
                <c:pt idx="15">
                  <c:v>0.8</c:v>
                </c:pt>
              </c:numCache>
            </c:numRef>
          </c:val>
          <c:extLst>
            <c:ext xmlns:c16="http://schemas.microsoft.com/office/drawing/2014/chart" uri="{C3380CC4-5D6E-409C-BE32-E72D297353CC}">
              <c16:uniqueId val="{00000000-3322-4331-9E70-22C30585E249}"/>
            </c:ext>
          </c:extLst>
        </c:ser>
        <c:dLbls>
          <c:showLegendKey val="0"/>
          <c:showVal val="0"/>
          <c:showCatName val="0"/>
          <c:showSerName val="0"/>
          <c:showPercent val="0"/>
          <c:showBubbleSize val="0"/>
        </c:dLbls>
        <c:gapWidth val="219"/>
        <c:overlap val="-27"/>
        <c:axId val="729435072"/>
        <c:axId val="729436384"/>
      </c:barChart>
      <c:catAx>
        <c:axId val="729435072"/>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729436384"/>
        <c:crosses val="autoZero"/>
        <c:auto val="1"/>
        <c:lblAlgn val="ctr"/>
        <c:lblOffset val="100"/>
        <c:noMultiLvlLbl val="0"/>
      </c:catAx>
      <c:valAx>
        <c:axId val="72943638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7294350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spPr>
            <a:gradFill flip="none" rotWithShape="1">
              <a:gsLst>
                <a:gs pos="0">
                  <a:srgbClr val="FF0000">
                    <a:shade val="30000"/>
                    <a:satMod val="115000"/>
                  </a:srgbClr>
                </a:gs>
                <a:gs pos="50000">
                  <a:srgbClr val="FF0000">
                    <a:shade val="67500"/>
                    <a:satMod val="115000"/>
                  </a:srgbClr>
                </a:gs>
                <a:gs pos="100000">
                  <a:srgbClr val="FF0000">
                    <a:shade val="100000"/>
                    <a:satMod val="115000"/>
                  </a:srgbClr>
                </a:gs>
              </a:gsLst>
              <a:lin ang="5400000" scaled="1"/>
              <a:tileRect/>
            </a:gradFill>
            <a:ln>
              <a:solidFill>
                <a:schemeClr val="bg1">
                  <a:lumMod val="50000"/>
                </a:schemeClr>
              </a:solidFill>
            </a:ln>
            <a:effectLst/>
          </c:spPr>
          <c:invertIfNegative val="0"/>
          <c:dLbls>
            <c:dLbl>
              <c:idx val="0"/>
              <c:layout>
                <c:manualLayout>
                  <c:x val="-4.2030253692846228E-2"/>
                  <c:y val="-7.899472815584975E-2"/>
                </c:manualLayout>
              </c:layout>
              <c:tx>
                <c:rich>
                  <a:bodyPr/>
                  <a:lstStyle/>
                  <a:p>
                    <a:fld id="{9B4BEB22-4657-490A-9194-29E4BF7EA46B}" type="VALUE">
                      <a:rPr lang="en-US"/>
                      <a:pPr/>
                      <a:t>[VÄRDE]</a:t>
                    </a:fld>
                    <a:r>
                      <a:rPr lang="en-US"/>
                      <a:t> mdr kr</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41B8-4746-8D22-F79558094517}"/>
                </c:ext>
              </c:extLst>
            </c:dLbl>
            <c:dLbl>
              <c:idx val="1"/>
              <c:layout>
                <c:manualLayout>
                  <c:x val="-5.1370310069034295E-2"/>
                  <c:y val="-7.0217536138533113E-2"/>
                </c:manualLayout>
              </c:layout>
              <c:tx>
                <c:rich>
                  <a:bodyPr/>
                  <a:lstStyle/>
                  <a:p>
                    <a:fld id="{0318437F-022B-4ED7-A74C-07A9B1F6ACB8}" type="VALUE">
                      <a:rPr lang="en-US"/>
                      <a:pPr/>
                      <a:t>[VÄRDE]</a:t>
                    </a:fld>
                    <a:r>
                      <a:rPr lang="en-US"/>
                      <a:t> mdr kr</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41B8-4746-8D22-F79558094517}"/>
                </c:ext>
              </c:extLst>
            </c:dLbl>
            <c:dLbl>
              <c:idx val="2"/>
              <c:layout>
                <c:manualLayout>
                  <c:x val="-0.16033763445789492"/>
                  <c:y val="5.5588882776338715E-2"/>
                </c:manualLayout>
              </c:layout>
              <c:tx>
                <c:rich>
                  <a:bodyPr/>
                  <a:lstStyle/>
                  <a:p>
                    <a:fld id="{F5974E7D-86B0-413C-A644-FD65007E831C}" type="VALUE">
                      <a:rPr lang="en-US"/>
                      <a:pPr/>
                      <a:t>[VÄRDE]</a:t>
                    </a:fld>
                    <a:r>
                      <a:rPr lang="en-US"/>
                      <a:t> mdr kr</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41B8-4746-8D22-F79558094517}"/>
                </c:ext>
              </c:extLst>
            </c:dLbl>
            <c:spPr>
              <a:solidFill>
                <a:prstClr val="white"/>
              </a:solidFill>
              <a:ln>
                <a:solidFill>
                  <a:prstClr val="black">
                    <a:lumMod val="25000"/>
                    <a:lumOff val="75000"/>
                  </a:prstClr>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oundRectCallout">
                    <a:avLst/>
                  </a:prstGeom>
                  <a:noFill/>
                  <a:ln>
                    <a:noFill/>
                  </a:ln>
                </c15:spPr>
                <c15:showLeaderLines val="0"/>
              </c:ext>
            </c:extLst>
          </c:dLbls>
          <c:cat>
            <c:numRef>
              <c:f>'Ark1'!$T$308:$T$310</c:f>
              <c:numCache>
                <c:formatCode>General</c:formatCode>
                <c:ptCount val="3"/>
                <c:pt idx="0">
                  <c:v>2023</c:v>
                </c:pt>
                <c:pt idx="1">
                  <c:v>2024</c:v>
                </c:pt>
                <c:pt idx="2">
                  <c:v>2025</c:v>
                </c:pt>
              </c:numCache>
            </c:numRef>
          </c:cat>
          <c:val>
            <c:numRef>
              <c:f>'Ark1'!$U$308:$U$310</c:f>
              <c:numCache>
                <c:formatCode>0</c:formatCode>
                <c:ptCount val="3"/>
                <c:pt idx="0">
                  <c:v>-21.380000000000003</c:v>
                </c:pt>
                <c:pt idx="1">
                  <c:v>-21.46</c:v>
                </c:pt>
                <c:pt idx="2">
                  <c:v>-33.42</c:v>
                </c:pt>
              </c:numCache>
            </c:numRef>
          </c:val>
          <c:extLst>
            <c:ext xmlns:c16="http://schemas.microsoft.com/office/drawing/2014/chart" uri="{C3380CC4-5D6E-409C-BE32-E72D297353CC}">
              <c16:uniqueId val="{00000003-41B8-4746-8D22-F79558094517}"/>
            </c:ext>
          </c:extLst>
        </c:ser>
        <c:dLbls>
          <c:showLegendKey val="0"/>
          <c:showVal val="0"/>
          <c:showCatName val="0"/>
          <c:showSerName val="0"/>
          <c:showPercent val="0"/>
          <c:showBubbleSize val="0"/>
        </c:dLbls>
        <c:gapWidth val="219"/>
        <c:overlap val="-27"/>
        <c:axId val="745520560"/>
        <c:axId val="745517280"/>
      </c:barChart>
      <c:catAx>
        <c:axId val="745520560"/>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745517280"/>
        <c:crosses val="autoZero"/>
        <c:auto val="1"/>
        <c:lblAlgn val="ctr"/>
        <c:lblOffset val="100"/>
        <c:noMultiLvlLbl val="0"/>
      </c:catAx>
      <c:valAx>
        <c:axId val="7455172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7455205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b="0" i="0" baseline="0"/>
      </a:pPr>
      <a:endParaRPr lang="sv-SE"/>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0572625387960095E-2"/>
          <c:y val="4.6778651924303638E-2"/>
          <c:w val="0.89649391485988994"/>
          <c:h val="0.54019096539149913"/>
        </c:manualLayout>
      </c:layout>
      <c:lineChart>
        <c:grouping val="standard"/>
        <c:varyColors val="0"/>
        <c:ser>
          <c:idx val="0"/>
          <c:order val="0"/>
          <c:tx>
            <c:strRef>
              <c:f>'Sheet 1'!$BG$51</c:f>
              <c:strCache>
                <c:ptCount val="1"/>
                <c:pt idx="0">
                  <c:v>European Union - 27 countries (from 2020)</c:v>
                </c:pt>
              </c:strCache>
            </c:strRef>
          </c:tx>
          <c:spPr>
            <a:ln w="28575" cap="rnd">
              <a:solidFill>
                <a:schemeClr val="tx1"/>
              </a:solidFill>
              <a:prstDash val="sysDash"/>
              <a:round/>
            </a:ln>
            <a:effectLst/>
          </c:spPr>
          <c:marker>
            <c:symbol val="none"/>
          </c:marker>
          <c:cat>
            <c:strRef>
              <c:f>'Sheet 1'!$BO$50:$DE$50</c:f>
              <c:strCache>
                <c:ptCount val="43"/>
                <c:pt idx="0">
                  <c:v>2021-08</c:v>
                </c:pt>
                <c:pt idx="1">
                  <c:v>2021-09</c:v>
                </c:pt>
                <c:pt idx="2">
                  <c:v>2021-10</c:v>
                </c:pt>
                <c:pt idx="3">
                  <c:v>2021-11</c:v>
                </c:pt>
                <c:pt idx="4">
                  <c:v>2021-12</c:v>
                </c:pt>
                <c:pt idx="5">
                  <c:v>2022-01</c:v>
                </c:pt>
                <c:pt idx="6">
                  <c:v>2022-02</c:v>
                </c:pt>
                <c:pt idx="7">
                  <c:v>2022-03</c:v>
                </c:pt>
                <c:pt idx="8">
                  <c:v>2022-04</c:v>
                </c:pt>
                <c:pt idx="9">
                  <c:v>2022-05</c:v>
                </c:pt>
                <c:pt idx="10">
                  <c:v>2022-06</c:v>
                </c:pt>
                <c:pt idx="11">
                  <c:v>2022-07</c:v>
                </c:pt>
                <c:pt idx="12">
                  <c:v>2022-08</c:v>
                </c:pt>
                <c:pt idx="13">
                  <c:v>2022-09</c:v>
                </c:pt>
                <c:pt idx="14">
                  <c:v>2022-10</c:v>
                </c:pt>
                <c:pt idx="15">
                  <c:v>2022-11</c:v>
                </c:pt>
                <c:pt idx="16">
                  <c:v>2022-12</c:v>
                </c:pt>
                <c:pt idx="17">
                  <c:v>2023-01</c:v>
                </c:pt>
                <c:pt idx="18">
                  <c:v>2023-02</c:v>
                </c:pt>
                <c:pt idx="19">
                  <c:v>2023-03</c:v>
                </c:pt>
                <c:pt idx="20">
                  <c:v>2023-04</c:v>
                </c:pt>
                <c:pt idx="21">
                  <c:v>2023-05</c:v>
                </c:pt>
                <c:pt idx="22">
                  <c:v>2023-06</c:v>
                </c:pt>
                <c:pt idx="23">
                  <c:v>2023-07</c:v>
                </c:pt>
                <c:pt idx="24">
                  <c:v>2023-08</c:v>
                </c:pt>
                <c:pt idx="25">
                  <c:v>2023-09</c:v>
                </c:pt>
                <c:pt idx="26">
                  <c:v>2023-10</c:v>
                </c:pt>
                <c:pt idx="27">
                  <c:v>2023-11</c:v>
                </c:pt>
                <c:pt idx="28">
                  <c:v>2023-12</c:v>
                </c:pt>
                <c:pt idx="29">
                  <c:v>2024-01</c:v>
                </c:pt>
                <c:pt idx="30">
                  <c:v>2024-02</c:v>
                </c:pt>
                <c:pt idx="31">
                  <c:v>2024-03</c:v>
                </c:pt>
                <c:pt idx="32">
                  <c:v>2024-04</c:v>
                </c:pt>
                <c:pt idx="33">
                  <c:v>2024-05</c:v>
                </c:pt>
                <c:pt idx="34">
                  <c:v>2024-06</c:v>
                </c:pt>
                <c:pt idx="35">
                  <c:v>2024-07</c:v>
                </c:pt>
                <c:pt idx="36">
                  <c:v>2024-08</c:v>
                </c:pt>
                <c:pt idx="37">
                  <c:v>2024-09</c:v>
                </c:pt>
                <c:pt idx="38">
                  <c:v>2024-10</c:v>
                </c:pt>
                <c:pt idx="39">
                  <c:v>2024-11</c:v>
                </c:pt>
                <c:pt idx="40">
                  <c:v>2024-12</c:v>
                </c:pt>
                <c:pt idx="41">
                  <c:v>2025-01</c:v>
                </c:pt>
                <c:pt idx="42">
                  <c:v>2025-02</c:v>
                </c:pt>
              </c:strCache>
            </c:strRef>
          </c:cat>
          <c:val>
            <c:numRef>
              <c:f>'Sheet 1'!$BO$51:$DE$51</c:f>
              <c:numCache>
                <c:formatCode>0</c:formatCode>
                <c:ptCount val="43"/>
                <c:pt idx="0">
                  <c:v>101.41702243618857</c:v>
                </c:pt>
                <c:pt idx="1">
                  <c:v>101.36252157325825</c:v>
                </c:pt>
                <c:pt idx="2">
                  <c:v>101.71677718230538</c:v>
                </c:pt>
                <c:pt idx="3">
                  <c:v>102.40712144608956</c:v>
                </c:pt>
                <c:pt idx="4">
                  <c:v>103.43355436461077</c:v>
                </c:pt>
                <c:pt idx="5">
                  <c:v>104.89599418657463</c:v>
                </c:pt>
                <c:pt idx="6">
                  <c:v>105.92242710509584</c:v>
                </c:pt>
                <c:pt idx="7">
                  <c:v>107.32128258697429</c:v>
                </c:pt>
                <c:pt idx="8">
                  <c:v>110.11899355073123</c:v>
                </c:pt>
                <c:pt idx="9">
                  <c:v>111.89935507312198</c:v>
                </c:pt>
                <c:pt idx="10">
                  <c:v>113.31637750931056</c:v>
                </c:pt>
                <c:pt idx="11">
                  <c:v>114.48814606231265</c:v>
                </c:pt>
                <c:pt idx="12">
                  <c:v>115.95058588427651</c:v>
                </c:pt>
                <c:pt idx="13">
                  <c:v>117.38577527477516</c:v>
                </c:pt>
                <c:pt idx="14">
                  <c:v>119.79289672086475</c:v>
                </c:pt>
                <c:pt idx="15">
                  <c:v>121.16450177127803</c:v>
                </c:pt>
                <c:pt idx="16">
                  <c:v>122.27268598419477</c:v>
                </c:pt>
                <c:pt idx="17">
                  <c:v>124.18929966391134</c:v>
                </c:pt>
                <c:pt idx="18">
                  <c:v>126.60550458715596</c:v>
                </c:pt>
                <c:pt idx="19">
                  <c:v>128.35861567808158</c:v>
                </c:pt>
                <c:pt idx="20">
                  <c:v>128.35861567808158</c:v>
                </c:pt>
                <c:pt idx="21">
                  <c:v>128.8127895358343</c:v>
                </c:pt>
                <c:pt idx="22">
                  <c:v>128.9762921246253</c:v>
                </c:pt>
                <c:pt idx="23">
                  <c:v>128.72195476428377</c:v>
                </c:pt>
                <c:pt idx="24">
                  <c:v>128.23144699791078</c:v>
                </c:pt>
                <c:pt idx="25">
                  <c:v>128.18602961213551</c:v>
                </c:pt>
                <c:pt idx="26">
                  <c:v>128.594786084113</c:v>
                </c:pt>
                <c:pt idx="27">
                  <c:v>129.12162775910619</c:v>
                </c:pt>
                <c:pt idx="28">
                  <c:v>129.21246253065672</c:v>
                </c:pt>
                <c:pt idx="29">
                  <c:v>130.20256154055772</c:v>
                </c:pt>
                <c:pt idx="30">
                  <c:v>130.00272504314651</c:v>
                </c:pt>
                <c:pt idx="31">
                  <c:v>129.89372331728586</c:v>
                </c:pt>
                <c:pt idx="32">
                  <c:v>130.36606412934873</c:v>
                </c:pt>
                <c:pt idx="33">
                  <c:v>130.61131801253518</c:v>
                </c:pt>
                <c:pt idx="34">
                  <c:v>130.65673539831047</c:v>
                </c:pt>
                <c:pt idx="35">
                  <c:v>130.40239803796894</c:v>
                </c:pt>
                <c:pt idx="36">
                  <c:v>130.39331456081388</c:v>
                </c:pt>
                <c:pt idx="37">
                  <c:v>130.69306930693068</c:v>
                </c:pt>
                <c:pt idx="38">
                  <c:v>131.65591788536651</c:v>
                </c:pt>
                <c:pt idx="39">
                  <c:v>132.0010900172586</c:v>
                </c:pt>
                <c:pt idx="40">
                  <c:v>131.87392133708784</c:v>
                </c:pt>
                <c:pt idx="41">
                  <c:v>132.8276864383686</c:v>
                </c:pt>
                <c:pt idx="42">
                  <c:v>133.36361159051683</c:v>
                </c:pt>
              </c:numCache>
            </c:numRef>
          </c:val>
          <c:smooth val="0"/>
          <c:extLst>
            <c:ext xmlns:c16="http://schemas.microsoft.com/office/drawing/2014/chart" uri="{C3380CC4-5D6E-409C-BE32-E72D297353CC}">
              <c16:uniqueId val="{00000000-A9DA-4C67-8C43-2AF5F89BC400}"/>
            </c:ext>
          </c:extLst>
        </c:ser>
        <c:ser>
          <c:idx val="5"/>
          <c:order val="5"/>
          <c:tx>
            <c:strRef>
              <c:f>'Sheet 1'!$BG$56</c:f>
              <c:strCache>
                <c:ptCount val="1"/>
                <c:pt idx="0">
                  <c:v>Denmark</c:v>
                </c:pt>
              </c:strCache>
            </c:strRef>
          </c:tx>
          <c:spPr>
            <a:ln w="28575" cap="rnd">
              <a:solidFill>
                <a:schemeClr val="accent6"/>
              </a:solidFill>
              <a:round/>
            </a:ln>
            <a:effectLst/>
          </c:spPr>
          <c:marker>
            <c:symbol val="none"/>
          </c:marker>
          <c:cat>
            <c:strRef>
              <c:f>'Sheet 1'!$BO$50:$DE$50</c:f>
              <c:strCache>
                <c:ptCount val="43"/>
                <c:pt idx="0">
                  <c:v>2021-08</c:v>
                </c:pt>
                <c:pt idx="1">
                  <c:v>2021-09</c:v>
                </c:pt>
                <c:pt idx="2">
                  <c:v>2021-10</c:v>
                </c:pt>
                <c:pt idx="3">
                  <c:v>2021-11</c:v>
                </c:pt>
                <c:pt idx="4">
                  <c:v>2021-12</c:v>
                </c:pt>
                <c:pt idx="5">
                  <c:v>2022-01</c:v>
                </c:pt>
                <c:pt idx="6">
                  <c:v>2022-02</c:v>
                </c:pt>
                <c:pt idx="7">
                  <c:v>2022-03</c:v>
                </c:pt>
                <c:pt idx="8">
                  <c:v>2022-04</c:v>
                </c:pt>
                <c:pt idx="9">
                  <c:v>2022-05</c:v>
                </c:pt>
                <c:pt idx="10">
                  <c:v>2022-06</c:v>
                </c:pt>
                <c:pt idx="11">
                  <c:v>2022-07</c:v>
                </c:pt>
                <c:pt idx="12">
                  <c:v>2022-08</c:v>
                </c:pt>
                <c:pt idx="13">
                  <c:v>2022-09</c:v>
                </c:pt>
                <c:pt idx="14">
                  <c:v>2022-10</c:v>
                </c:pt>
                <c:pt idx="15">
                  <c:v>2022-11</c:v>
                </c:pt>
                <c:pt idx="16">
                  <c:v>2022-12</c:v>
                </c:pt>
                <c:pt idx="17">
                  <c:v>2023-01</c:v>
                </c:pt>
                <c:pt idx="18">
                  <c:v>2023-02</c:v>
                </c:pt>
                <c:pt idx="19">
                  <c:v>2023-03</c:v>
                </c:pt>
                <c:pt idx="20">
                  <c:v>2023-04</c:v>
                </c:pt>
                <c:pt idx="21">
                  <c:v>2023-05</c:v>
                </c:pt>
                <c:pt idx="22">
                  <c:v>2023-06</c:v>
                </c:pt>
                <c:pt idx="23">
                  <c:v>2023-07</c:v>
                </c:pt>
                <c:pt idx="24">
                  <c:v>2023-08</c:v>
                </c:pt>
                <c:pt idx="25">
                  <c:v>2023-09</c:v>
                </c:pt>
                <c:pt idx="26">
                  <c:v>2023-10</c:v>
                </c:pt>
                <c:pt idx="27">
                  <c:v>2023-11</c:v>
                </c:pt>
                <c:pt idx="28">
                  <c:v>2023-12</c:v>
                </c:pt>
                <c:pt idx="29">
                  <c:v>2024-01</c:v>
                </c:pt>
                <c:pt idx="30">
                  <c:v>2024-02</c:v>
                </c:pt>
                <c:pt idx="31">
                  <c:v>2024-03</c:v>
                </c:pt>
                <c:pt idx="32">
                  <c:v>2024-04</c:v>
                </c:pt>
                <c:pt idx="33">
                  <c:v>2024-05</c:v>
                </c:pt>
                <c:pt idx="34">
                  <c:v>2024-06</c:v>
                </c:pt>
                <c:pt idx="35">
                  <c:v>2024-07</c:v>
                </c:pt>
                <c:pt idx="36">
                  <c:v>2024-08</c:v>
                </c:pt>
                <c:pt idx="37">
                  <c:v>2024-09</c:v>
                </c:pt>
                <c:pt idx="38">
                  <c:v>2024-10</c:v>
                </c:pt>
                <c:pt idx="39">
                  <c:v>2024-11</c:v>
                </c:pt>
                <c:pt idx="40">
                  <c:v>2024-12</c:v>
                </c:pt>
                <c:pt idx="41">
                  <c:v>2025-01</c:v>
                </c:pt>
                <c:pt idx="42">
                  <c:v>2025-02</c:v>
                </c:pt>
              </c:strCache>
            </c:strRef>
          </c:cat>
          <c:val>
            <c:numRef>
              <c:f>'Sheet 1'!$BO$56:$DE$56</c:f>
              <c:numCache>
                <c:formatCode>0</c:formatCode>
                <c:ptCount val="43"/>
                <c:pt idx="0">
                  <c:v>101.89933523266856</c:v>
                </c:pt>
                <c:pt idx="1">
                  <c:v>101.89933523266856</c:v>
                </c:pt>
                <c:pt idx="2">
                  <c:v>101.89933523266856</c:v>
                </c:pt>
                <c:pt idx="3">
                  <c:v>102.84900284900284</c:v>
                </c:pt>
                <c:pt idx="4">
                  <c:v>101.7094017094017</c:v>
                </c:pt>
                <c:pt idx="5">
                  <c:v>104.27350427350429</c:v>
                </c:pt>
                <c:pt idx="6">
                  <c:v>106.45773979107311</c:v>
                </c:pt>
                <c:pt idx="7">
                  <c:v>106.55270655270657</c:v>
                </c:pt>
                <c:pt idx="8">
                  <c:v>108.92687559354226</c:v>
                </c:pt>
                <c:pt idx="9">
                  <c:v>111.77587844254511</c:v>
                </c:pt>
                <c:pt idx="10">
                  <c:v>115.00474833808167</c:v>
                </c:pt>
                <c:pt idx="11">
                  <c:v>118.89838556505224</c:v>
                </c:pt>
                <c:pt idx="12">
                  <c:v>118.89838556505224</c:v>
                </c:pt>
                <c:pt idx="13">
                  <c:v>118.13865147198482</c:v>
                </c:pt>
                <c:pt idx="14">
                  <c:v>118.70845204178538</c:v>
                </c:pt>
                <c:pt idx="15">
                  <c:v>119.27825261158593</c:v>
                </c:pt>
                <c:pt idx="16">
                  <c:v>117.56885090218422</c:v>
                </c:pt>
                <c:pt idx="17">
                  <c:v>119.84805318138652</c:v>
                </c:pt>
                <c:pt idx="18">
                  <c:v>122.79202279202282</c:v>
                </c:pt>
                <c:pt idx="19">
                  <c:v>123.7416904083571</c:v>
                </c:pt>
                <c:pt idx="20">
                  <c:v>123.07692307692308</c:v>
                </c:pt>
                <c:pt idx="21">
                  <c:v>123.7416904083571</c:v>
                </c:pt>
                <c:pt idx="22">
                  <c:v>124.97625830959164</c:v>
                </c:pt>
                <c:pt idx="23">
                  <c:v>126.21082621082623</c:v>
                </c:pt>
                <c:pt idx="24">
                  <c:v>124.31149097815765</c:v>
                </c:pt>
                <c:pt idx="25">
                  <c:v>123.7416904083571</c:v>
                </c:pt>
                <c:pt idx="26">
                  <c:v>122.88698955365622</c:v>
                </c:pt>
                <c:pt idx="27">
                  <c:v>122.79202279202282</c:v>
                </c:pt>
                <c:pt idx="28">
                  <c:v>119.75308641975309</c:v>
                </c:pt>
                <c:pt idx="29">
                  <c:v>122.03228869895537</c:v>
                </c:pt>
                <c:pt idx="30">
                  <c:v>121.65242165242165</c:v>
                </c:pt>
                <c:pt idx="31">
                  <c:v>122.69705603038936</c:v>
                </c:pt>
                <c:pt idx="32">
                  <c:v>123.7416904083571</c:v>
                </c:pt>
                <c:pt idx="33">
                  <c:v>124.31149097815765</c:v>
                </c:pt>
                <c:pt idx="34">
                  <c:v>125.54605887939221</c:v>
                </c:pt>
                <c:pt idx="35">
                  <c:v>126.97056030389362</c:v>
                </c:pt>
                <c:pt idx="36">
                  <c:v>126.40075973409306</c:v>
                </c:pt>
                <c:pt idx="37">
                  <c:v>126.97056030389362</c:v>
                </c:pt>
                <c:pt idx="38">
                  <c:v>127.35042735042734</c:v>
                </c:pt>
                <c:pt idx="39">
                  <c:v>127.54036087369423</c:v>
                </c:pt>
                <c:pt idx="40">
                  <c:v>125.07122507122506</c:v>
                </c:pt>
                <c:pt idx="41">
                  <c:v>127.16049382716051</c:v>
                </c:pt>
                <c:pt idx="42">
                  <c:v>128.11016144349477</c:v>
                </c:pt>
              </c:numCache>
            </c:numRef>
          </c:val>
          <c:smooth val="0"/>
          <c:extLst>
            <c:ext xmlns:c16="http://schemas.microsoft.com/office/drawing/2014/chart" uri="{C3380CC4-5D6E-409C-BE32-E72D297353CC}">
              <c16:uniqueId val="{00000001-A9DA-4C67-8C43-2AF5F89BC400}"/>
            </c:ext>
          </c:extLst>
        </c:ser>
        <c:ser>
          <c:idx val="6"/>
          <c:order val="6"/>
          <c:tx>
            <c:strRef>
              <c:f>'Sheet 1'!$BG$57</c:f>
              <c:strCache>
                <c:ptCount val="1"/>
                <c:pt idx="0">
                  <c:v>Germany</c:v>
                </c:pt>
              </c:strCache>
            </c:strRef>
          </c:tx>
          <c:spPr>
            <a:ln w="28575" cap="rnd">
              <a:solidFill>
                <a:schemeClr val="bg1">
                  <a:lumMod val="50000"/>
                </a:schemeClr>
              </a:solidFill>
              <a:prstDash val="solid"/>
              <a:round/>
            </a:ln>
            <a:effectLst/>
          </c:spPr>
          <c:marker>
            <c:symbol val="none"/>
          </c:marker>
          <c:cat>
            <c:strRef>
              <c:f>'Sheet 1'!$BO$50:$DE$50</c:f>
              <c:strCache>
                <c:ptCount val="43"/>
                <c:pt idx="0">
                  <c:v>2021-08</c:v>
                </c:pt>
                <c:pt idx="1">
                  <c:v>2021-09</c:v>
                </c:pt>
                <c:pt idx="2">
                  <c:v>2021-10</c:v>
                </c:pt>
                <c:pt idx="3">
                  <c:v>2021-11</c:v>
                </c:pt>
                <c:pt idx="4">
                  <c:v>2021-12</c:v>
                </c:pt>
                <c:pt idx="5">
                  <c:v>2022-01</c:v>
                </c:pt>
                <c:pt idx="6">
                  <c:v>2022-02</c:v>
                </c:pt>
                <c:pt idx="7">
                  <c:v>2022-03</c:v>
                </c:pt>
                <c:pt idx="8">
                  <c:v>2022-04</c:v>
                </c:pt>
                <c:pt idx="9">
                  <c:v>2022-05</c:v>
                </c:pt>
                <c:pt idx="10">
                  <c:v>2022-06</c:v>
                </c:pt>
                <c:pt idx="11">
                  <c:v>2022-07</c:v>
                </c:pt>
                <c:pt idx="12">
                  <c:v>2022-08</c:v>
                </c:pt>
                <c:pt idx="13">
                  <c:v>2022-09</c:v>
                </c:pt>
                <c:pt idx="14">
                  <c:v>2022-10</c:v>
                </c:pt>
                <c:pt idx="15">
                  <c:v>2022-11</c:v>
                </c:pt>
                <c:pt idx="16">
                  <c:v>2022-12</c:v>
                </c:pt>
                <c:pt idx="17">
                  <c:v>2023-01</c:v>
                </c:pt>
                <c:pt idx="18">
                  <c:v>2023-02</c:v>
                </c:pt>
                <c:pt idx="19">
                  <c:v>2023-03</c:v>
                </c:pt>
                <c:pt idx="20">
                  <c:v>2023-04</c:v>
                </c:pt>
                <c:pt idx="21">
                  <c:v>2023-05</c:v>
                </c:pt>
                <c:pt idx="22">
                  <c:v>2023-06</c:v>
                </c:pt>
                <c:pt idx="23">
                  <c:v>2023-07</c:v>
                </c:pt>
                <c:pt idx="24">
                  <c:v>2023-08</c:v>
                </c:pt>
                <c:pt idx="25">
                  <c:v>2023-09</c:v>
                </c:pt>
                <c:pt idx="26">
                  <c:v>2023-10</c:v>
                </c:pt>
                <c:pt idx="27">
                  <c:v>2023-11</c:v>
                </c:pt>
                <c:pt idx="28">
                  <c:v>2023-12</c:v>
                </c:pt>
                <c:pt idx="29">
                  <c:v>2024-01</c:v>
                </c:pt>
                <c:pt idx="30">
                  <c:v>2024-02</c:v>
                </c:pt>
                <c:pt idx="31">
                  <c:v>2024-03</c:v>
                </c:pt>
                <c:pt idx="32">
                  <c:v>2024-04</c:v>
                </c:pt>
                <c:pt idx="33">
                  <c:v>2024-05</c:v>
                </c:pt>
                <c:pt idx="34">
                  <c:v>2024-06</c:v>
                </c:pt>
                <c:pt idx="35">
                  <c:v>2024-07</c:v>
                </c:pt>
                <c:pt idx="36">
                  <c:v>2024-08</c:v>
                </c:pt>
                <c:pt idx="37">
                  <c:v>2024-09</c:v>
                </c:pt>
                <c:pt idx="38">
                  <c:v>2024-10</c:v>
                </c:pt>
                <c:pt idx="39">
                  <c:v>2024-11</c:v>
                </c:pt>
                <c:pt idx="40">
                  <c:v>2024-12</c:v>
                </c:pt>
                <c:pt idx="41">
                  <c:v>2025-01</c:v>
                </c:pt>
                <c:pt idx="42">
                  <c:v>2025-02</c:v>
                </c:pt>
              </c:strCache>
            </c:strRef>
          </c:cat>
          <c:val>
            <c:numRef>
              <c:f>'Sheet 1'!$BO$57:$DE$57</c:f>
              <c:numCache>
                <c:formatCode>0</c:formatCode>
                <c:ptCount val="43"/>
                <c:pt idx="0">
                  <c:v>101.69189670525378</c:v>
                </c:pt>
                <c:pt idx="1">
                  <c:v>101.69189670525378</c:v>
                </c:pt>
                <c:pt idx="2">
                  <c:v>101.69189670525378</c:v>
                </c:pt>
                <c:pt idx="3">
                  <c:v>102.22617987533394</c:v>
                </c:pt>
                <c:pt idx="4">
                  <c:v>103.29474621549421</c:v>
                </c:pt>
                <c:pt idx="5">
                  <c:v>104.89759572573465</c:v>
                </c:pt>
                <c:pt idx="6">
                  <c:v>106.05520926090828</c:v>
                </c:pt>
                <c:pt idx="7">
                  <c:v>106.94568121104184</c:v>
                </c:pt>
                <c:pt idx="8">
                  <c:v>110.59661620658949</c:v>
                </c:pt>
                <c:pt idx="9">
                  <c:v>112.82279608192343</c:v>
                </c:pt>
                <c:pt idx="10">
                  <c:v>113.98040961709705</c:v>
                </c:pt>
                <c:pt idx="11">
                  <c:v>116.47373107747107</c:v>
                </c:pt>
                <c:pt idx="12">
                  <c:v>118.34372217275157</c:v>
                </c:pt>
                <c:pt idx="13">
                  <c:v>120.39180765805877</c:v>
                </c:pt>
                <c:pt idx="14">
                  <c:v>121.90560997328586</c:v>
                </c:pt>
                <c:pt idx="15">
                  <c:v>123.50845948352627</c:v>
                </c:pt>
                <c:pt idx="16">
                  <c:v>124.4879786286732</c:v>
                </c:pt>
                <c:pt idx="17">
                  <c:v>126.44701691896705</c:v>
                </c:pt>
                <c:pt idx="18">
                  <c:v>129.65271593944792</c:v>
                </c:pt>
                <c:pt idx="19">
                  <c:v>131.43365983971503</c:v>
                </c:pt>
                <c:pt idx="20">
                  <c:v>130.45414069456814</c:v>
                </c:pt>
                <c:pt idx="21">
                  <c:v>130.18699910952805</c:v>
                </c:pt>
                <c:pt idx="22">
                  <c:v>130.00890471950132</c:v>
                </c:pt>
                <c:pt idx="23">
                  <c:v>129.65271593944792</c:v>
                </c:pt>
                <c:pt idx="24">
                  <c:v>129.29652715939449</c:v>
                </c:pt>
                <c:pt idx="25">
                  <c:v>129.74176313446125</c:v>
                </c:pt>
                <c:pt idx="26">
                  <c:v>129.83081032947464</c:v>
                </c:pt>
                <c:pt idx="27">
                  <c:v>130.63223508459484</c:v>
                </c:pt>
                <c:pt idx="28">
                  <c:v>130.81032947462157</c:v>
                </c:pt>
                <c:pt idx="29">
                  <c:v>132.05699020480856</c:v>
                </c:pt>
                <c:pt idx="30">
                  <c:v>131.5227070347284</c:v>
                </c:pt>
                <c:pt idx="31">
                  <c:v>131.166518254675</c:v>
                </c:pt>
                <c:pt idx="32">
                  <c:v>131.78984861976849</c:v>
                </c:pt>
                <c:pt idx="33">
                  <c:v>131.5227070347284</c:v>
                </c:pt>
                <c:pt idx="34">
                  <c:v>131.96794300979516</c:v>
                </c:pt>
                <c:pt idx="35">
                  <c:v>131.87889581478183</c:v>
                </c:pt>
                <c:pt idx="36">
                  <c:v>131.61175422974179</c:v>
                </c:pt>
                <c:pt idx="37">
                  <c:v>132.32413178984862</c:v>
                </c:pt>
                <c:pt idx="38">
                  <c:v>133.21460373998221</c:v>
                </c:pt>
                <c:pt idx="39">
                  <c:v>133.39269813000891</c:v>
                </c:pt>
                <c:pt idx="40">
                  <c:v>133.65983971504897</c:v>
                </c:pt>
                <c:pt idx="41">
                  <c:v>133.30365093499555</c:v>
                </c:pt>
                <c:pt idx="42">
                  <c:v>134.90650044523596</c:v>
                </c:pt>
              </c:numCache>
            </c:numRef>
          </c:val>
          <c:smooth val="0"/>
          <c:extLst>
            <c:ext xmlns:c16="http://schemas.microsoft.com/office/drawing/2014/chart" uri="{C3380CC4-5D6E-409C-BE32-E72D297353CC}">
              <c16:uniqueId val="{00000002-A9DA-4C67-8C43-2AF5F89BC400}"/>
            </c:ext>
          </c:extLst>
        </c:ser>
        <c:ser>
          <c:idx val="27"/>
          <c:order val="27"/>
          <c:tx>
            <c:strRef>
              <c:f>'Sheet 1'!$BG$78</c:f>
              <c:strCache>
                <c:ptCount val="1"/>
                <c:pt idx="0">
                  <c:v>Finland</c:v>
                </c:pt>
              </c:strCache>
            </c:strRef>
          </c:tx>
          <c:spPr>
            <a:ln w="28575" cap="rnd">
              <a:solidFill>
                <a:schemeClr val="accent4">
                  <a:lumMod val="60000"/>
                  <a:lumOff val="40000"/>
                </a:schemeClr>
              </a:solidFill>
              <a:round/>
            </a:ln>
            <a:effectLst/>
          </c:spPr>
          <c:marker>
            <c:symbol val="none"/>
          </c:marker>
          <c:cat>
            <c:strRef>
              <c:f>'Sheet 1'!$BO$50:$DE$50</c:f>
              <c:strCache>
                <c:ptCount val="43"/>
                <c:pt idx="0">
                  <c:v>2021-08</c:v>
                </c:pt>
                <c:pt idx="1">
                  <c:v>2021-09</c:v>
                </c:pt>
                <c:pt idx="2">
                  <c:v>2021-10</c:v>
                </c:pt>
                <c:pt idx="3">
                  <c:v>2021-11</c:v>
                </c:pt>
                <c:pt idx="4">
                  <c:v>2021-12</c:v>
                </c:pt>
                <c:pt idx="5">
                  <c:v>2022-01</c:v>
                </c:pt>
                <c:pt idx="6">
                  <c:v>2022-02</c:v>
                </c:pt>
                <c:pt idx="7">
                  <c:v>2022-03</c:v>
                </c:pt>
                <c:pt idx="8">
                  <c:v>2022-04</c:v>
                </c:pt>
                <c:pt idx="9">
                  <c:v>2022-05</c:v>
                </c:pt>
                <c:pt idx="10">
                  <c:v>2022-06</c:v>
                </c:pt>
                <c:pt idx="11">
                  <c:v>2022-07</c:v>
                </c:pt>
                <c:pt idx="12">
                  <c:v>2022-08</c:v>
                </c:pt>
                <c:pt idx="13">
                  <c:v>2022-09</c:v>
                </c:pt>
                <c:pt idx="14">
                  <c:v>2022-10</c:v>
                </c:pt>
                <c:pt idx="15">
                  <c:v>2022-11</c:v>
                </c:pt>
                <c:pt idx="16">
                  <c:v>2022-12</c:v>
                </c:pt>
                <c:pt idx="17">
                  <c:v>2023-01</c:v>
                </c:pt>
                <c:pt idx="18">
                  <c:v>2023-02</c:v>
                </c:pt>
                <c:pt idx="19">
                  <c:v>2023-03</c:v>
                </c:pt>
                <c:pt idx="20">
                  <c:v>2023-04</c:v>
                </c:pt>
                <c:pt idx="21">
                  <c:v>2023-05</c:v>
                </c:pt>
                <c:pt idx="22">
                  <c:v>2023-06</c:v>
                </c:pt>
                <c:pt idx="23">
                  <c:v>2023-07</c:v>
                </c:pt>
                <c:pt idx="24">
                  <c:v>2023-08</c:v>
                </c:pt>
                <c:pt idx="25">
                  <c:v>2023-09</c:v>
                </c:pt>
                <c:pt idx="26">
                  <c:v>2023-10</c:v>
                </c:pt>
                <c:pt idx="27">
                  <c:v>2023-11</c:v>
                </c:pt>
                <c:pt idx="28">
                  <c:v>2023-12</c:v>
                </c:pt>
                <c:pt idx="29">
                  <c:v>2024-01</c:v>
                </c:pt>
                <c:pt idx="30">
                  <c:v>2024-02</c:v>
                </c:pt>
                <c:pt idx="31">
                  <c:v>2024-03</c:v>
                </c:pt>
                <c:pt idx="32">
                  <c:v>2024-04</c:v>
                </c:pt>
                <c:pt idx="33">
                  <c:v>2024-05</c:v>
                </c:pt>
                <c:pt idx="34">
                  <c:v>2024-06</c:v>
                </c:pt>
                <c:pt idx="35">
                  <c:v>2024-07</c:v>
                </c:pt>
                <c:pt idx="36">
                  <c:v>2024-08</c:v>
                </c:pt>
                <c:pt idx="37">
                  <c:v>2024-09</c:v>
                </c:pt>
                <c:pt idx="38">
                  <c:v>2024-10</c:v>
                </c:pt>
                <c:pt idx="39">
                  <c:v>2024-11</c:v>
                </c:pt>
                <c:pt idx="40">
                  <c:v>2024-12</c:v>
                </c:pt>
                <c:pt idx="41">
                  <c:v>2025-01</c:v>
                </c:pt>
                <c:pt idx="42">
                  <c:v>2025-02</c:v>
                </c:pt>
              </c:strCache>
            </c:strRef>
          </c:cat>
          <c:val>
            <c:numRef>
              <c:f>'Sheet 1'!$BO$78:$DE$78</c:f>
              <c:numCache>
                <c:formatCode>0</c:formatCode>
                <c:ptCount val="43"/>
                <c:pt idx="0">
                  <c:v>100.04889019262735</c:v>
                </c:pt>
                <c:pt idx="1">
                  <c:v>100.11733646230567</c:v>
                </c:pt>
                <c:pt idx="2">
                  <c:v>100.49867996479907</c:v>
                </c:pt>
                <c:pt idx="3">
                  <c:v>101.03647208370002</c:v>
                </c:pt>
                <c:pt idx="4">
                  <c:v>101.01691600664908</c:v>
                </c:pt>
                <c:pt idx="5">
                  <c:v>102.44450963136795</c:v>
                </c:pt>
                <c:pt idx="6">
                  <c:v>104.23389068152929</c:v>
                </c:pt>
                <c:pt idx="7">
                  <c:v>104.79123887748119</c:v>
                </c:pt>
                <c:pt idx="8">
                  <c:v>105.83748899970666</c:v>
                </c:pt>
                <c:pt idx="9">
                  <c:v>108.70245428766989</c:v>
                </c:pt>
                <c:pt idx="10">
                  <c:v>110.26694045174538</c:v>
                </c:pt>
                <c:pt idx="11">
                  <c:v>111.85098269287181</c:v>
                </c:pt>
                <c:pt idx="12">
                  <c:v>112.2421042338907</c:v>
                </c:pt>
                <c:pt idx="13">
                  <c:v>114.83328444314071</c:v>
                </c:pt>
                <c:pt idx="14">
                  <c:v>116.43688276131807</c:v>
                </c:pt>
                <c:pt idx="15">
                  <c:v>117.74713992373131</c:v>
                </c:pt>
                <c:pt idx="16">
                  <c:v>117.71780580815489</c:v>
                </c:pt>
                <c:pt idx="17">
                  <c:v>119.16495550992472</c:v>
                </c:pt>
                <c:pt idx="18">
                  <c:v>122.23525960692285</c:v>
                </c:pt>
                <c:pt idx="19">
                  <c:v>123.31084384472474</c:v>
                </c:pt>
                <c:pt idx="20">
                  <c:v>121.65835533392001</c:v>
                </c:pt>
                <c:pt idx="21">
                  <c:v>121.72680160359832</c:v>
                </c:pt>
                <c:pt idx="22">
                  <c:v>121.07167302239171</c:v>
                </c:pt>
                <c:pt idx="23">
                  <c:v>121.47257260193606</c:v>
                </c:pt>
                <c:pt idx="24">
                  <c:v>120.26009582477755</c:v>
                </c:pt>
                <c:pt idx="25">
                  <c:v>120.26009582477755</c:v>
                </c:pt>
                <c:pt idx="26">
                  <c:v>121.14011929207003</c:v>
                </c:pt>
                <c:pt idx="27">
                  <c:v>121.24767771585022</c:v>
                </c:pt>
                <c:pt idx="28">
                  <c:v>120.52410286496529</c:v>
                </c:pt>
                <c:pt idx="29">
                  <c:v>120.88589029040774</c:v>
                </c:pt>
                <c:pt idx="30">
                  <c:v>121.24767771585022</c:v>
                </c:pt>
                <c:pt idx="31">
                  <c:v>120.99344871418793</c:v>
                </c:pt>
                <c:pt idx="32">
                  <c:v>120.61210521169454</c:v>
                </c:pt>
                <c:pt idx="33">
                  <c:v>120.59254913464359</c:v>
                </c:pt>
                <c:pt idx="34">
                  <c:v>119.95697663048794</c:v>
                </c:pt>
                <c:pt idx="35">
                  <c:v>120.52410286496529</c:v>
                </c:pt>
                <c:pt idx="36">
                  <c:v>119.38985039601056</c:v>
                </c:pt>
                <c:pt idx="37">
                  <c:v>120.02542290016622</c:v>
                </c:pt>
                <c:pt idx="38">
                  <c:v>120.73921971252568</c:v>
                </c:pt>
                <c:pt idx="39">
                  <c:v>121.28678986995209</c:v>
                </c:pt>
                <c:pt idx="40">
                  <c:v>120.15253740099736</c:v>
                </c:pt>
                <c:pt idx="41">
                  <c:v>121.13034125354454</c:v>
                </c:pt>
                <c:pt idx="42">
                  <c:v>122.06903295198983</c:v>
                </c:pt>
              </c:numCache>
            </c:numRef>
          </c:val>
          <c:smooth val="0"/>
          <c:extLst>
            <c:ext xmlns:c16="http://schemas.microsoft.com/office/drawing/2014/chart" uri="{C3380CC4-5D6E-409C-BE32-E72D297353CC}">
              <c16:uniqueId val="{00000003-A9DA-4C67-8C43-2AF5F89BC400}"/>
            </c:ext>
          </c:extLst>
        </c:ser>
        <c:ser>
          <c:idx val="28"/>
          <c:order val="28"/>
          <c:tx>
            <c:strRef>
              <c:f>'Sheet 1'!$BG$79</c:f>
              <c:strCache>
                <c:ptCount val="1"/>
                <c:pt idx="0">
                  <c:v>Sweden</c:v>
                </c:pt>
              </c:strCache>
            </c:strRef>
          </c:tx>
          <c:spPr>
            <a:ln w="28575" cap="rnd">
              <a:solidFill>
                <a:srgbClr val="FF0000"/>
              </a:solidFill>
              <a:prstDash val="solid"/>
              <a:round/>
            </a:ln>
            <a:effectLst/>
          </c:spPr>
          <c:marker>
            <c:symbol val="none"/>
          </c:marker>
          <c:cat>
            <c:strRef>
              <c:f>'Sheet 1'!$BO$50:$DE$50</c:f>
              <c:strCache>
                <c:ptCount val="43"/>
                <c:pt idx="0">
                  <c:v>2021-08</c:v>
                </c:pt>
                <c:pt idx="1">
                  <c:v>2021-09</c:v>
                </c:pt>
                <c:pt idx="2">
                  <c:v>2021-10</c:v>
                </c:pt>
                <c:pt idx="3">
                  <c:v>2021-11</c:v>
                </c:pt>
                <c:pt idx="4">
                  <c:v>2021-12</c:v>
                </c:pt>
                <c:pt idx="5">
                  <c:v>2022-01</c:v>
                </c:pt>
                <c:pt idx="6">
                  <c:v>2022-02</c:v>
                </c:pt>
                <c:pt idx="7">
                  <c:v>2022-03</c:v>
                </c:pt>
                <c:pt idx="8">
                  <c:v>2022-04</c:v>
                </c:pt>
                <c:pt idx="9">
                  <c:v>2022-05</c:v>
                </c:pt>
                <c:pt idx="10">
                  <c:v>2022-06</c:v>
                </c:pt>
                <c:pt idx="11">
                  <c:v>2022-07</c:v>
                </c:pt>
                <c:pt idx="12">
                  <c:v>2022-08</c:v>
                </c:pt>
                <c:pt idx="13">
                  <c:v>2022-09</c:v>
                </c:pt>
                <c:pt idx="14">
                  <c:v>2022-10</c:v>
                </c:pt>
                <c:pt idx="15">
                  <c:v>2022-11</c:v>
                </c:pt>
                <c:pt idx="16">
                  <c:v>2022-12</c:v>
                </c:pt>
                <c:pt idx="17">
                  <c:v>2023-01</c:v>
                </c:pt>
                <c:pt idx="18">
                  <c:v>2023-02</c:v>
                </c:pt>
                <c:pt idx="19">
                  <c:v>2023-03</c:v>
                </c:pt>
                <c:pt idx="20">
                  <c:v>2023-04</c:v>
                </c:pt>
                <c:pt idx="21">
                  <c:v>2023-05</c:v>
                </c:pt>
                <c:pt idx="22">
                  <c:v>2023-06</c:v>
                </c:pt>
                <c:pt idx="23">
                  <c:v>2023-07</c:v>
                </c:pt>
                <c:pt idx="24">
                  <c:v>2023-08</c:v>
                </c:pt>
                <c:pt idx="25">
                  <c:v>2023-09</c:v>
                </c:pt>
                <c:pt idx="26">
                  <c:v>2023-10</c:v>
                </c:pt>
                <c:pt idx="27">
                  <c:v>2023-11</c:v>
                </c:pt>
                <c:pt idx="28">
                  <c:v>2023-12</c:v>
                </c:pt>
                <c:pt idx="29">
                  <c:v>2024-01</c:v>
                </c:pt>
                <c:pt idx="30">
                  <c:v>2024-02</c:v>
                </c:pt>
                <c:pt idx="31">
                  <c:v>2024-03</c:v>
                </c:pt>
                <c:pt idx="32">
                  <c:v>2024-04</c:v>
                </c:pt>
                <c:pt idx="33">
                  <c:v>2024-05</c:v>
                </c:pt>
                <c:pt idx="34">
                  <c:v>2024-06</c:v>
                </c:pt>
                <c:pt idx="35">
                  <c:v>2024-07</c:v>
                </c:pt>
                <c:pt idx="36">
                  <c:v>2024-08</c:v>
                </c:pt>
                <c:pt idx="37">
                  <c:v>2024-09</c:v>
                </c:pt>
                <c:pt idx="38">
                  <c:v>2024-10</c:v>
                </c:pt>
                <c:pt idx="39">
                  <c:v>2024-11</c:v>
                </c:pt>
                <c:pt idx="40">
                  <c:v>2024-12</c:v>
                </c:pt>
                <c:pt idx="41">
                  <c:v>2025-01</c:v>
                </c:pt>
                <c:pt idx="42">
                  <c:v>2025-02</c:v>
                </c:pt>
              </c:strCache>
            </c:strRef>
          </c:cat>
          <c:val>
            <c:numRef>
              <c:f>'Sheet 1'!$BO$79:$DE$79</c:f>
              <c:numCache>
                <c:formatCode>0</c:formatCode>
                <c:ptCount val="43"/>
                <c:pt idx="0">
                  <c:v>101.33860389902074</c:v>
                </c:pt>
                <c:pt idx="1">
                  <c:v>100.44919593926871</c:v>
                </c:pt>
                <c:pt idx="2">
                  <c:v>100.82652052825442</c:v>
                </c:pt>
                <c:pt idx="3">
                  <c:v>100.45817985805408</c:v>
                </c:pt>
                <c:pt idx="4">
                  <c:v>101.41047524930373</c:v>
                </c:pt>
                <c:pt idx="5">
                  <c:v>102.10223699577756</c:v>
                </c:pt>
                <c:pt idx="6">
                  <c:v>103.49474440751057</c:v>
                </c:pt>
                <c:pt idx="7">
                  <c:v>106.02820950498607</c:v>
                </c:pt>
                <c:pt idx="8">
                  <c:v>107.2320546222262</c:v>
                </c:pt>
                <c:pt idx="9">
                  <c:v>109.46006648099902</c:v>
                </c:pt>
                <c:pt idx="10">
                  <c:v>111.57128739556195</c:v>
                </c:pt>
                <c:pt idx="11">
                  <c:v>115.2097745036385</c:v>
                </c:pt>
                <c:pt idx="12">
                  <c:v>116.01832719432214</c:v>
                </c:pt>
                <c:pt idx="13">
                  <c:v>117.1862366364208</c:v>
                </c:pt>
                <c:pt idx="14">
                  <c:v>118.96505255592488</c:v>
                </c:pt>
                <c:pt idx="15">
                  <c:v>119.57595903333034</c:v>
                </c:pt>
                <c:pt idx="16">
                  <c:v>120.58215793729224</c:v>
                </c:pt>
                <c:pt idx="17">
                  <c:v>123.43904411104123</c:v>
                </c:pt>
                <c:pt idx="18">
                  <c:v>126.89785284341029</c:v>
                </c:pt>
                <c:pt idx="19">
                  <c:v>128.33527984907016</c:v>
                </c:pt>
                <c:pt idx="20">
                  <c:v>126.87090108705416</c:v>
                </c:pt>
                <c:pt idx="21">
                  <c:v>126.24202677207799</c:v>
                </c:pt>
                <c:pt idx="22">
                  <c:v>126.62833527984904</c:v>
                </c:pt>
                <c:pt idx="23">
                  <c:v>128.20950498607493</c:v>
                </c:pt>
                <c:pt idx="24">
                  <c:v>127.36501662024975</c:v>
                </c:pt>
                <c:pt idx="25">
                  <c:v>126.77207798041508</c:v>
                </c:pt>
                <c:pt idx="26">
                  <c:v>127.30212918875212</c:v>
                </c:pt>
                <c:pt idx="27">
                  <c:v>127.58961458988412</c:v>
                </c:pt>
                <c:pt idx="28">
                  <c:v>127.6704698589525</c:v>
                </c:pt>
                <c:pt idx="29">
                  <c:v>127.85014823465997</c:v>
                </c:pt>
                <c:pt idx="30">
                  <c:v>127.95795526008445</c:v>
                </c:pt>
                <c:pt idx="31">
                  <c:v>126.97870811247867</c:v>
                </c:pt>
                <c:pt idx="32">
                  <c:v>127.0685473003324</c:v>
                </c:pt>
                <c:pt idx="33">
                  <c:v>127.78726080316234</c:v>
                </c:pt>
                <c:pt idx="34">
                  <c:v>127.65250202138172</c:v>
                </c:pt>
                <c:pt idx="35">
                  <c:v>129.0450094331147</c:v>
                </c:pt>
                <c:pt idx="36">
                  <c:v>128.50597430599225</c:v>
                </c:pt>
                <c:pt idx="37">
                  <c:v>128.92821848890486</c:v>
                </c:pt>
                <c:pt idx="38">
                  <c:v>129.29655915910519</c:v>
                </c:pt>
                <c:pt idx="39">
                  <c:v>129.44030185967119</c:v>
                </c:pt>
                <c:pt idx="40">
                  <c:v>129.13484862096846</c:v>
                </c:pt>
                <c:pt idx="41">
                  <c:v>129.86254604258377</c:v>
                </c:pt>
                <c:pt idx="42">
                  <c:v>132.04563830742967</c:v>
                </c:pt>
              </c:numCache>
            </c:numRef>
          </c:val>
          <c:smooth val="0"/>
          <c:extLst>
            <c:ext xmlns:c16="http://schemas.microsoft.com/office/drawing/2014/chart" uri="{C3380CC4-5D6E-409C-BE32-E72D297353CC}">
              <c16:uniqueId val="{00000004-A9DA-4C67-8C43-2AF5F89BC400}"/>
            </c:ext>
          </c:extLst>
        </c:ser>
        <c:ser>
          <c:idx val="30"/>
          <c:order val="30"/>
          <c:tx>
            <c:strRef>
              <c:f>'Sheet 1'!$BG$81</c:f>
              <c:strCache>
                <c:ptCount val="1"/>
                <c:pt idx="0">
                  <c:v>Norway</c:v>
                </c:pt>
              </c:strCache>
            </c:strRef>
          </c:tx>
          <c:spPr>
            <a:ln w="28575" cap="rnd">
              <a:solidFill>
                <a:srgbClr val="00B0F0"/>
              </a:solidFill>
              <a:round/>
            </a:ln>
            <a:effectLst/>
          </c:spPr>
          <c:marker>
            <c:symbol val="none"/>
          </c:marker>
          <c:cat>
            <c:strRef>
              <c:f>'Sheet 1'!$BO$50:$DE$50</c:f>
              <c:strCache>
                <c:ptCount val="43"/>
                <c:pt idx="0">
                  <c:v>2021-08</c:v>
                </c:pt>
                <c:pt idx="1">
                  <c:v>2021-09</c:v>
                </c:pt>
                <c:pt idx="2">
                  <c:v>2021-10</c:v>
                </c:pt>
                <c:pt idx="3">
                  <c:v>2021-11</c:v>
                </c:pt>
                <c:pt idx="4">
                  <c:v>2021-12</c:v>
                </c:pt>
                <c:pt idx="5">
                  <c:v>2022-01</c:v>
                </c:pt>
                <c:pt idx="6">
                  <c:v>2022-02</c:v>
                </c:pt>
                <c:pt idx="7">
                  <c:v>2022-03</c:v>
                </c:pt>
                <c:pt idx="8">
                  <c:v>2022-04</c:v>
                </c:pt>
                <c:pt idx="9">
                  <c:v>2022-05</c:v>
                </c:pt>
                <c:pt idx="10">
                  <c:v>2022-06</c:v>
                </c:pt>
                <c:pt idx="11">
                  <c:v>2022-07</c:v>
                </c:pt>
                <c:pt idx="12">
                  <c:v>2022-08</c:v>
                </c:pt>
                <c:pt idx="13">
                  <c:v>2022-09</c:v>
                </c:pt>
                <c:pt idx="14">
                  <c:v>2022-10</c:v>
                </c:pt>
                <c:pt idx="15">
                  <c:v>2022-11</c:v>
                </c:pt>
                <c:pt idx="16">
                  <c:v>2022-12</c:v>
                </c:pt>
                <c:pt idx="17">
                  <c:v>2023-01</c:v>
                </c:pt>
                <c:pt idx="18">
                  <c:v>2023-02</c:v>
                </c:pt>
                <c:pt idx="19">
                  <c:v>2023-03</c:v>
                </c:pt>
                <c:pt idx="20">
                  <c:v>2023-04</c:v>
                </c:pt>
                <c:pt idx="21">
                  <c:v>2023-05</c:v>
                </c:pt>
                <c:pt idx="22">
                  <c:v>2023-06</c:v>
                </c:pt>
                <c:pt idx="23">
                  <c:v>2023-07</c:v>
                </c:pt>
                <c:pt idx="24">
                  <c:v>2023-08</c:v>
                </c:pt>
                <c:pt idx="25">
                  <c:v>2023-09</c:v>
                </c:pt>
                <c:pt idx="26">
                  <c:v>2023-10</c:v>
                </c:pt>
                <c:pt idx="27">
                  <c:v>2023-11</c:v>
                </c:pt>
                <c:pt idx="28">
                  <c:v>2023-12</c:v>
                </c:pt>
                <c:pt idx="29">
                  <c:v>2024-01</c:v>
                </c:pt>
                <c:pt idx="30">
                  <c:v>2024-02</c:v>
                </c:pt>
                <c:pt idx="31">
                  <c:v>2024-03</c:v>
                </c:pt>
                <c:pt idx="32">
                  <c:v>2024-04</c:v>
                </c:pt>
                <c:pt idx="33">
                  <c:v>2024-05</c:v>
                </c:pt>
                <c:pt idx="34">
                  <c:v>2024-06</c:v>
                </c:pt>
                <c:pt idx="35">
                  <c:v>2024-07</c:v>
                </c:pt>
                <c:pt idx="36">
                  <c:v>2024-08</c:v>
                </c:pt>
                <c:pt idx="37">
                  <c:v>2024-09</c:v>
                </c:pt>
                <c:pt idx="38">
                  <c:v>2024-10</c:v>
                </c:pt>
                <c:pt idx="39">
                  <c:v>2024-11</c:v>
                </c:pt>
                <c:pt idx="40">
                  <c:v>2024-12</c:v>
                </c:pt>
                <c:pt idx="41">
                  <c:v>2025-01</c:v>
                </c:pt>
                <c:pt idx="42">
                  <c:v>2025-02</c:v>
                </c:pt>
              </c:strCache>
            </c:strRef>
          </c:cat>
          <c:val>
            <c:numRef>
              <c:f>'Sheet 1'!$BO$81:$DE$81</c:f>
              <c:numCache>
                <c:formatCode>0</c:formatCode>
                <c:ptCount val="43"/>
                <c:pt idx="0">
                  <c:v>101.38760407030527</c:v>
                </c:pt>
                <c:pt idx="1">
                  <c:v>99.814986123959301</c:v>
                </c:pt>
                <c:pt idx="2">
                  <c:v>98.889916743755791</c:v>
                </c:pt>
                <c:pt idx="3">
                  <c:v>98.797409805735441</c:v>
                </c:pt>
                <c:pt idx="4">
                  <c:v>98.334875115633679</c:v>
                </c:pt>
                <c:pt idx="5">
                  <c:v>98.98242368177614</c:v>
                </c:pt>
                <c:pt idx="6">
                  <c:v>103.42275670675301</c:v>
                </c:pt>
                <c:pt idx="7">
                  <c:v>101.75763182238668</c:v>
                </c:pt>
                <c:pt idx="8">
                  <c:v>102.77520814061054</c:v>
                </c:pt>
                <c:pt idx="9">
                  <c:v>102.77520814061054</c:v>
                </c:pt>
                <c:pt idx="10">
                  <c:v>104.90286771507864</c:v>
                </c:pt>
                <c:pt idx="11">
                  <c:v>112.76595744680853</c:v>
                </c:pt>
                <c:pt idx="12">
                  <c:v>111.6558741905643</c:v>
                </c:pt>
                <c:pt idx="13">
                  <c:v>111.74838112858465</c:v>
                </c:pt>
                <c:pt idx="14">
                  <c:v>111.56336725254394</c:v>
                </c:pt>
                <c:pt idx="15">
                  <c:v>111.28584643848289</c:v>
                </c:pt>
                <c:pt idx="16">
                  <c:v>109.34320074005551</c:v>
                </c:pt>
                <c:pt idx="17">
                  <c:v>110.73080481036079</c:v>
                </c:pt>
                <c:pt idx="18">
                  <c:v>112.58094357076783</c:v>
                </c:pt>
                <c:pt idx="19">
                  <c:v>110.63829787234043</c:v>
                </c:pt>
                <c:pt idx="20">
                  <c:v>113.78353376503239</c:v>
                </c:pt>
                <c:pt idx="21">
                  <c:v>116.09620721554117</c:v>
                </c:pt>
                <c:pt idx="22">
                  <c:v>119.05642923219241</c:v>
                </c:pt>
                <c:pt idx="23">
                  <c:v>122.94172062904718</c:v>
                </c:pt>
                <c:pt idx="24">
                  <c:v>121.83163737280296</c:v>
                </c:pt>
                <c:pt idx="25">
                  <c:v>119.98149861239594</c:v>
                </c:pt>
                <c:pt idx="26">
                  <c:v>120.99907493061981</c:v>
                </c:pt>
                <c:pt idx="27">
                  <c:v>121.1840888066605</c:v>
                </c:pt>
                <c:pt idx="28">
                  <c:v>119.05642923219241</c:v>
                </c:pt>
                <c:pt idx="29">
                  <c:v>120.53654024051805</c:v>
                </c:pt>
                <c:pt idx="30">
                  <c:v>119.70397779833488</c:v>
                </c:pt>
                <c:pt idx="31">
                  <c:v>117.57631822386678</c:v>
                </c:pt>
                <c:pt idx="32">
                  <c:v>121.09158186864015</c:v>
                </c:pt>
                <c:pt idx="33">
                  <c:v>122.29417206290472</c:v>
                </c:pt>
                <c:pt idx="34">
                  <c:v>124.88436632747457</c:v>
                </c:pt>
                <c:pt idx="35">
                  <c:v>128.95467160037003</c:v>
                </c:pt>
                <c:pt idx="36">
                  <c:v>127.47456059204443</c:v>
                </c:pt>
                <c:pt idx="37">
                  <c:v>124.79185938945423</c:v>
                </c:pt>
                <c:pt idx="38">
                  <c:v>125.62442183163741</c:v>
                </c:pt>
                <c:pt idx="39">
                  <c:v>126.08695652173915</c:v>
                </c:pt>
                <c:pt idx="40">
                  <c:v>123.68177613320998</c:v>
                </c:pt>
                <c:pt idx="41">
                  <c:v>126.1794634597595</c:v>
                </c:pt>
                <c:pt idx="42">
                  <c:v>128.58464384828864</c:v>
                </c:pt>
              </c:numCache>
            </c:numRef>
          </c:val>
          <c:smooth val="0"/>
          <c:extLst>
            <c:ext xmlns:c16="http://schemas.microsoft.com/office/drawing/2014/chart" uri="{C3380CC4-5D6E-409C-BE32-E72D297353CC}">
              <c16:uniqueId val="{00000005-A9DA-4C67-8C43-2AF5F89BC400}"/>
            </c:ext>
          </c:extLst>
        </c:ser>
        <c:dLbls>
          <c:showLegendKey val="0"/>
          <c:showVal val="0"/>
          <c:showCatName val="0"/>
          <c:showSerName val="0"/>
          <c:showPercent val="0"/>
          <c:showBubbleSize val="0"/>
        </c:dLbls>
        <c:smooth val="0"/>
        <c:axId val="452416144"/>
        <c:axId val="452418768"/>
        <c:extLst>
          <c:ext xmlns:c15="http://schemas.microsoft.com/office/drawing/2012/chart" uri="{02D57815-91ED-43cb-92C2-25804820EDAC}">
            <c15:filteredLineSeries>
              <c15:ser>
                <c:idx val="1"/>
                <c:order val="1"/>
                <c:tx>
                  <c:strRef>
                    <c:extLst>
                      <c:ext uri="{02D57815-91ED-43cb-92C2-25804820EDAC}">
                        <c15:formulaRef>
                          <c15:sqref>'Sheet 1'!$BG$52</c15:sqref>
                        </c15:formulaRef>
                      </c:ext>
                    </c:extLst>
                    <c:strCache>
                      <c:ptCount val="1"/>
                      <c:pt idx="0">
                        <c:v>Euro area - 19 countries  (2015-2022)</c:v>
                      </c:pt>
                    </c:strCache>
                  </c:strRef>
                </c:tx>
                <c:spPr>
                  <a:ln w="28575" cap="rnd">
                    <a:solidFill>
                      <a:schemeClr val="accent2"/>
                    </a:solidFill>
                    <a:round/>
                  </a:ln>
                  <a:effectLst/>
                </c:spPr>
                <c:marker>
                  <c:symbol val="none"/>
                </c:marker>
                <c:cat>
                  <c:strRef>
                    <c:extLst>
                      <c:ext uri="{02D57815-91ED-43cb-92C2-25804820EDAC}">
                        <c15:formulaRef>
                          <c15:sqref>'Sheet 1'!$BO$50:$DE$50</c15:sqref>
                        </c15:formulaRef>
                      </c:ext>
                    </c:extLst>
                    <c:strCache>
                      <c:ptCount val="43"/>
                      <c:pt idx="0">
                        <c:v>2021-08</c:v>
                      </c:pt>
                      <c:pt idx="1">
                        <c:v>2021-09</c:v>
                      </c:pt>
                      <c:pt idx="2">
                        <c:v>2021-10</c:v>
                      </c:pt>
                      <c:pt idx="3">
                        <c:v>2021-11</c:v>
                      </c:pt>
                      <c:pt idx="4">
                        <c:v>2021-12</c:v>
                      </c:pt>
                      <c:pt idx="5">
                        <c:v>2022-01</c:v>
                      </c:pt>
                      <c:pt idx="6">
                        <c:v>2022-02</c:v>
                      </c:pt>
                      <c:pt idx="7">
                        <c:v>2022-03</c:v>
                      </c:pt>
                      <c:pt idx="8">
                        <c:v>2022-04</c:v>
                      </c:pt>
                      <c:pt idx="9">
                        <c:v>2022-05</c:v>
                      </c:pt>
                      <c:pt idx="10">
                        <c:v>2022-06</c:v>
                      </c:pt>
                      <c:pt idx="11">
                        <c:v>2022-07</c:v>
                      </c:pt>
                      <c:pt idx="12">
                        <c:v>2022-08</c:v>
                      </c:pt>
                      <c:pt idx="13">
                        <c:v>2022-09</c:v>
                      </c:pt>
                      <c:pt idx="14">
                        <c:v>2022-10</c:v>
                      </c:pt>
                      <c:pt idx="15">
                        <c:v>2022-11</c:v>
                      </c:pt>
                      <c:pt idx="16">
                        <c:v>2022-12</c:v>
                      </c:pt>
                      <c:pt idx="17">
                        <c:v>2023-01</c:v>
                      </c:pt>
                      <c:pt idx="18">
                        <c:v>2023-02</c:v>
                      </c:pt>
                      <c:pt idx="19">
                        <c:v>2023-03</c:v>
                      </c:pt>
                      <c:pt idx="20">
                        <c:v>2023-04</c:v>
                      </c:pt>
                      <c:pt idx="21">
                        <c:v>2023-05</c:v>
                      </c:pt>
                      <c:pt idx="22">
                        <c:v>2023-06</c:v>
                      </c:pt>
                      <c:pt idx="23">
                        <c:v>2023-07</c:v>
                      </c:pt>
                      <c:pt idx="24">
                        <c:v>2023-08</c:v>
                      </c:pt>
                      <c:pt idx="25">
                        <c:v>2023-09</c:v>
                      </c:pt>
                      <c:pt idx="26">
                        <c:v>2023-10</c:v>
                      </c:pt>
                      <c:pt idx="27">
                        <c:v>2023-11</c:v>
                      </c:pt>
                      <c:pt idx="28">
                        <c:v>2023-12</c:v>
                      </c:pt>
                      <c:pt idx="29">
                        <c:v>2024-01</c:v>
                      </c:pt>
                      <c:pt idx="30">
                        <c:v>2024-02</c:v>
                      </c:pt>
                      <c:pt idx="31">
                        <c:v>2024-03</c:v>
                      </c:pt>
                      <c:pt idx="32">
                        <c:v>2024-04</c:v>
                      </c:pt>
                      <c:pt idx="33">
                        <c:v>2024-05</c:v>
                      </c:pt>
                      <c:pt idx="34">
                        <c:v>2024-06</c:v>
                      </c:pt>
                      <c:pt idx="35">
                        <c:v>2024-07</c:v>
                      </c:pt>
                      <c:pt idx="36">
                        <c:v>2024-08</c:v>
                      </c:pt>
                      <c:pt idx="37">
                        <c:v>2024-09</c:v>
                      </c:pt>
                      <c:pt idx="38">
                        <c:v>2024-10</c:v>
                      </c:pt>
                      <c:pt idx="39">
                        <c:v>2024-11</c:v>
                      </c:pt>
                      <c:pt idx="40">
                        <c:v>2024-12</c:v>
                      </c:pt>
                      <c:pt idx="41">
                        <c:v>2025-01</c:v>
                      </c:pt>
                      <c:pt idx="42">
                        <c:v>2025-02</c:v>
                      </c:pt>
                    </c:strCache>
                  </c:strRef>
                </c:cat>
                <c:val>
                  <c:numRef>
                    <c:extLst>
                      <c:ext uri="{02D57815-91ED-43cb-92C2-25804820EDAC}">
                        <c15:formulaRef>
                          <c15:sqref>'Sheet 1'!$BO$52:$DE$52</c15:sqref>
                        </c15:formulaRef>
                      </c:ext>
                    </c:extLst>
                    <c:numCache>
                      <c:formatCode>0</c:formatCode>
                      <c:ptCount val="43"/>
                      <c:pt idx="0">
                        <c:v>101.25600295530106</c:v>
                      </c:pt>
                      <c:pt idx="1">
                        <c:v>101.12670853343184</c:v>
                      </c:pt>
                      <c:pt idx="2">
                        <c:v>101.3852973771703</c:v>
                      </c:pt>
                      <c:pt idx="3">
                        <c:v>101.95788695973403</c:v>
                      </c:pt>
                      <c:pt idx="4">
                        <c:v>102.8352419652752</c:v>
                      </c:pt>
                      <c:pt idx="5">
                        <c:v>103.97118581455484</c:v>
                      </c:pt>
                      <c:pt idx="6">
                        <c:v>105.02401182120428</c:v>
                      </c:pt>
                      <c:pt idx="7">
                        <c:v>106.12301440709271</c:v>
                      </c:pt>
                      <c:pt idx="8">
                        <c:v>108.62578500184708</c:v>
                      </c:pt>
                      <c:pt idx="9">
                        <c:v>110.25120059106021</c:v>
                      </c:pt>
                      <c:pt idx="10">
                        <c:v>111.72885112670853</c:v>
                      </c:pt>
                      <c:pt idx="11">
                        <c:v>112.78167713335796</c:v>
                      </c:pt>
                      <c:pt idx="12">
                        <c:v>114.10232729959364</c:v>
                      </c:pt>
                      <c:pt idx="13">
                        <c:v>115.40450683413373</c:v>
                      </c:pt>
                      <c:pt idx="14">
                        <c:v>117.50092353158479</c:v>
                      </c:pt>
                      <c:pt idx="15">
                        <c:v>118.65533801256004</c:v>
                      </c:pt>
                      <c:pt idx="16">
                        <c:v>119.61581086073146</c:v>
                      </c:pt>
                      <c:pt idx="17">
                        <c:v>121.25046176579237</c:v>
                      </c:pt>
                      <c:pt idx="18">
                        <c:v>123.60546730698189</c:v>
                      </c:pt>
                      <c:pt idx="19">
                        <c:v>125.12005910602142</c:v>
                      </c:pt>
                      <c:pt idx="20">
                        <c:v>125.0646472109346</c:v>
                      </c:pt>
                      <c:pt idx="21">
                        <c:v>125.43405984484667</c:v>
                      </c:pt>
                      <c:pt idx="22">
                        <c:v>125.76653121536756</c:v>
                      </c:pt>
                      <c:pt idx="23">
                        <c:v>125.80347247875878</c:v>
                      </c:pt>
                      <c:pt idx="24">
                        <c:v>125.77576653121537</c:v>
                      </c:pt>
                      <c:pt idx="25">
                        <c:v>125.84964905799778</c:v>
                      </c:pt>
                      <c:pt idx="26">
                        <c:v>126.17288511267087</c:v>
                      </c:pt>
                      <c:pt idx="27">
                        <c:v>126.68082748429994</c:v>
                      </c:pt>
                      <c:pt idx="28">
                        <c:v>126.78241595862578</c:v>
                      </c:pt>
                      <c:pt idx="29">
                        <c:v>127.64130033247139</c:v>
                      </c:pt>
                      <c:pt idx="30">
                        <c:v>127.38271148873292</c:v>
                      </c:pt>
                      <c:pt idx="31">
                        <c:v>127.2903583302549</c:v>
                      </c:pt>
                      <c:pt idx="32">
                        <c:v>127.47506464721094</c:v>
                      </c:pt>
                      <c:pt idx="33">
                        <c:v>127.7613594384928</c:v>
                      </c:pt>
                      <c:pt idx="34">
                        <c:v>127.81677133357961</c:v>
                      </c:pt>
                      <c:pt idx="35">
                        <c:v>127.53971185814554</c:v>
                      </c:pt>
                      <c:pt idx="36">
                        <c:v>127.49353527890655</c:v>
                      </c:pt>
                      <c:pt idx="37">
                        <c:v>127.63206501662356</c:v>
                      </c:pt>
                      <c:pt idx="38">
                        <c:v>128.61100849649057</c:v>
                      </c:pt>
                      <c:pt idx="39">
                        <c:v>128.81418544514221</c:v>
                      </c:pt>
                      <c:pt idx="40">
                        <c:v>128.62947912818618</c:v>
                      </c:pt>
                      <c:pt idx="41">
                        <c:v>129.18359807905432</c:v>
                      </c:pt>
                      <c:pt idx="42">
                        <c:v>129.66383450314001</c:v>
                      </c:pt>
                    </c:numCache>
                  </c:numRef>
                </c:val>
                <c:smooth val="0"/>
                <c:extLst>
                  <c:ext xmlns:c16="http://schemas.microsoft.com/office/drawing/2014/chart" uri="{C3380CC4-5D6E-409C-BE32-E72D297353CC}">
                    <c16:uniqueId val="{00000006-A9DA-4C67-8C43-2AF5F89BC400}"/>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'Sheet 1'!$BG$53</c15:sqref>
                        </c15:formulaRef>
                      </c:ext>
                    </c:extLst>
                    <c:strCache>
                      <c:ptCount val="1"/>
                      <c:pt idx="0">
                        <c:v>Belgium</c:v>
                      </c:pt>
                    </c:strCache>
                  </c:strRef>
                </c:tx>
                <c:spPr>
                  <a:ln w="28575" cap="rnd">
                    <a:solidFill>
                      <a:schemeClr val="accent3"/>
                    </a:solidFill>
                    <a:round/>
                  </a:ln>
                  <a:effectLst/>
                </c:spPr>
                <c:marker>
                  <c:symbol val="none"/>
                </c:marker>
                <c:cat>
                  <c:strRef>
                    <c:extLst xmlns:c15="http://schemas.microsoft.com/office/drawing/2012/chart">
                      <c:ext xmlns:c15="http://schemas.microsoft.com/office/drawing/2012/chart" uri="{02D57815-91ED-43cb-92C2-25804820EDAC}">
                        <c15:formulaRef>
                          <c15:sqref>'Sheet 1'!$BO$50:$DE$50</c15:sqref>
                        </c15:formulaRef>
                      </c:ext>
                    </c:extLst>
                    <c:strCache>
                      <c:ptCount val="43"/>
                      <c:pt idx="0">
                        <c:v>2021-08</c:v>
                      </c:pt>
                      <c:pt idx="1">
                        <c:v>2021-09</c:v>
                      </c:pt>
                      <c:pt idx="2">
                        <c:v>2021-10</c:v>
                      </c:pt>
                      <c:pt idx="3">
                        <c:v>2021-11</c:v>
                      </c:pt>
                      <c:pt idx="4">
                        <c:v>2021-12</c:v>
                      </c:pt>
                      <c:pt idx="5">
                        <c:v>2022-01</c:v>
                      </c:pt>
                      <c:pt idx="6">
                        <c:v>2022-02</c:v>
                      </c:pt>
                      <c:pt idx="7">
                        <c:v>2022-03</c:v>
                      </c:pt>
                      <c:pt idx="8">
                        <c:v>2022-04</c:v>
                      </c:pt>
                      <c:pt idx="9">
                        <c:v>2022-05</c:v>
                      </c:pt>
                      <c:pt idx="10">
                        <c:v>2022-06</c:v>
                      </c:pt>
                      <c:pt idx="11">
                        <c:v>2022-07</c:v>
                      </c:pt>
                      <c:pt idx="12">
                        <c:v>2022-08</c:v>
                      </c:pt>
                      <c:pt idx="13">
                        <c:v>2022-09</c:v>
                      </c:pt>
                      <c:pt idx="14">
                        <c:v>2022-10</c:v>
                      </c:pt>
                      <c:pt idx="15">
                        <c:v>2022-11</c:v>
                      </c:pt>
                      <c:pt idx="16">
                        <c:v>2022-12</c:v>
                      </c:pt>
                      <c:pt idx="17">
                        <c:v>2023-01</c:v>
                      </c:pt>
                      <c:pt idx="18">
                        <c:v>2023-02</c:v>
                      </c:pt>
                      <c:pt idx="19">
                        <c:v>2023-03</c:v>
                      </c:pt>
                      <c:pt idx="20">
                        <c:v>2023-04</c:v>
                      </c:pt>
                      <c:pt idx="21">
                        <c:v>2023-05</c:v>
                      </c:pt>
                      <c:pt idx="22">
                        <c:v>2023-06</c:v>
                      </c:pt>
                      <c:pt idx="23">
                        <c:v>2023-07</c:v>
                      </c:pt>
                      <c:pt idx="24">
                        <c:v>2023-08</c:v>
                      </c:pt>
                      <c:pt idx="25">
                        <c:v>2023-09</c:v>
                      </c:pt>
                      <c:pt idx="26">
                        <c:v>2023-10</c:v>
                      </c:pt>
                      <c:pt idx="27">
                        <c:v>2023-11</c:v>
                      </c:pt>
                      <c:pt idx="28">
                        <c:v>2023-12</c:v>
                      </c:pt>
                      <c:pt idx="29">
                        <c:v>2024-01</c:v>
                      </c:pt>
                      <c:pt idx="30">
                        <c:v>2024-02</c:v>
                      </c:pt>
                      <c:pt idx="31">
                        <c:v>2024-03</c:v>
                      </c:pt>
                      <c:pt idx="32">
                        <c:v>2024-04</c:v>
                      </c:pt>
                      <c:pt idx="33">
                        <c:v>2024-05</c:v>
                      </c:pt>
                      <c:pt idx="34">
                        <c:v>2024-06</c:v>
                      </c:pt>
                      <c:pt idx="35">
                        <c:v>2024-07</c:v>
                      </c:pt>
                      <c:pt idx="36">
                        <c:v>2024-08</c:v>
                      </c:pt>
                      <c:pt idx="37">
                        <c:v>2024-09</c:v>
                      </c:pt>
                      <c:pt idx="38">
                        <c:v>2024-10</c:v>
                      </c:pt>
                      <c:pt idx="39">
                        <c:v>2024-11</c:v>
                      </c:pt>
                      <c:pt idx="40">
                        <c:v>2024-12</c:v>
                      </c:pt>
                      <c:pt idx="41">
                        <c:v>2025-01</c:v>
                      </c:pt>
                      <c:pt idx="42">
                        <c:v>2025-02</c:v>
                      </c:pt>
                    </c:strCache>
                  </c:strRef>
                </c:cat>
                <c:val>
                  <c:numRef>
                    <c:extLst xmlns:c15="http://schemas.microsoft.com/office/drawing/2012/chart">
                      <c:ext xmlns:c15="http://schemas.microsoft.com/office/drawing/2012/chart" uri="{02D57815-91ED-43cb-92C2-25804820EDAC}">
                        <c15:formulaRef>
                          <c15:sqref>'Sheet 1'!$BO$53:$DE$53</c15:sqref>
                        </c15:formulaRef>
                      </c:ext>
                    </c:extLst>
                    <c:numCache>
                      <c:formatCode>0</c:formatCode>
                      <c:ptCount val="43"/>
                      <c:pt idx="0">
                        <c:v>101.2926189584114</c:v>
                      </c:pt>
                      <c:pt idx="1">
                        <c:v>101.03034844511052</c:v>
                      </c:pt>
                      <c:pt idx="2">
                        <c:v>101.16148370176094</c:v>
                      </c:pt>
                      <c:pt idx="3">
                        <c:v>101.09591607343576</c:v>
                      </c:pt>
                      <c:pt idx="4">
                        <c:v>101.99512926189584</c:v>
                      </c:pt>
                      <c:pt idx="5">
                        <c:v>102.54777070063695</c:v>
                      </c:pt>
                      <c:pt idx="6">
                        <c:v>103.98089171974523</c:v>
                      </c:pt>
                      <c:pt idx="7">
                        <c:v>105.76058448857249</c:v>
                      </c:pt>
                      <c:pt idx="8">
                        <c:v>106.85650056200824</c:v>
                      </c:pt>
                      <c:pt idx="9">
                        <c:v>108.33645560134882</c:v>
                      </c:pt>
                      <c:pt idx="10">
                        <c:v>110.1817159985013</c:v>
                      </c:pt>
                      <c:pt idx="11">
                        <c:v>111.58673660547021</c:v>
                      </c:pt>
                      <c:pt idx="12">
                        <c:v>111.90520794304983</c:v>
                      </c:pt>
                      <c:pt idx="13">
                        <c:v>112.56088422630197</c:v>
                      </c:pt>
                      <c:pt idx="14">
                        <c:v>114.68714874484824</c:v>
                      </c:pt>
                      <c:pt idx="15">
                        <c:v>117.01011614837017</c:v>
                      </c:pt>
                      <c:pt idx="16">
                        <c:v>118.04983139752716</c:v>
                      </c:pt>
                      <c:pt idx="17">
                        <c:v>122.27426002248032</c:v>
                      </c:pt>
                      <c:pt idx="18">
                        <c:v>124.65342825028101</c:v>
                      </c:pt>
                      <c:pt idx="19">
                        <c:v>127.66017234919444</c:v>
                      </c:pt>
                      <c:pt idx="20">
                        <c:v>125.57137504683402</c:v>
                      </c:pt>
                      <c:pt idx="21">
                        <c:v>126.0584488572499</c:v>
                      </c:pt>
                      <c:pt idx="22">
                        <c:v>126.1052828774822</c:v>
                      </c:pt>
                      <c:pt idx="23">
                        <c:v>127.19183214687146</c:v>
                      </c:pt>
                      <c:pt idx="24">
                        <c:v>126.18021730985387</c:v>
                      </c:pt>
                      <c:pt idx="25">
                        <c:v>125.84301236418133</c:v>
                      </c:pt>
                      <c:pt idx="26">
                        <c:v>125.67440989134506</c:v>
                      </c:pt>
                      <c:pt idx="27">
                        <c:v>126.47058823529412</c:v>
                      </c:pt>
                      <c:pt idx="28">
                        <c:v>126.65792431622329</c:v>
                      </c:pt>
                      <c:pt idx="29">
                        <c:v>128.7560884226302</c:v>
                      </c:pt>
                      <c:pt idx="30">
                        <c:v>128.87785687523416</c:v>
                      </c:pt>
                      <c:pt idx="31">
                        <c:v>130.14237542150619</c:v>
                      </c:pt>
                      <c:pt idx="32">
                        <c:v>127.4634694642188</c:v>
                      </c:pt>
                      <c:pt idx="33">
                        <c:v>127.77257399775195</c:v>
                      </c:pt>
                      <c:pt idx="34">
                        <c:v>128.11914574747095</c:v>
                      </c:pt>
                      <c:pt idx="35">
                        <c:v>128.74672161858371</c:v>
                      </c:pt>
                      <c:pt idx="36">
                        <c:v>128.48445110528286</c:v>
                      </c:pt>
                      <c:pt idx="37">
                        <c:v>127.77257399775195</c:v>
                      </c:pt>
                      <c:pt idx="38">
                        <c:v>128.50318471337579</c:v>
                      </c:pt>
                      <c:pt idx="39">
                        <c:v>128.95279130760582</c:v>
                      </c:pt>
                      <c:pt idx="40">
                        <c:v>128.79355563881603</c:v>
                      </c:pt>
                      <c:pt idx="41">
                        <c:v>131.73473210940426</c:v>
                      </c:pt>
                      <c:pt idx="42">
                        <c:v>131.99700262270511</c:v>
                      </c:pt>
                    </c:numCache>
                  </c:numRef>
                </c:val>
                <c:smooth val="0"/>
                <c:extLst xmlns:c15="http://schemas.microsoft.com/office/drawing/2012/chart">
                  <c:ext xmlns:c16="http://schemas.microsoft.com/office/drawing/2014/chart" uri="{C3380CC4-5D6E-409C-BE32-E72D297353CC}">
                    <c16:uniqueId val="{00000007-A9DA-4C67-8C43-2AF5F89BC400}"/>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'Sheet 1'!$BG$54</c15:sqref>
                        </c15:formulaRef>
                      </c:ext>
                    </c:extLst>
                    <c:strCache>
                      <c:ptCount val="1"/>
                      <c:pt idx="0">
                        <c:v>Bulgaria</c:v>
                      </c:pt>
                    </c:strCache>
                  </c:strRef>
                </c:tx>
                <c:spPr>
                  <a:ln w="28575" cap="rnd">
                    <a:solidFill>
                      <a:schemeClr val="accent4"/>
                    </a:solidFill>
                    <a:round/>
                  </a:ln>
                  <a:effectLst/>
                </c:spPr>
                <c:marker>
                  <c:symbol val="none"/>
                </c:marker>
                <c:cat>
                  <c:strRef>
                    <c:extLst xmlns:c15="http://schemas.microsoft.com/office/drawing/2012/chart">
                      <c:ext xmlns:c15="http://schemas.microsoft.com/office/drawing/2012/chart" uri="{02D57815-91ED-43cb-92C2-25804820EDAC}">
                        <c15:formulaRef>
                          <c15:sqref>'Sheet 1'!$BO$50:$DE$50</c15:sqref>
                        </c15:formulaRef>
                      </c:ext>
                    </c:extLst>
                    <c:strCache>
                      <c:ptCount val="43"/>
                      <c:pt idx="0">
                        <c:v>2021-08</c:v>
                      </c:pt>
                      <c:pt idx="1">
                        <c:v>2021-09</c:v>
                      </c:pt>
                      <c:pt idx="2">
                        <c:v>2021-10</c:v>
                      </c:pt>
                      <c:pt idx="3">
                        <c:v>2021-11</c:v>
                      </c:pt>
                      <c:pt idx="4">
                        <c:v>2021-12</c:v>
                      </c:pt>
                      <c:pt idx="5">
                        <c:v>2022-01</c:v>
                      </c:pt>
                      <c:pt idx="6">
                        <c:v>2022-02</c:v>
                      </c:pt>
                      <c:pt idx="7">
                        <c:v>2022-03</c:v>
                      </c:pt>
                      <c:pt idx="8">
                        <c:v>2022-04</c:v>
                      </c:pt>
                      <c:pt idx="9">
                        <c:v>2022-05</c:v>
                      </c:pt>
                      <c:pt idx="10">
                        <c:v>2022-06</c:v>
                      </c:pt>
                      <c:pt idx="11">
                        <c:v>2022-07</c:v>
                      </c:pt>
                      <c:pt idx="12">
                        <c:v>2022-08</c:v>
                      </c:pt>
                      <c:pt idx="13">
                        <c:v>2022-09</c:v>
                      </c:pt>
                      <c:pt idx="14">
                        <c:v>2022-10</c:v>
                      </c:pt>
                      <c:pt idx="15">
                        <c:v>2022-11</c:v>
                      </c:pt>
                      <c:pt idx="16">
                        <c:v>2022-12</c:v>
                      </c:pt>
                      <c:pt idx="17">
                        <c:v>2023-01</c:v>
                      </c:pt>
                      <c:pt idx="18">
                        <c:v>2023-02</c:v>
                      </c:pt>
                      <c:pt idx="19">
                        <c:v>2023-03</c:v>
                      </c:pt>
                      <c:pt idx="20">
                        <c:v>2023-04</c:v>
                      </c:pt>
                      <c:pt idx="21">
                        <c:v>2023-05</c:v>
                      </c:pt>
                      <c:pt idx="22">
                        <c:v>2023-06</c:v>
                      </c:pt>
                      <c:pt idx="23">
                        <c:v>2023-07</c:v>
                      </c:pt>
                      <c:pt idx="24">
                        <c:v>2023-08</c:v>
                      </c:pt>
                      <c:pt idx="25">
                        <c:v>2023-09</c:v>
                      </c:pt>
                      <c:pt idx="26">
                        <c:v>2023-10</c:v>
                      </c:pt>
                      <c:pt idx="27">
                        <c:v>2023-11</c:v>
                      </c:pt>
                      <c:pt idx="28">
                        <c:v>2023-12</c:v>
                      </c:pt>
                      <c:pt idx="29">
                        <c:v>2024-01</c:v>
                      </c:pt>
                      <c:pt idx="30">
                        <c:v>2024-02</c:v>
                      </c:pt>
                      <c:pt idx="31">
                        <c:v>2024-03</c:v>
                      </c:pt>
                      <c:pt idx="32">
                        <c:v>2024-04</c:v>
                      </c:pt>
                      <c:pt idx="33">
                        <c:v>2024-05</c:v>
                      </c:pt>
                      <c:pt idx="34">
                        <c:v>2024-06</c:v>
                      </c:pt>
                      <c:pt idx="35">
                        <c:v>2024-07</c:v>
                      </c:pt>
                      <c:pt idx="36">
                        <c:v>2024-08</c:v>
                      </c:pt>
                      <c:pt idx="37">
                        <c:v>2024-09</c:v>
                      </c:pt>
                      <c:pt idx="38">
                        <c:v>2024-10</c:v>
                      </c:pt>
                      <c:pt idx="39">
                        <c:v>2024-11</c:v>
                      </c:pt>
                      <c:pt idx="40">
                        <c:v>2024-12</c:v>
                      </c:pt>
                      <c:pt idx="41">
                        <c:v>2025-01</c:v>
                      </c:pt>
                      <c:pt idx="42">
                        <c:v>2025-02</c:v>
                      </c:pt>
                    </c:strCache>
                  </c:strRef>
                </c:cat>
                <c:val>
                  <c:numRef>
                    <c:extLst xmlns:c15="http://schemas.microsoft.com/office/drawing/2012/chart">
                      <c:ext xmlns:c15="http://schemas.microsoft.com/office/drawing/2012/chart" uri="{02D57815-91ED-43cb-92C2-25804820EDAC}">
                        <c15:formulaRef>
                          <c15:sqref>'Sheet 1'!$BO$54:$DE$54</c15:sqref>
                        </c15:formulaRef>
                      </c:ext>
                    </c:extLst>
                    <c:numCache>
                      <c:formatCode>0</c:formatCode>
                      <c:ptCount val="43"/>
                      <c:pt idx="0">
                        <c:v>102.72260273972604</c:v>
                      </c:pt>
                      <c:pt idx="1">
                        <c:v>103.97260273972604</c:v>
                      </c:pt>
                      <c:pt idx="2">
                        <c:v>105.48801369863013</c:v>
                      </c:pt>
                      <c:pt idx="3">
                        <c:v>107.09760273972604</c:v>
                      </c:pt>
                      <c:pt idx="4">
                        <c:v>108.63013698630138</c:v>
                      </c:pt>
                      <c:pt idx="5">
                        <c:v>111.10445205479454</c:v>
                      </c:pt>
                      <c:pt idx="6">
                        <c:v>114.64041095890411</c:v>
                      </c:pt>
                      <c:pt idx="7">
                        <c:v>118.30479452054796</c:v>
                      </c:pt>
                      <c:pt idx="8">
                        <c:v>123.69006849315069</c:v>
                      </c:pt>
                      <c:pt idx="9">
                        <c:v>126.4041095890411</c:v>
                      </c:pt>
                      <c:pt idx="10">
                        <c:v>126.70376712328768</c:v>
                      </c:pt>
                      <c:pt idx="11">
                        <c:v>126.84931506849315</c:v>
                      </c:pt>
                      <c:pt idx="12">
                        <c:v>128.39041095890411</c:v>
                      </c:pt>
                      <c:pt idx="13">
                        <c:v>131.01883561643837</c:v>
                      </c:pt>
                      <c:pt idx="14">
                        <c:v>134.40924657534248</c:v>
                      </c:pt>
                      <c:pt idx="15">
                        <c:v>136.84075342465755</c:v>
                      </c:pt>
                      <c:pt idx="16">
                        <c:v>137.91095890410961</c:v>
                      </c:pt>
                      <c:pt idx="17">
                        <c:v>140.01712328767121</c:v>
                      </c:pt>
                      <c:pt idx="18">
                        <c:v>143.28767123287673</c:v>
                      </c:pt>
                      <c:pt idx="19">
                        <c:v>144.60616438356163</c:v>
                      </c:pt>
                      <c:pt idx="20">
                        <c:v>144.83732876712327</c:v>
                      </c:pt>
                      <c:pt idx="21">
                        <c:v>145.41952054794521</c:v>
                      </c:pt>
                      <c:pt idx="22">
                        <c:v>144.40068493150685</c:v>
                      </c:pt>
                      <c:pt idx="23">
                        <c:v>144.32363013698631</c:v>
                      </c:pt>
                      <c:pt idx="24">
                        <c:v>144.43493150684932</c:v>
                      </c:pt>
                      <c:pt idx="25">
                        <c:v>145.26541095890411</c:v>
                      </c:pt>
                      <c:pt idx="26">
                        <c:v>144.58047945205482</c:v>
                      </c:pt>
                      <c:pt idx="27">
                        <c:v>144.39212328767124</c:v>
                      </c:pt>
                      <c:pt idx="28">
                        <c:v>145.50513698630135</c:v>
                      </c:pt>
                      <c:pt idx="29">
                        <c:v>146.83219178082192</c:v>
                      </c:pt>
                      <c:pt idx="30">
                        <c:v>147.79965753424656</c:v>
                      </c:pt>
                      <c:pt idx="31">
                        <c:v>147.5</c:v>
                      </c:pt>
                      <c:pt idx="32">
                        <c:v>147.39726027397259</c:v>
                      </c:pt>
                      <c:pt idx="33">
                        <c:v>146.97773972602738</c:v>
                      </c:pt>
                      <c:pt idx="34">
                        <c:v>146.19863013698631</c:v>
                      </c:pt>
                      <c:pt idx="35">
                        <c:v>146.27568493150685</c:v>
                      </c:pt>
                      <c:pt idx="36">
                        <c:v>147.68835616438355</c:v>
                      </c:pt>
                      <c:pt idx="37">
                        <c:v>148.4417808219178</c:v>
                      </c:pt>
                      <c:pt idx="38">
                        <c:v>148.63869863013701</c:v>
                      </c:pt>
                      <c:pt idx="39">
                        <c:v>150.46232876712332</c:v>
                      </c:pt>
                      <c:pt idx="40">
                        <c:v>149.35787671232876</c:v>
                      </c:pt>
                      <c:pt idx="41">
                        <c:v>153.125</c:v>
                      </c:pt>
                      <c:pt idx="42">
                        <c:v>154.03253424657535</c:v>
                      </c:pt>
                    </c:numCache>
                  </c:numRef>
                </c:val>
                <c:smooth val="0"/>
                <c:extLst xmlns:c15="http://schemas.microsoft.com/office/drawing/2012/chart">
                  <c:ext xmlns:c16="http://schemas.microsoft.com/office/drawing/2014/chart" uri="{C3380CC4-5D6E-409C-BE32-E72D297353CC}">
                    <c16:uniqueId val="{00000008-A9DA-4C67-8C43-2AF5F89BC400}"/>
                  </c:ext>
                </c:extLst>
              </c15:ser>
            </c15:filteredLineSeries>
            <c15:filteredLineSeries>
              <c15:ser>
                <c:idx val="4"/>
                <c:order val="4"/>
                <c:tx>
                  <c:strRef>
                    <c:extLst xmlns:c15="http://schemas.microsoft.com/office/drawing/2012/chart">
                      <c:ext xmlns:c15="http://schemas.microsoft.com/office/drawing/2012/chart" uri="{02D57815-91ED-43cb-92C2-25804820EDAC}">
                        <c15:formulaRef>
                          <c15:sqref>'Sheet 1'!$BG$55</c15:sqref>
                        </c15:formulaRef>
                      </c:ext>
                    </c:extLst>
                    <c:strCache>
                      <c:ptCount val="1"/>
                      <c:pt idx="0">
                        <c:v>Czechia</c:v>
                      </c:pt>
                    </c:strCache>
                  </c:strRef>
                </c:tx>
                <c:spPr>
                  <a:ln w="28575" cap="rnd">
                    <a:solidFill>
                      <a:schemeClr val="accent5"/>
                    </a:solidFill>
                    <a:round/>
                  </a:ln>
                  <a:effectLst/>
                </c:spPr>
                <c:marker>
                  <c:symbol val="none"/>
                </c:marker>
                <c:cat>
                  <c:strRef>
                    <c:extLst xmlns:c15="http://schemas.microsoft.com/office/drawing/2012/chart">
                      <c:ext xmlns:c15="http://schemas.microsoft.com/office/drawing/2012/chart" uri="{02D57815-91ED-43cb-92C2-25804820EDAC}">
                        <c15:formulaRef>
                          <c15:sqref>'Sheet 1'!$BO$50:$DE$50</c15:sqref>
                        </c15:formulaRef>
                      </c:ext>
                    </c:extLst>
                    <c:strCache>
                      <c:ptCount val="43"/>
                      <c:pt idx="0">
                        <c:v>2021-08</c:v>
                      </c:pt>
                      <c:pt idx="1">
                        <c:v>2021-09</c:v>
                      </c:pt>
                      <c:pt idx="2">
                        <c:v>2021-10</c:v>
                      </c:pt>
                      <c:pt idx="3">
                        <c:v>2021-11</c:v>
                      </c:pt>
                      <c:pt idx="4">
                        <c:v>2021-12</c:v>
                      </c:pt>
                      <c:pt idx="5">
                        <c:v>2022-01</c:v>
                      </c:pt>
                      <c:pt idx="6">
                        <c:v>2022-02</c:v>
                      </c:pt>
                      <c:pt idx="7">
                        <c:v>2022-03</c:v>
                      </c:pt>
                      <c:pt idx="8">
                        <c:v>2022-04</c:v>
                      </c:pt>
                      <c:pt idx="9">
                        <c:v>2022-05</c:v>
                      </c:pt>
                      <c:pt idx="10">
                        <c:v>2022-06</c:v>
                      </c:pt>
                      <c:pt idx="11">
                        <c:v>2022-07</c:v>
                      </c:pt>
                      <c:pt idx="12">
                        <c:v>2022-08</c:v>
                      </c:pt>
                      <c:pt idx="13">
                        <c:v>2022-09</c:v>
                      </c:pt>
                      <c:pt idx="14">
                        <c:v>2022-10</c:v>
                      </c:pt>
                      <c:pt idx="15">
                        <c:v>2022-11</c:v>
                      </c:pt>
                      <c:pt idx="16">
                        <c:v>2022-12</c:v>
                      </c:pt>
                      <c:pt idx="17">
                        <c:v>2023-01</c:v>
                      </c:pt>
                      <c:pt idx="18">
                        <c:v>2023-02</c:v>
                      </c:pt>
                      <c:pt idx="19">
                        <c:v>2023-03</c:v>
                      </c:pt>
                      <c:pt idx="20">
                        <c:v>2023-04</c:v>
                      </c:pt>
                      <c:pt idx="21">
                        <c:v>2023-05</c:v>
                      </c:pt>
                      <c:pt idx="22">
                        <c:v>2023-06</c:v>
                      </c:pt>
                      <c:pt idx="23">
                        <c:v>2023-07</c:v>
                      </c:pt>
                      <c:pt idx="24">
                        <c:v>2023-08</c:v>
                      </c:pt>
                      <c:pt idx="25">
                        <c:v>2023-09</c:v>
                      </c:pt>
                      <c:pt idx="26">
                        <c:v>2023-10</c:v>
                      </c:pt>
                      <c:pt idx="27">
                        <c:v>2023-11</c:v>
                      </c:pt>
                      <c:pt idx="28">
                        <c:v>2023-12</c:v>
                      </c:pt>
                      <c:pt idx="29">
                        <c:v>2024-01</c:v>
                      </c:pt>
                      <c:pt idx="30">
                        <c:v>2024-02</c:v>
                      </c:pt>
                      <c:pt idx="31">
                        <c:v>2024-03</c:v>
                      </c:pt>
                      <c:pt idx="32">
                        <c:v>2024-04</c:v>
                      </c:pt>
                      <c:pt idx="33">
                        <c:v>2024-05</c:v>
                      </c:pt>
                      <c:pt idx="34">
                        <c:v>2024-06</c:v>
                      </c:pt>
                      <c:pt idx="35">
                        <c:v>2024-07</c:v>
                      </c:pt>
                      <c:pt idx="36">
                        <c:v>2024-08</c:v>
                      </c:pt>
                      <c:pt idx="37">
                        <c:v>2024-09</c:v>
                      </c:pt>
                      <c:pt idx="38">
                        <c:v>2024-10</c:v>
                      </c:pt>
                      <c:pt idx="39">
                        <c:v>2024-11</c:v>
                      </c:pt>
                      <c:pt idx="40">
                        <c:v>2024-12</c:v>
                      </c:pt>
                      <c:pt idx="41">
                        <c:v>2025-01</c:v>
                      </c:pt>
                      <c:pt idx="42">
                        <c:v>2025-02</c:v>
                      </c:pt>
                    </c:strCache>
                  </c:strRef>
                </c:cat>
                <c:val>
                  <c:numRef>
                    <c:extLst xmlns:c15="http://schemas.microsoft.com/office/drawing/2012/chart">
                      <c:ext xmlns:c15="http://schemas.microsoft.com/office/drawing/2012/chart" uri="{02D57815-91ED-43cb-92C2-25804820EDAC}">
                        <c15:formulaRef>
                          <c15:sqref>'Sheet 1'!$BO$55:$DE$55</c15:sqref>
                        </c15:formulaRef>
                      </c:ext>
                    </c:extLst>
                    <c:numCache>
                      <c:formatCode>0</c:formatCode>
                      <c:ptCount val="43"/>
                      <c:pt idx="0">
                        <c:v>100.60763888888889</c:v>
                      </c:pt>
                      <c:pt idx="1">
                        <c:v>99.479166666666657</c:v>
                      </c:pt>
                      <c:pt idx="2">
                        <c:v>99.21875</c:v>
                      </c:pt>
                      <c:pt idx="3">
                        <c:v>100.43402777777777</c:v>
                      </c:pt>
                      <c:pt idx="4">
                        <c:v>101.30208333333333</c:v>
                      </c:pt>
                      <c:pt idx="5">
                        <c:v>105.55555555555556</c:v>
                      </c:pt>
                      <c:pt idx="6">
                        <c:v>107.03125</c:v>
                      </c:pt>
                      <c:pt idx="7">
                        <c:v>107.8125</c:v>
                      </c:pt>
                      <c:pt idx="8">
                        <c:v>112.06597222222221</c:v>
                      </c:pt>
                      <c:pt idx="9">
                        <c:v>116.14583333333334</c:v>
                      </c:pt>
                      <c:pt idx="10">
                        <c:v>119.01041666666666</c:v>
                      </c:pt>
                      <c:pt idx="11">
                        <c:v>120.65972222222221</c:v>
                      </c:pt>
                      <c:pt idx="12">
                        <c:v>121.2673611111111</c:v>
                      </c:pt>
                      <c:pt idx="13">
                        <c:v>121.44097222222223</c:v>
                      </c:pt>
                      <c:pt idx="14">
                        <c:v>125.69444444444444</c:v>
                      </c:pt>
                      <c:pt idx="15">
                        <c:v>128.125</c:v>
                      </c:pt>
                      <c:pt idx="16">
                        <c:v>128.81944444444443</c:v>
                      </c:pt>
                      <c:pt idx="17">
                        <c:v>133.24652777777777</c:v>
                      </c:pt>
                      <c:pt idx="18">
                        <c:v>134.0277777777778</c:v>
                      </c:pt>
                      <c:pt idx="19">
                        <c:v>134.375</c:v>
                      </c:pt>
                      <c:pt idx="20">
                        <c:v>132.29166666666669</c:v>
                      </c:pt>
                      <c:pt idx="21">
                        <c:v>133.50694444444443</c:v>
                      </c:pt>
                      <c:pt idx="22">
                        <c:v>133.24652777777777</c:v>
                      </c:pt>
                      <c:pt idx="23">
                        <c:v>132.20486111111111</c:v>
                      </c:pt>
                      <c:pt idx="24">
                        <c:v>130.8159722222222</c:v>
                      </c:pt>
                      <c:pt idx="25">
                        <c:v>128.38541666666669</c:v>
                      </c:pt>
                      <c:pt idx="26">
                        <c:v>129.86111111111109</c:v>
                      </c:pt>
                      <c:pt idx="27">
                        <c:v>129.16666666666669</c:v>
                      </c:pt>
                      <c:pt idx="28">
                        <c:v>127.34374999999997</c:v>
                      </c:pt>
                      <c:pt idx="29">
                        <c:v>126.82291666666666</c:v>
                      </c:pt>
                      <c:pt idx="30">
                        <c:v>126.64930555555556</c:v>
                      </c:pt>
                      <c:pt idx="31">
                        <c:v>125.52083333333333</c:v>
                      </c:pt>
                      <c:pt idx="32">
                        <c:v>127.60416666666667</c:v>
                      </c:pt>
                      <c:pt idx="33">
                        <c:v>127.43055555555556</c:v>
                      </c:pt>
                      <c:pt idx="34">
                        <c:v>126.82291666666666</c:v>
                      </c:pt>
                      <c:pt idx="35">
                        <c:v>127.17013888888889</c:v>
                      </c:pt>
                      <c:pt idx="36">
                        <c:v>127.77777777777777</c:v>
                      </c:pt>
                      <c:pt idx="37">
                        <c:v>128.73263888888891</c:v>
                      </c:pt>
                      <c:pt idx="38">
                        <c:v>129.16666666666669</c:v>
                      </c:pt>
                      <c:pt idx="39">
                        <c:v>129.77430555555557</c:v>
                      </c:pt>
                      <c:pt idx="40">
                        <c:v>128.90625</c:v>
                      </c:pt>
                      <c:pt idx="41">
                        <c:v>132.89930555555557</c:v>
                      </c:pt>
                      <c:pt idx="42">
                        <c:v>132.11805555555554</c:v>
                      </c:pt>
                    </c:numCache>
                  </c:numRef>
                </c:val>
                <c:smooth val="0"/>
                <c:extLst xmlns:c15="http://schemas.microsoft.com/office/drawing/2012/chart">
                  <c:ext xmlns:c16="http://schemas.microsoft.com/office/drawing/2014/chart" uri="{C3380CC4-5D6E-409C-BE32-E72D297353CC}">
                    <c16:uniqueId val="{00000009-A9DA-4C67-8C43-2AF5F89BC400}"/>
                  </c:ext>
                </c:extLst>
              </c15:ser>
            </c15:filteredLineSeries>
            <c15:filteredLineSeries>
              <c15:ser>
                <c:idx val="7"/>
                <c:order val="7"/>
                <c:tx>
                  <c:strRef>
                    <c:extLst xmlns:c15="http://schemas.microsoft.com/office/drawing/2012/chart">
                      <c:ext xmlns:c15="http://schemas.microsoft.com/office/drawing/2012/chart" uri="{02D57815-91ED-43cb-92C2-25804820EDAC}">
                        <c15:formulaRef>
                          <c15:sqref>'Sheet 1'!$BG$58</c15:sqref>
                        </c15:formulaRef>
                      </c:ext>
                    </c:extLst>
                    <c:strCache>
                      <c:ptCount val="1"/>
                      <c:pt idx="0">
                        <c:v>Estonia</c:v>
                      </c:pt>
                    </c:strCache>
                  </c:strRef>
                </c:tx>
                <c:spPr>
                  <a:ln w="28575" cap="rnd">
                    <a:solidFill>
                      <a:schemeClr val="accent2">
                        <a:lumMod val="60000"/>
                      </a:schemeClr>
                    </a:solidFill>
                    <a:round/>
                  </a:ln>
                  <a:effectLst/>
                </c:spPr>
                <c:marker>
                  <c:symbol val="none"/>
                </c:marker>
                <c:cat>
                  <c:strRef>
                    <c:extLst xmlns:c15="http://schemas.microsoft.com/office/drawing/2012/chart">
                      <c:ext xmlns:c15="http://schemas.microsoft.com/office/drawing/2012/chart" uri="{02D57815-91ED-43cb-92C2-25804820EDAC}">
                        <c15:formulaRef>
                          <c15:sqref>'Sheet 1'!$BO$50:$DE$50</c15:sqref>
                        </c15:formulaRef>
                      </c:ext>
                    </c:extLst>
                    <c:strCache>
                      <c:ptCount val="43"/>
                      <c:pt idx="0">
                        <c:v>2021-08</c:v>
                      </c:pt>
                      <c:pt idx="1">
                        <c:v>2021-09</c:v>
                      </c:pt>
                      <c:pt idx="2">
                        <c:v>2021-10</c:v>
                      </c:pt>
                      <c:pt idx="3">
                        <c:v>2021-11</c:v>
                      </c:pt>
                      <c:pt idx="4">
                        <c:v>2021-12</c:v>
                      </c:pt>
                      <c:pt idx="5">
                        <c:v>2022-01</c:v>
                      </c:pt>
                      <c:pt idx="6">
                        <c:v>2022-02</c:v>
                      </c:pt>
                      <c:pt idx="7">
                        <c:v>2022-03</c:v>
                      </c:pt>
                      <c:pt idx="8">
                        <c:v>2022-04</c:v>
                      </c:pt>
                      <c:pt idx="9">
                        <c:v>2022-05</c:v>
                      </c:pt>
                      <c:pt idx="10">
                        <c:v>2022-06</c:v>
                      </c:pt>
                      <c:pt idx="11">
                        <c:v>2022-07</c:v>
                      </c:pt>
                      <c:pt idx="12">
                        <c:v>2022-08</c:v>
                      </c:pt>
                      <c:pt idx="13">
                        <c:v>2022-09</c:v>
                      </c:pt>
                      <c:pt idx="14">
                        <c:v>2022-10</c:v>
                      </c:pt>
                      <c:pt idx="15">
                        <c:v>2022-11</c:v>
                      </c:pt>
                      <c:pt idx="16">
                        <c:v>2022-12</c:v>
                      </c:pt>
                      <c:pt idx="17">
                        <c:v>2023-01</c:v>
                      </c:pt>
                      <c:pt idx="18">
                        <c:v>2023-02</c:v>
                      </c:pt>
                      <c:pt idx="19">
                        <c:v>2023-03</c:v>
                      </c:pt>
                      <c:pt idx="20">
                        <c:v>2023-04</c:v>
                      </c:pt>
                      <c:pt idx="21">
                        <c:v>2023-05</c:v>
                      </c:pt>
                      <c:pt idx="22">
                        <c:v>2023-06</c:v>
                      </c:pt>
                      <c:pt idx="23">
                        <c:v>2023-07</c:v>
                      </c:pt>
                      <c:pt idx="24">
                        <c:v>2023-08</c:v>
                      </c:pt>
                      <c:pt idx="25">
                        <c:v>2023-09</c:v>
                      </c:pt>
                      <c:pt idx="26">
                        <c:v>2023-10</c:v>
                      </c:pt>
                      <c:pt idx="27">
                        <c:v>2023-11</c:v>
                      </c:pt>
                      <c:pt idx="28">
                        <c:v>2023-12</c:v>
                      </c:pt>
                      <c:pt idx="29">
                        <c:v>2024-01</c:v>
                      </c:pt>
                      <c:pt idx="30">
                        <c:v>2024-02</c:v>
                      </c:pt>
                      <c:pt idx="31">
                        <c:v>2024-03</c:v>
                      </c:pt>
                      <c:pt idx="32">
                        <c:v>2024-04</c:v>
                      </c:pt>
                      <c:pt idx="33">
                        <c:v>2024-05</c:v>
                      </c:pt>
                      <c:pt idx="34">
                        <c:v>2024-06</c:v>
                      </c:pt>
                      <c:pt idx="35">
                        <c:v>2024-07</c:v>
                      </c:pt>
                      <c:pt idx="36">
                        <c:v>2024-08</c:v>
                      </c:pt>
                      <c:pt idx="37">
                        <c:v>2024-09</c:v>
                      </c:pt>
                      <c:pt idx="38">
                        <c:v>2024-10</c:v>
                      </c:pt>
                      <c:pt idx="39">
                        <c:v>2024-11</c:v>
                      </c:pt>
                      <c:pt idx="40">
                        <c:v>2024-12</c:v>
                      </c:pt>
                      <c:pt idx="41">
                        <c:v>2025-01</c:v>
                      </c:pt>
                      <c:pt idx="42">
                        <c:v>2025-02</c:v>
                      </c:pt>
                    </c:strCache>
                  </c:strRef>
                </c:cat>
                <c:val>
                  <c:numRef>
                    <c:extLst xmlns:c15="http://schemas.microsoft.com/office/drawing/2012/chart">
                      <c:ext xmlns:c15="http://schemas.microsoft.com/office/drawing/2012/chart" uri="{02D57815-91ED-43cb-92C2-25804820EDAC}">
                        <c15:formulaRef>
                          <c15:sqref>'Sheet 1'!$BO$58:$DE$58</c15:sqref>
                        </c15:formulaRef>
                      </c:ext>
                    </c:extLst>
                    <c:numCache>
                      <c:formatCode>0</c:formatCode>
                      <c:ptCount val="43"/>
                      <c:pt idx="0">
                        <c:v>105.15327695560255</c:v>
                      </c:pt>
                      <c:pt idx="1">
                        <c:v>104.37808315715293</c:v>
                      </c:pt>
                      <c:pt idx="2">
                        <c:v>103.23291050035238</c:v>
                      </c:pt>
                      <c:pt idx="3">
                        <c:v>105.22374911909796</c:v>
                      </c:pt>
                      <c:pt idx="4">
                        <c:v>105.2677942212826</c:v>
                      </c:pt>
                      <c:pt idx="5">
                        <c:v>109.24066243833686</c:v>
                      </c:pt>
                      <c:pt idx="6">
                        <c:v>113.5570824524313</c:v>
                      </c:pt>
                      <c:pt idx="7">
                        <c:v>115.08104298801973</c:v>
                      </c:pt>
                      <c:pt idx="8">
                        <c:v>117.87350246652572</c:v>
                      </c:pt>
                      <c:pt idx="9">
                        <c:v>120.79809725158563</c:v>
                      </c:pt>
                      <c:pt idx="10">
                        <c:v>123.32628611698379</c:v>
                      </c:pt>
                      <c:pt idx="11">
                        <c:v>125.6694855532065</c:v>
                      </c:pt>
                      <c:pt idx="12">
                        <c:v>128.59408033826639</c:v>
                      </c:pt>
                      <c:pt idx="13">
                        <c:v>130.94608879492603</c:v>
                      </c:pt>
                      <c:pt idx="14">
                        <c:v>133.11310782241017</c:v>
                      </c:pt>
                      <c:pt idx="15">
                        <c:v>135.97603946441157</c:v>
                      </c:pt>
                      <c:pt idx="16">
                        <c:v>137.66737138830163</c:v>
                      </c:pt>
                      <c:pt idx="17">
                        <c:v>140.415785764623</c:v>
                      </c:pt>
                      <c:pt idx="18">
                        <c:v>142.80303030303031</c:v>
                      </c:pt>
                      <c:pt idx="19">
                        <c:v>144.43269908386191</c:v>
                      </c:pt>
                      <c:pt idx="20">
                        <c:v>145.88618745595491</c:v>
                      </c:pt>
                      <c:pt idx="21">
                        <c:v>145.63953488372096</c:v>
                      </c:pt>
                      <c:pt idx="22">
                        <c:v>147.7536997885835</c:v>
                      </c:pt>
                      <c:pt idx="23">
                        <c:v>146.57329105003524</c:v>
                      </c:pt>
                      <c:pt idx="24">
                        <c:v>145.41050035236083</c:v>
                      </c:pt>
                      <c:pt idx="25">
                        <c:v>143.61346018322763</c:v>
                      </c:pt>
                      <c:pt idx="26">
                        <c:v>142.05426356589146</c:v>
                      </c:pt>
                      <c:pt idx="27">
                        <c:v>143.78083157152926</c:v>
                      </c:pt>
                      <c:pt idx="28">
                        <c:v>143.26109936575054</c:v>
                      </c:pt>
                      <c:pt idx="29">
                        <c:v>147.06659619450318</c:v>
                      </c:pt>
                      <c:pt idx="30">
                        <c:v>146.76708949964765</c:v>
                      </c:pt>
                      <c:pt idx="31">
                        <c:v>145.15503875968994</c:v>
                      </c:pt>
                      <c:pt idx="32">
                        <c:v>146.99612403100778</c:v>
                      </c:pt>
                      <c:pt idx="33">
                        <c:v>148.30866807610997</c:v>
                      </c:pt>
                      <c:pt idx="34">
                        <c:v>148.39675828047922</c:v>
                      </c:pt>
                      <c:pt idx="35">
                        <c:v>146.9168428470754</c:v>
                      </c:pt>
                      <c:pt idx="36">
                        <c:v>147.66560958421425</c:v>
                      </c:pt>
                      <c:pt idx="37">
                        <c:v>148.31747709654687</c:v>
                      </c:pt>
                      <c:pt idx="38">
                        <c:v>148.31747709654687</c:v>
                      </c:pt>
                      <c:pt idx="39">
                        <c:v>149.59478505990134</c:v>
                      </c:pt>
                      <c:pt idx="40">
                        <c:v>148.81959126145173</c:v>
                      </c:pt>
                      <c:pt idx="41">
                        <c:v>151.05708245243127</c:v>
                      </c:pt>
                      <c:pt idx="42">
                        <c:v>152.16701902748414</c:v>
                      </c:pt>
                    </c:numCache>
                  </c:numRef>
                </c:val>
                <c:smooth val="0"/>
                <c:extLst xmlns:c15="http://schemas.microsoft.com/office/drawing/2012/chart">
                  <c:ext xmlns:c16="http://schemas.microsoft.com/office/drawing/2014/chart" uri="{C3380CC4-5D6E-409C-BE32-E72D297353CC}">
                    <c16:uniqueId val="{0000000A-A9DA-4C67-8C43-2AF5F89BC400}"/>
                  </c:ext>
                </c:extLst>
              </c15:ser>
            </c15:filteredLineSeries>
            <c15:filteredLineSeries>
              <c15:ser>
                <c:idx val="8"/>
                <c:order val="8"/>
                <c:tx>
                  <c:strRef>
                    <c:extLst xmlns:c15="http://schemas.microsoft.com/office/drawing/2012/chart">
                      <c:ext xmlns:c15="http://schemas.microsoft.com/office/drawing/2012/chart" uri="{02D57815-91ED-43cb-92C2-25804820EDAC}">
                        <c15:formulaRef>
                          <c15:sqref>'Sheet 1'!$BG$59</c15:sqref>
                        </c15:formulaRef>
                      </c:ext>
                    </c:extLst>
                    <c:strCache>
                      <c:ptCount val="1"/>
                      <c:pt idx="0">
                        <c:v>Ireland</c:v>
                      </c:pt>
                    </c:strCache>
                  </c:strRef>
                </c:tx>
                <c:spPr>
                  <a:ln w="28575" cap="rnd">
                    <a:solidFill>
                      <a:schemeClr val="accent3">
                        <a:lumMod val="60000"/>
                      </a:schemeClr>
                    </a:solidFill>
                    <a:round/>
                  </a:ln>
                  <a:effectLst/>
                </c:spPr>
                <c:marker>
                  <c:symbol val="none"/>
                </c:marker>
                <c:cat>
                  <c:strRef>
                    <c:extLst xmlns:c15="http://schemas.microsoft.com/office/drawing/2012/chart">
                      <c:ext xmlns:c15="http://schemas.microsoft.com/office/drawing/2012/chart" uri="{02D57815-91ED-43cb-92C2-25804820EDAC}">
                        <c15:formulaRef>
                          <c15:sqref>'Sheet 1'!$BO$50:$DE$50</c15:sqref>
                        </c15:formulaRef>
                      </c:ext>
                    </c:extLst>
                    <c:strCache>
                      <c:ptCount val="43"/>
                      <c:pt idx="0">
                        <c:v>2021-08</c:v>
                      </c:pt>
                      <c:pt idx="1">
                        <c:v>2021-09</c:v>
                      </c:pt>
                      <c:pt idx="2">
                        <c:v>2021-10</c:v>
                      </c:pt>
                      <c:pt idx="3">
                        <c:v>2021-11</c:v>
                      </c:pt>
                      <c:pt idx="4">
                        <c:v>2021-12</c:v>
                      </c:pt>
                      <c:pt idx="5">
                        <c:v>2022-01</c:v>
                      </c:pt>
                      <c:pt idx="6">
                        <c:v>2022-02</c:v>
                      </c:pt>
                      <c:pt idx="7">
                        <c:v>2022-03</c:v>
                      </c:pt>
                      <c:pt idx="8">
                        <c:v>2022-04</c:v>
                      </c:pt>
                      <c:pt idx="9">
                        <c:v>2022-05</c:v>
                      </c:pt>
                      <c:pt idx="10">
                        <c:v>2022-06</c:v>
                      </c:pt>
                      <c:pt idx="11">
                        <c:v>2022-07</c:v>
                      </c:pt>
                      <c:pt idx="12">
                        <c:v>2022-08</c:v>
                      </c:pt>
                      <c:pt idx="13">
                        <c:v>2022-09</c:v>
                      </c:pt>
                      <c:pt idx="14">
                        <c:v>2022-10</c:v>
                      </c:pt>
                      <c:pt idx="15">
                        <c:v>2022-11</c:v>
                      </c:pt>
                      <c:pt idx="16">
                        <c:v>2022-12</c:v>
                      </c:pt>
                      <c:pt idx="17">
                        <c:v>2023-01</c:v>
                      </c:pt>
                      <c:pt idx="18">
                        <c:v>2023-02</c:v>
                      </c:pt>
                      <c:pt idx="19">
                        <c:v>2023-03</c:v>
                      </c:pt>
                      <c:pt idx="20">
                        <c:v>2023-04</c:v>
                      </c:pt>
                      <c:pt idx="21">
                        <c:v>2023-05</c:v>
                      </c:pt>
                      <c:pt idx="22">
                        <c:v>2023-06</c:v>
                      </c:pt>
                      <c:pt idx="23">
                        <c:v>2023-07</c:v>
                      </c:pt>
                      <c:pt idx="24">
                        <c:v>2023-08</c:v>
                      </c:pt>
                      <c:pt idx="25">
                        <c:v>2023-09</c:v>
                      </c:pt>
                      <c:pt idx="26">
                        <c:v>2023-10</c:v>
                      </c:pt>
                      <c:pt idx="27">
                        <c:v>2023-11</c:v>
                      </c:pt>
                      <c:pt idx="28">
                        <c:v>2023-12</c:v>
                      </c:pt>
                      <c:pt idx="29">
                        <c:v>2024-01</c:v>
                      </c:pt>
                      <c:pt idx="30">
                        <c:v>2024-02</c:v>
                      </c:pt>
                      <c:pt idx="31">
                        <c:v>2024-03</c:v>
                      </c:pt>
                      <c:pt idx="32">
                        <c:v>2024-04</c:v>
                      </c:pt>
                      <c:pt idx="33">
                        <c:v>2024-05</c:v>
                      </c:pt>
                      <c:pt idx="34">
                        <c:v>2024-06</c:v>
                      </c:pt>
                      <c:pt idx="35">
                        <c:v>2024-07</c:v>
                      </c:pt>
                      <c:pt idx="36">
                        <c:v>2024-08</c:v>
                      </c:pt>
                      <c:pt idx="37">
                        <c:v>2024-09</c:v>
                      </c:pt>
                      <c:pt idx="38">
                        <c:v>2024-10</c:v>
                      </c:pt>
                      <c:pt idx="39">
                        <c:v>2024-11</c:v>
                      </c:pt>
                      <c:pt idx="40">
                        <c:v>2024-12</c:v>
                      </c:pt>
                      <c:pt idx="41">
                        <c:v>2025-01</c:v>
                      </c:pt>
                      <c:pt idx="42">
                        <c:v>2025-02</c:v>
                      </c:pt>
                    </c:strCache>
                  </c:strRef>
                </c:cat>
                <c:val>
                  <c:numRef>
                    <c:extLst xmlns:c15="http://schemas.microsoft.com/office/drawing/2012/chart">
                      <c:ext xmlns:c15="http://schemas.microsoft.com/office/drawing/2012/chart" uri="{02D57815-91ED-43cb-92C2-25804820EDAC}">
                        <c15:formulaRef>
                          <c15:sqref>'Sheet 1'!$BO$59:$DE$59</c15:sqref>
                        </c15:formulaRef>
                      </c:ext>
                    </c:extLst>
                    <c:numCache>
                      <c:formatCode>0</c:formatCode>
                      <c:ptCount val="43"/>
                      <c:pt idx="0">
                        <c:v>101.20218579234972</c:v>
                      </c:pt>
                      <c:pt idx="1">
                        <c:v>100.98360655737706</c:v>
                      </c:pt>
                      <c:pt idx="2">
                        <c:v>101.31147540983608</c:v>
                      </c:pt>
                      <c:pt idx="3">
                        <c:v>101.4207650273224</c:v>
                      </c:pt>
                      <c:pt idx="4">
                        <c:v>102.07650273224044</c:v>
                      </c:pt>
                      <c:pt idx="5">
                        <c:v>101.9672131147541</c:v>
                      </c:pt>
                      <c:pt idx="6">
                        <c:v>102.84153005464481</c:v>
                      </c:pt>
                      <c:pt idx="7">
                        <c:v>103.82513661202186</c:v>
                      </c:pt>
                      <c:pt idx="8">
                        <c:v>104.69945355191257</c:v>
                      </c:pt>
                      <c:pt idx="9">
                        <c:v>105.57377049180327</c:v>
                      </c:pt>
                      <c:pt idx="10">
                        <c:v>107.97814207650273</c:v>
                      </c:pt>
                      <c:pt idx="11">
                        <c:v>109.72677595628414</c:v>
                      </c:pt>
                      <c:pt idx="12">
                        <c:v>110.60109289617486</c:v>
                      </c:pt>
                      <c:pt idx="13">
                        <c:v>111.25683060109289</c:v>
                      </c:pt>
                      <c:pt idx="14">
                        <c:v>112.34972677595627</c:v>
                      </c:pt>
                      <c:pt idx="15">
                        <c:v>113.22404371584697</c:v>
                      </c:pt>
                      <c:pt idx="16">
                        <c:v>114.42622950819671</c:v>
                      </c:pt>
                      <c:pt idx="17">
                        <c:v>115.19125683060109</c:v>
                      </c:pt>
                      <c:pt idx="18">
                        <c:v>116.50273224043714</c:v>
                      </c:pt>
                      <c:pt idx="19">
                        <c:v>117.59562841530054</c:v>
                      </c:pt>
                      <c:pt idx="20">
                        <c:v>118.36065573770492</c:v>
                      </c:pt>
                      <c:pt idx="21">
                        <c:v>118.68852459016392</c:v>
                      </c:pt>
                      <c:pt idx="22">
                        <c:v>118.9071038251366</c:v>
                      </c:pt>
                      <c:pt idx="23">
                        <c:v>119.12568306010928</c:v>
                      </c:pt>
                      <c:pt idx="24">
                        <c:v>119.12568306010928</c:v>
                      </c:pt>
                      <c:pt idx="25">
                        <c:v>119.67213114754098</c:v>
                      </c:pt>
                      <c:pt idx="26">
                        <c:v>119.89071038251366</c:v>
                      </c:pt>
                      <c:pt idx="27">
                        <c:v>120.32786885245901</c:v>
                      </c:pt>
                      <c:pt idx="28">
                        <c:v>120.32786885245901</c:v>
                      </c:pt>
                      <c:pt idx="29">
                        <c:v>120.10928961748635</c:v>
                      </c:pt>
                      <c:pt idx="30">
                        <c:v>120.76502732240438</c:v>
                      </c:pt>
                      <c:pt idx="31">
                        <c:v>120.65573770491804</c:v>
                      </c:pt>
                      <c:pt idx="32">
                        <c:v>121.4207650273224</c:v>
                      </c:pt>
                      <c:pt idx="33">
                        <c:v>121.4207650273224</c:v>
                      </c:pt>
                      <c:pt idx="34">
                        <c:v>121.4207650273224</c:v>
                      </c:pt>
                      <c:pt idx="35">
                        <c:v>121.4207650273224</c:v>
                      </c:pt>
                      <c:pt idx="36">
                        <c:v>121.4207650273224</c:v>
                      </c:pt>
                      <c:pt idx="37">
                        <c:v>121.63934426229508</c:v>
                      </c:pt>
                      <c:pt idx="38">
                        <c:v>122.07650273224044</c:v>
                      </c:pt>
                      <c:pt idx="39">
                        <c:v>122.51366120218579</c:v>
                      </c:pt>
                      <c:pt idx="40">
                        <c:v>122.62295081967214</c:v>
                      </c:pt>
                      <c:pt idx="41">
                        <c:v>122.95081967213115</c:v>
                      </c:pt>
                      <c:pt idx="42">
                        <c:v>123.49726775956285</c:v>
                      </c:pt>
                    </c:numCache>
                  </c:numRef>
                </c:val>
                <c:smooth val="0"/>
                <c:extLst xmlns:c15="http://schemas.microsoft.com/office/drawing/2012/chart">
                  <c:ext xmlns:c16="http://schemas.microsoft.com/office/drawing/2014/chart" uri="{C3380CC4-5D6E-409C-BE32-E72D297353CC}">
                    <c16:uniqueId val="{0000000B-A9DA-4C67-8C43-2AF5F89BC400}"/>
                  </c:ext>
                </c:extLst>
              </c15:ser>
            </c15:filteredLineSeries>
            <c15:filteredLineSeries>
              <c15:ser>
                <c:idx val="9"/>
                <c:order val="9"/>
                <c:tx>
                  <c:strRef>
                    <c:extLst xmlns:c15="http://schemas.microsoft.com/office/drawing/2012/chart">
                      <c:ext xmlns:c15="http://schemas.microsoft.com/office/drawing/2012/chart" uri="{02D57815-91ED-43cb-92C2-25804820EDAC}">
                        <c15:formulaRef>
                          <c15:sqref>'Sheet 1'!$BG$60</c15:sqref>
                        </c15:formulaRef>
                      </c:ext>
                    </c:extLst>
                    <c:strCache>
                      <c:ptCount val="1"/>
                      <c:pt idx="0">
                        <c:v>Greece</c:v>
                      </c:pt>
                    </c:strCache>
                  </c:strRef>
                </c:tx>
                <c:spPr>
                  <a:ln w="28575" cap="rnd">
                    <a:solidFill>
                      <a:schemeClr val="accent4">
                        <a:lumMod val="60000"/>
                      </a:schemeClr>
                    </a:solidFill>
                    <a:round/>
                  </a:ln>
                  <a:effectLst/>
                </c:spPr>
                <c:marker>
                  <c:symbol val="none"/>
                </c:marker>
                <c:cat>
                  <c:strRef>
                    <c:extLst xmlns:c15="http://schemas.microsoft.com/office/drawing/2012/chart">
                      <c:ext xmlns:c15="http://schemas.microsoft.com/office/drawing/2012/chart" uri="{02D57815-91ED-43cb-92C2-25804820EDAC}">
                        <c15:formulaRef>
                          <c15:sqref>'Sheet 1'!$BO$50:$DE$50</c15:sqref>
                        </c15:formulaRef>
                      </c:ext>
                    </c:extLst>
                    <c:strCache>
                      <c:ptCount val="43"/>
                      <c:pt idx="0">
                        <c:v>2021-08</c:v>
                      </c:pt>
                      <c:pt idx="1">
                        <c:v>2021-09</c:v>
                      </c:pt>
                      <c:pt idx="2">
                        <c:v>2021-10</c:v>
                      </c:pt>
                      <c:pt idx="3">
                        <c:v>2021-11</c:v>
                      </c:pt>
                      <c:pt idx="4">
                        <c:v>2021-12</c:v>
                      </c:pt>
                      <c:pt idx="5">
                        <c:v>2022-01</c:v>
                      </c:pt>
                      <c:pt idx="6">
                        <c:v>2022-02</c:v>
                      </c:pt>
                      <c:pt idx="7">
                        <c:v>2022-03</c:v>
                      </c:pt>
                      <c:pt idx="8">
                        <c:v>2022-04</c:v>
                      </c:pt>
                      <c:pt idx="9">
                        <c:v>2022-05</c:v>
                      </c:pt>
                      <c:pt idx="10">
                        <c:v>2022-06</c:v>
                      </c:pt>
                      <c:pt idx="11">
                        <c:v>2022-07</c:v>
                      </c:pt>
                      <c:pt idx="12">
                        <c:v>2022-08</c:v>
                      </c:pt>
                      <c:pt idx="13">
                        <c:v>2022-09</c:v>
                      </c:pt>
                      <c:pt idx="14">
                        <c:v>2022-10</c:v>
                      </c:pt>
                      <c:pt idx="15">
                        <c:v>2022-11</c:v>
                      </c:pt>
                      <c:pt idx="16">
                        <c:v>2022-12</c:v>
                      </c:pt>
                      <c:pt idx="17">
                        <c:v>2023-01</c:v>
                      </c:pt>
                      <c:pt idx="18">
                        <c:v>2023-02</c:v>
                      </c:pt>
                      <c:pt idx="19">
                        <c:v>2023-03</c:v>
                      </c:pt>
                      <c:pt idx="20">
                        <c:v>2023-04</c:v>
                      </c:pt>
                      <c:pt idx="21">
                        <c:v>2023-05</c:v>
                      </c:pt>
                      <c:pt idx="22">
                        <c:v>2023-06</c:v>
                      </c:pt>
                      <c:pt idx="23">
                        <c:v>2023-07</c:v>
                      </c:pt>
                      <c:pt idx="24">
                        <c:v>2023-08</c:v>
                      </c:pt>
                      <c:pt idx="25">
                        <c:v>2023-09</c:v>
                      </c:pt>
                      <c:pt idx="26">
                        <c:v>2023-10</c:v>
                      </c:pt>
                      <c:pt idx="27">
                        <c:v>2023-11</c:v>
                      </c:pt>
                      <c:pt idx="28">
                        <c:v>2023-12</c:v>
                      </c:pt>
                      <c:pt idx="29">
                        <c:v>2024-01</c:v>
                      </c:pt>
                      <c:pt idx="30">
                        <c:v>2024-02</c:v>
                      </c:pt>
                      <c:pt idx="31">
                        <c:v>2024-03</c:v>
                      </c:pt>
                      <c:pt idx="32">
                        <c:v>2024-04</c:v>
                      </c:pt>
                      <c:pt idx="33">
                        <c:v>2024-05</c:v>
                      </c:pt>
                      <c:pt idx="34">
                        <c:v>2024-06</c:v>
                      </c:pt>
                      <c:pt idx="35">
                        <c:v>2024-07</c:v>
                      </c:pt>
                      <c:pt idx="36">
                        <c:v>2024-08</c:v>
                      </c:pt>
                      <c:pt idx="37">
                        <c:v>2024-09</c:v>
                      </c:pt>
                      <c:pt idx="38">
                        <c:v>2024-10</c:v>
                      </c:pt>
                      <c:pt idx="39">
                        <c:v>2024-11</c:v>
                      </c:pt>
                      <c:pt idx="40">
                        <c:v>2024-12</c:v>
                      </c:pt>
                      <c:pt idx="41">
                        <c:v>2025-01</c:v>
                      </c:pt>
                      <c:pt idx="42">
                        <c:v>2025-02</c:v>
                      </c:pt>
                    </c:strCache>
                  </c:strRef>
                </c:cat>
                <c:val>
                  <c:numRef>
                    <c:extLst xmlns:c15="http://schemas.microsoft.com/office/drawing/2012/chart">
                      <c:ext xmlns:c15="http://schemas.microsoft.com/office/drawing/2012/chart" uri="{02D57815-91ED-43cb-92C2-25804820EDAC}">
                        <c15:formulaRef>
                          <c15:sqref>'Sheet 1'!$BO$60:$DE$60</c15:sqref>
                        </c15:formulaRef>
                      </c:ext>
                    </c:extLst>
                    <c:numCache>
                      <c:formatCode>0</c:formatCode>
                      <c:ptCount val="43"/>
                      <c:pt idx="0">
                        <c:v>102.67337476570977</c:v>
                      </c:pt>
                      <c:pt idx="1">
                        <c:v>104.12350794120549</c:v>
                      </c:pt>
                      <c:pt idx="2">
                        <c:v>103.75850843444807</c:v>
                      </c:pt>
                      <c:pt idx="3">
                        <c:v>104.72526388477851</c:v>
                      </c:pt>
                      <c:pt idx="4">
                        <c:v>104.38985893262304</c:v>
                      </c:pt>
                      <c:pt idx="5">
                        <c:v>105.51445200749727</c:v>
                      </c:pt>
                      <c:pt idx="6">
                        <c:v>107.82282726644962</c:v>
                      </c:pt>
                      <c:pt idx="7">
                        <c:v>108.57255598303246</c:v>
                      </c:pt>
                      <c:pt idx="8">
                        <c:v>111.28539015487817</c:v>
                      </c:pt>
                      <c:pt idx="9">
                        <c:v>113.40633323468481</c:v>
                      </c:pt>
                      <c:pt idx="10">
                        <c:v>116.03038374272468</c:v>
                      </c:pt>
                      <c:pt idx="11">
                        <c:v>114.84660155864654</c:v>
                      </c:pt>
                      <c:pt idx="12">
                        <c:v>116.26714017954029</c:v>
                      </c:pt>
                      <c:pt idx="13">
                        <c:v>117.74686790963796</c:v>
                      </c:pt>
                      <c:pt idx="14">
                        <c:v>119.43375752194929</c:v>
                      </c:pt>
                      <c:pt idx="15">
                        <c:v>120.67672881523133</c:v>
                      </c:pt>
                      <c:pt idx="16">
                        <c:v>120.70632336983327</c:v>
                      </c:pt>
                      <c:pt idx="17">
                        <c:v>121.97888921771727</c:v>
                      </c:pt>
                      <c:pt idx="18">
                        <c:v>123.72496793923251</c:v>
                      </c:pt>
                      <c:pt idx="19">
                        <c:v>123.9124001183782</c:v>
                      </c:pt>
                      <c:pt idx="20">
                        <c:v>123.75456249383447</c:v>
                      </c:pt>
                      <c:pt idx="21">
                        <c:v>126.2010456742626</c:v>
                      </c:pt>
                      <c:pt idx="22">
                        <c:v>130.64022886455561</c:v>
                      </c:pt>
                      <c:pt idx="23">
                        <c:v>129.73266252342901</c:v>
                      </c:pt>
                      <c:pt idx="24">
                        <c:v>128.78563677616651</c:v>
                      </c:pt>
                      <c:pt idx="25">
                        <c:v>129.0618526191181</c:v>
                      </c:pt>
                      <c:pt idx="26">
                        <c:v>131.72536253329389</c:v>
                      </c:pt>
                      <c:pt idx="27">
                        <c:v>131.28144421426458</c:v>
                      </c:pt>
                      <c:pt idx="28">
                        <c:v>131.46887639341028</c:v>
                      </c:pt>
                      <c:pt idx="29">
                        <c:v>132.05090263391537</c:v>
                      </c:pt>
                      <c:pt idx="30">
                        <c:v>131.73522738482782</c:v>
                      </c:pt>
                      <c:pt idx="31">
                        <c:v>130.60076945841962</c:v>
                      </c:pt>
                      <c:pt idx="32">
                        <c:v>130.26536450626418</c:v>
                      </c:pt>
                      <c:pt idx="33">
                        <c:v>129.38739271973955</c:v>
                      </c:pt>
                      <c:pt idx="34">
                        <c:v>131.94238926704151</c:v>
                      </c:pt>
                      <c:pt idx="35">
                        <c:v>131.31103876886655</c:v>
                      </c:pt>
                      <c:pt idx="36">
                        <c:v>131.63657886948801</c:v>
                      </c:pt>
                      <c:pt idx="37">
                        <c:v>133.18536056032355</c:v>
                      </c:pt>
                      <c:pt idx="38">
                        <c:v>132.98806352964388</c:v>
                      </c:pt>
                      <c:pt idx="39">
                        <c:v>131.63657886948801</c:v>
                      </c:pt>
                      <c:pt idx="40">
                        <c:v>130.5021209430798</c:v>
                      </c:pt>
                      <c:pt idx="41">
                        <c:v>131.41955213574036</c:v>
                      </c:pt>
                      <c:pt idx="42">
                        <c:v>131.51820065108021</c:v>
                      </c:pt>
                    </c:numCache>
                  </c:numRef>
                </c:val>
                <c:smooth val="0"/>
                <c:extLst xmlns:c15="http://schemas.microsoft.com/office/drawing/2012/chart">
                  <c:ext xmlns:c16="http://schemas.microsoft.com/office/drawing/2014/chart" uri="{C3380CC4-5D6E-409C-BE32-E72D297353CC}">
                    <c16:uniqueId val="{0000000C-A9DA-4C67-8C43-2AF5F89BC400}"/>
                  </c:ext>
                </c:extLst>
              </c15:ser>
            </c15:filteredLineSeries>
            <c15:filteredLineSeries>
              <c15:ser>
                <c:idx val="10"/>
                <c:order val="10"/>
                <c:tx>
                  <c:strRef>
                    <c:extLst xmlns:c15="http://schemas.microsoft.com/office/drawing/2012/chart">
                      <c:ext xmlns:c15="http://schemas.microsoft.com/office/drawing/2012/chart" uri="{02D57815-91ED-43cb-92C2-25804820EDAC}">
                        <c15:formulaRef>
                          <c15:sqref>'Sheet 1'!$BG$61</c15:sqref>
                        </c15:formulaRef>
                      </c:ext>
                    </c:extLst>
                    <c:strCache>
                      <c:ptCount val="1"/>
                      <c:pt idx="0">
                        <c:v>Spain</c:v>
                      </c:pt>
                    </c:strCache>
                  </c:strRef>
                </c:tx>
                <c:spPr>
                  <a:ln w="28575" cap="rnd">
                    <a:solidFill>
                      <a:schemeClr val="accent5">
                        <a:lumMod val="60000"/>
                      </a:schemeClr>
                    </a:solidFill>
                    <a:round/>
                  </a:ln>
                  <a:effectLst/>
                </c:spPr>
                <c:marker>
                  <c:symbol val="none"/>
                </c:marker>
                <c:cat>
                  <c:strRef>
                    <c:extLst xmlns:c15="http://schemas.microsoft.com/office/drawing/2012/chart">
                      <c:ext xmlns:c15="http://schemas.microsoft.com/office/drawing/2012/chart" uri="{02D57815-91ED-43cb-92C2-25804820EDAC}">
                        <c15:formulaRef>
                          <c15:sqref>'Sheet 1'!$BO$50:$DE$50</c15:sqref>
                        </c15:formulaRef>
                      </c:ext>
                    </c:extLst>
                    <c:strCache>
                      <c:ptCount val="43"/>
                      <c:pt idx="0">
                        <c:v>2021-08</c:v>
                      </c:pt>
                      <c:pt idx="1">
                        <c:v>2021-09</c:v>
                      </c:pt>
                      <c:pt idx="2">
                        <c:v>2021-10</c:v>
                      </c:pt>
                      <c:pt idx="3">
                        <c:v>2021-11</c:v>
                      </c:pt>
                      <c:pt idx="4">
                        <c:v>2021-12</c:v>
                      </c:pt>
                      <c:pt idx="5">
                        <c:v>2022-01</c:v>
                      </c:pt>
                      <c:pt idx="6">
                        <c:v>2022-02</c:v>
                      </c:pt>
                      <c:pt idx="7">
                        <c:v>2022-03</c:v>
                      </c:pt>
                      <c:pt idx="8">
                        <c:v>2022-04</c:v>
                      </c:pt>
                      <c:pt idx="9">
                        <c:v>2022-05</c:v>
                      </c:pt>
                      <c:pt idx="10">
                        <c:v>2022-06</c:v>
                      </c:pt>
                      <c:pt idx="11">
                        <c:v>2022-07</c:v>
                      </c:pt>
                      <c:pt idx="12">
                        <c:v>2022-08</c:v>
                      </c:pt>
                      <c:pt idx="13">
                        <c:v>2022-09</c:v>
                      </c:pt>
                      <c:pt idx="14">
                        <c:v>2022-10</c:v>
                      </c:pt>
                      <c:pt idx="15">
                        <c:v>2022-11</c:v>
                      </c:pt>
                      <c:pt idx="16">
                        <c:v>2022-12</c:v>
                      </c:pt>
                      <c:pt idx="17">
                        <c:v>2023-01</c:v>
                      </c:pt>
                      <c:pt idx="18">
                        <c:v>2023-02</c:v>
                      </c:pt>
                      <c:pt idx="19">
                        <c:v>2023-03</c:v>
                      </c:pt>
                      <c:pt idx="20">
                        <c:v>2023-04</c:v>
                      </c:pt>
                      <c:pt idx="21">
                        <c:v>2023-05</c:v>
                      </c:pt>
                      <c:pt idx="22">
                        <c:v>2023-06</c:v>
                      </c:pt>
                      <c:pt idx="23">
                        <c:v>2023-07</c:v>
                      </c:pt>
                      <c:pt idx="24">
                        <c:v>2023-08</c:v>
                      </c:pt>
                      <c:pt idx="25">
                        <c:v>2023-09</c:v>
                      </c:pt>
                      <c:pt idx="26">
                        <c:v>2023-10</c:v>
                      </c:pt>
                      <c:pt idx="27">
                        <c:v>2023-11</c:v>
                      </c:pt>
                      <c:pt idx="28">
                        <c:v>2023-12</c:v>
                      </c:pt>
                      <c:pt idx="29">
                        <c:v>2024-01</c:v>
                      </c:pt>
                      <c:pt idx="30">
                        <c:v>2024-02</c:v>
                      </c:pt>
                      <c:pt idx="31">
                        <c:v>2024-03</c:v>
                      </c:pt>
                      <c:pt idx="32">
                        <c:v>2024-04</c:v>
                      </c:pt>
                      <c:pt idx="33">
                        <c:v>2024-05</c:v>
                      </c:pt>
                      <c:pt idx="34">
                        <c:v>2024-06</c:v>
                      </c:pt>
                      <c:pt idx="35">
                        <c:v>2024-07</c:v>
                      </c:pt>
                      <c:pt idx="36">
                        <c:v>2024-08</c:v>
                      </c:pt>
                      <c:pt idx="37">
                        <c:v>2024-09</c:v>
                      </c:pt>
                      <c:pt idx="38">
                        <c:v>2024-10</c:v>
                      </c:pt>
                      <c:pt idx="39">
                        <c:v>2024-11</c:v>
                      </c:pt>
                      <c:pt idx="40">
                        <c:v>2024-12</c:v>
                      </c:pt>
                      <c:pt idx="41">
                        <c:v>2025-01</c:v>
                      </c:pt>
                      <c:pt idx="42">
                        <c:v>2025-02</c:v>
                      </c:pt>
                    </c:strCache>
                  </c:strRef>
                </c:cat>
                <c:val>
                  <c:numRef>
                    <c:extLst xmlns:c15="http://schemas.microsoft.com/office/drawing/2012/chart">
                      <c:ext xmlns:c15="http://schemas.microsoft.com/office/drawing/2012/chart" uri="{02D57815-91ED-43cb-92C2-25804820EDAC}">
                        <c15:formulaRef>
                          <c15:sqref>'Sheet 1'!$BO$61:$DE$61</c15:sqref>
                        </c15:formulaRef>
                      </c:ext>
                    </c:extLst>
                    <c:numCache>
                      <c:formatCode>0</c:formatCode>
                      <c:ptCount val="43"/>
                      <c:pt idx="0">
                        <c:v>100.84808259587021</c:v>
                      </c:pt>
                      <c:pt idx="1">
                        <c:v>100.77433628318585</c:v>
                      </c:pt>
                      <c:pt idx="2">
                        <c:v>102.17551622418878</c:v>
                      </c:pt>
                      <c:pt idx="3">
                        <c:v>102.76548672566372</c:v>
                      </c:pt>
                      <c:pt idx="4">
                        <c:v>104.13901179941003</c:v>
                      </c:pt>
                      <c:pt idx="5">
                        <c:v>104.8396017699115</c:v>
                      </c:pt>
                      <c:pt idx="6">
                        <c:v>105.61393805309733</c:v>
                      </c:pt>
                      <c:pt idx="7">
                        <c:v>106.8952802359882</c:v>
                      </c:pt>
                      <c:pt idx="8">
                        <c:v>110.73008849557522</c:v>
                      </c:pt>
                      <c:pt idx="9">
                        <c:v>112.10361356932152</c:v>
                      </c:pt>
                      <c:pt idx="10">
                        <c:v>114.2146017699115</c:v>
                      </c:pt>
                      <c:pt idx="11">
                        <c:v>114.49115044247789</c:v>
                      </c:pt>
                      <c:pt idx="12">
                        <c:v>115.05346607669615</c:v>
                      </c:pt>
                      <c:pt idx="13">
                        <c:v>115.61578171091445</c:v>
                      </c:pt>
                      <c:pt idx="14">
                        <c:v>118.35361356932152</c:v>
                      </c:pt>
                      <c:pt idx="15">
                        <c:v>118.85140117994099</c:v>
                      </c:pt>
                      <c:pt idx="16">
                        <c:v>120.7227138643068</c:v>
                      </c:pt>
                      <c:pt idx="17">
                        <c:v>121.05457227138643</c:v>
                      </c:pt>
                      <c:pt idx="18">
                        <c:v>123.24852507374631</c:v>
                      </c:pt>
                      <c:pt idx="19">
                        <c:v>124.58517699115043</c:v>
                      </c:pt>
                      <c:pt idx="20">
                        <c:v>124.90781710914453</c:v>
                      </c:pt>
                      <c:pt idx="21">
                        <c:v>125.43325958702063</c:v>
                      </c:pt>
                      <c:pt idx="22">
                        <c:v>125.87573746312685</c:v>
                      </c:pt>
                      <c:pt idx="23">
                        <c:v>126.80678466076697</c:v>
                      </c:pt>
                      <c:pt idx="24">
                        <c:v>127.06489675516224</c:v>
                      </c:pt>
                      <c:pt idx="25">
                        <c:v>127.71939528023599</c:v>
                      </c:pt>
                      <c:pt idx="26">
                        <c:v>129.41556047197636</c:v>
                      </c:pt>
                      <c:pt idx="27">
                        <c:v>129.56305309734515</c:v>
                      </c:pt>
                      <c:pt idx="28">
                        <c:v>129.48930678466076</c:v>
                      </c:pt>
                      <c:pt idx="29">
                        <c:v>130.07927728613572</c:v>
                      </c:pt>
                      <c:pt idx="30">
                        <c:v>129.9410029498525</c:v>
                      </c:pt>
                      <c:pt idx="31">
                        <c:v>130.03318584070794</c:v>
                      </c:pt>
                      <c:pt idx="32">
                        <c:v>130.95501474926255</c:v>
                      </c:pt>
                      <c:pt idx="33">
                        <c:v>131.02876106194688</c:v>
                      </c:pt>
                      <c:pt idx="34">
                        <c:v>131.12094395280235</c:v>
                      </c:pt>
                      <c:pt idx="35">
                        <c:v>130.6047197640118</c:v>
                      </c:pt>
                      <c:pt idx="36">
                        <c:v>130.08849557522123</c:v>
                      </c:pt>
                      <c:pt idx="37">
                        <c:v>129.70132743362831</c:v>
                      </c:pt>
                      <c:pt idx="38">
                        <c:v>131.61873156342182</c:v>
                      </c:pt>
                      <c:pt idx="39">
                        <c:v>131.4159292035398</c:v>
                      </c:pt>
                      <c:pt idx="40">
                        <c:v>131.48045722713863</c:v>
                      </c:pt>
                      <c:pt idx="41">
                        <c:v>132.07042772861357</c:v>
                      </c:pt>
                      <c:pt idx="42">
                        <c:v>132.34697640117994</c:v>
                      </c:pt>
                    </c:numCache>
                  </c:numRef>
                </c:val>
                <c:smooth val="0"/>
                <c:extLst xmlns:c15="http://schemas.microsoft.com/office/drawing/2012/chart">
                  <c:ext xmlns:c16="http://schemas.microsoft.com/office/drawing/2014/chart" uri="{C3380CC4-5D6E-409C-BE32-E72D297353CC}">
                    <c16:uniqueId val="{0000000D-A9DA-4C67-8C43-2AF5F89BC400}"/>
                  </c:ext>
                </c:extLst>
              </c15:ser>
            </c15:filteredLineSeries>
            <c15:filteredLineSeries>
              <c15:ser>
                <c:idx val="11"/>
                <c:order val="11"/>
                <c:tx>
                  <c:strRef>
                    <c:extLst xmlns:c15="http://schemas.microsoft.com/office/drawing/2012/chart">
                      <c:ext xmlns:c15="http://schemas.microsoft.com/office/drawing/2012/chart" uri="{02D57815-91ED-43cb-92C2-25804820EDAC}">
                        <c15:formulaRef>
                          <c15:sqref>'Sheet 1'!$BG$62</c15:sqref>
                        </c15:formulaRef>
                      </c:ext>
                    </c:extLst>
                    <c:strCache>
                      <c:ptCount val="1"/>
                      <c:pt idx="0">
                        <c:v>France</c:v>
                      </c:pt>
                    </c:strCache>
                  </c:strRef>
                </c:tx>
                <c:spPr>
                  <a:ln w="28575" cap="rnd">
                    <a:solidFill>
                      <a:schemeClr val="accent6">
                        <a:lumMod val="60000"/>
                      </a:schemeClr>
                    </a:solidFill>
                    <a:round/>
                  </a:ln>
                  <a:effectLst/>
                </c:spPr>
                <c:marker>
                  <c:symbol val="none"/>
                </c:marker>
                <c:cat>
                  <c:strRef>
                    <c:extLst xmlns:c15="http://schemas.microsoft.com/office/drawing/2012/chart">
                      <c:ext xmlns:c15="http://schemas.microsoft.com/office/drawing/2012/chart" uri="{02D57815-91ED-43cb-92C2-25804820EDAC}">
                        <c15:formulaRef>
                          <c15:sqref>'Sheet 1'!$BO$50:$DE$50</c15:sqref>
                        </c15:formulaRef>
                      </c:ext>
                    </c:extLst>
                    <c:strCache>
                      <c:ptCount val="43"/>
                      <c:pt idx="0">
                        <c:v>2021-08</c:v>
                      </c:pt>
                      <c:pt idx="1">
                        <c:v>2021-09</c:v>
                      </c:pt>
                      <c:pt idx="2">
                        <c:v>2021-10</c:v>
                      </c:pt>
                      <c:pt idx="3">
                        <c:v>2021-11</c:v>
                      </c:pt>
                      <c:pt idx="4">
                        <c:v>2021-12</c:v>
                      </c:pt>
                      <c:pt idx="5">
                        <c:v>2022-01</c:v>
                      </c:pt>
                      <c:pt idx="6">
                        <c:v>2022-02</c:v>
                      </c:pt>
                      <c:pt idx="7">
                        <c:v>2022-03</c:v>
                      </c:pt>
                      <c:pt idx="8">
                        <c:v>2022-04</c:v>
                      </c:pt>
                      <c:pt idx="9">
                        <c:v>2022-05</c:v>
                      </c:pt>
                      <c:pt idx="10">
                        <c:v>2022-06</c:v>
                      </c:pt>
                      <c:pt idx="11">
                        <c:v>2022-07</c:v>
                      </c:pt>
                      <c:pt idx="12">
                        <c:v>2022-08</c:v>
                      </c:pt>
                      <c:pt idx="13">
                        <c:v>2022-09</c:v>
                      </c:pt>
                      <c:pt idx="14">
                        <c:v>2022-10</c:v>
                      </c:pt>
                      <c:pt idx="15">
                        <c:v>2022-11</c:v>
                      </c:pt>
                      <c:pt idx="16">
                        <c:v>2022-12</c:v>
                      </c:pt>
                      <c:pt idx="17">
                        <c:v>2023-01</c:v>
                      </c:pt>
                      <c:pt idx="18">
                        <c:v>2023-02</c:v>
                      </c:pt>
                      <c:pt idx="19">
                        <c:v>2023-03</c:v>
                      </c:pt>
                      <c:pt idx="20">
                        <c:v>2023-04</c:v>
                      </c:pt>
                      <c:pt idx="21">
                        <c:v>2023-05</c:v>
                      </c:pt>
                      <c:pt idx="22">
                        <c:v>2023-06</c:v>
                      </c:pt>
                      <c:pt idx="23">
                        <c:v>2023-07</c:v>
                      </c:pt>
                      <c:pt idx="24">
                        <c:v>2023-08</c:v>
                      </c:pt>
                      <c:pt idx="25">
                        <c:v>2023-09</c:v>
                      </c:pt>
                      <c:pt idx="26">
                        <c:v>2023-10</c:v>
                      </c:pt>
                      <c:pt idx="27">
                        <c:v>2023-11</c:v>
                      </c:pt>
                      <c:pt idx="28">
                        <c:v>2023-12</c:v>
                      </c:pt>
                      <c:pt idx="29">
                        <c:v>2024-01</c:v>
                      </c:pt>
                      <c:pt idx="30">
                        <c:v>2024-02</c:v>
                      </c:pt>
                      <c:pt idx="31">
                        <c:v>2024-03</c:v>
                      </c:pt>
                      <c:pt idx="32">
                        <c:v>2024-04</c:v>
                      </c:pt>
                      <c:pt idx="33">
                        <c:v>2024-05</c:v>
                      </c:pt>
                      <c:pt idx="34">
                        <c:v>2024-06</c:v>
                      </c:pt>
                      <c:pt idx="35">
                        <c:v>2024-07</c:v>
                      </c:pt>
                      <c:pt idx="36">
                        <c:v>2024-08</c:v>
                      </c:pt>
                      <c:pt idx="37">
                        <c:v>2024-09</c:v>
                      </c:pt>
                      <c:pt idx="38">
                        <c:v>2024-10</c:v>
                      </c:pt>
                      <c:pt idx="39">
                        <c:v>2024-11</c:v>
                      </c:pt>
                      <c:pt idx="40">
                        <c:v>2024-12</c:v>
                      </c:pt>
                      <c:pt idx="41">
                        <c:v>2025-01</c:v>
                      </c:pt>
                      <c:pt idx="42">
                        <c:v>2025-02</c:v>
                      </c:pt>
                    </c:strCache>
                  </c:strRef>
                </c:cat>
                <c:val>
                  <c:numRef>
                    <c:extLst xmlns:c15="http://schemas.microsoft.com/office/drawing/2012/chart">
                      <c:ext xmlns:c15="http://schemas.microsoft.com/office/drawing/2012/chart" uri="{02D57815-91ED-43cb-92C2-25804820EDAC}">
                        <c15:formulaRef>
                          <c15:sqref>'Sheet 1'!$BO$62:$DE$62</c15:sqref>
                        </c15:formulaRef>
                      </c:ext>
                    </c:extLst>
                    <c:numCache>
                      <c:formatCode>0</c:formatCode>
                      <c:ptCount val="43"/>
                      <c:pt idx="0">
                        <c:v>101.19156736938591</c:v>
                      </c:pt>
                      <c:pt idx="1">
                        <c:v>100.33913840513291</c:v>
                      </c:pt>
                      <c:pt idx="2">
                        <c:v>100.12832263978002</c:v>
                      </c:pt>
                      <c:pt idx="3">
                        <c:v>100.54078826764436</c:v>
                      </c:pt>
                      <c:pt idx="4">
                        <c:v>101.1640696608616</c:v>
                      </c:pt>
                      <c:pt idx="5">
                        <c:v>101.83318056828598</c:v>
                      </c:pt>
                      <c:pt idx="6">
                        <c:v>102.21814848762602</c:v>
                      </c:pt>
                      <c:pt idx="7">
                        <c:v>103.19890009165904</c:v>
                      </c:pt>
                      <c:pt idx="8">
                        <c:v>104.79376718606784</c:v>
                      </c:pt>
                      <c:pt idx="9">
                        <c:v>105.84784601283228</c:v>
                      </c:pt>
                      <c:pt idx="10">
                        <c:v>106.73693858845097</c:v>
                      </c:pt>
                      <c:pt idx="11">
                        <c:v>107.80934922089827</c:v>
                      </c:pt>
                      <c:pt idx="12">
                        <c:v>109.78001833180568</c:v>
                      </c:pt>
                      <c:pt idx="13">
                        <c:v>111.21906507791017</c:v>
                      </c:pt>
                      <c:pt idx="14">
                        <c:v>113.34555453712191</c:v>
                      </c:pt>
                      <c:pt idx="15">
                        <c:v>113.84967919340055</c:v>
                      </c:pt>
                      <c:pt idx="16">
                        <c:v>114.38130155820349</c:v>
                      </c:pt>
                      <c:pt idx="17">
                        <c:v>116.48029330889094</c:v>
                      </c:pt>
                      <c:pt idx="18">
                        <c:v>118.63428047662697</c:v>
                      </c:pt>
                      <c:pt idx="19">
                        <c:v>120.90742438130155</c:v>
                      </c:pt>
                      <c:pt idx="20">
                        <c:v>121.42071494042163</c:v>
                      </c:pt>
                      <c:pt idx="21">
                        <c:v>121.75068744271313</c:v>
                      </c:pt>
                      <c:pt idx="22">
                        <c:v>122.01649862511459</c:v>
                      </c:pt>
                      <c:pt idx="23">
                        <c:v>122.03483043079744</c:v>
                      </c:pt>
                      <c:pt idx="24">
                        <c:v>122.47479376718609</c:v>
                      </c:pt>
                      <c:pt idx="25">
                        <c:v>122.16315307057745</c:v>
                      </c:pt>
                      <c:pt idx="26">
                        <c:v>122.19981668194318</c:v>
                      </c:pt>
                      <c:pt idx="27">
                        <c:v>122.74977085242895</c:v>
                      </c:pt>
                      <c:pt idx="28">
                        <c:v>122.8230980751604</c:v>
                      </c:pt>
                      <c:pt idx="29">
                        <c:v>123.12557286892761</c:v>
                      </c:pt>
                      <c:pt idx="30">
                        <c:v>122.61228230980754</c:v>
                      </c:pt>
                      <c:pt idx="31">
                        <c:v>122.56645279560037</c:v>
                      </c:pt>
                      <c:pt idx="32">
                        <c:v>122.64894592117324</c:v>
                      </c:pt>
                      <c:pt idx="33">
                        <c:v>123.22639780018332</c:v>
                      </c:pt>
                      <c:pt idx="34">
                        <c:v>122.99725022914758</c:v>
                      </c:pt>
                      <c:pt idx="35">
                        <c:v>122.65811182401467</c:v>
                      </c:pt>
                      <c:pt idx="36">
                        <c:v>123.05224564619617</c:v>
                      </c:pt>
                      <c:pt idx="37">
                        <c:v>122.65811182401467</c:v>
                      </c:pt>
                      <c:pt idx="38">
                        <c:v>123.04307974335474</c:v>
                      </c:pt>
                      <c:pt idx="39">
                        <c:v>122.83226397800182</c:v>
                      </c:pt>
                      <c:pt idx="40">
                        <c:v>122.62144821264896</c:v>
                      </c:pt>
                      <c:pt idx="41">
                        <c:v>123.03391384051329</c:v>
                      </c:pt>
                      <c:pt idx="42">
                        <c:v>122.8505957836847</c:v>
                      </c:pt>
                    </c:numCache>
                  </c:numRef>
                </c:val>
                <c:smooth val="0"/>
                <c:extLst xmlns:c15="http://schemas.microsoft.com/office/drawing/2012/chart">
                  <c:ext xmlns:c16="http://schemas.microsoft.com/office/drawing/2014/chart" uri="{C3380CC4-5D6E-409C-BE32-E72D297353CC}">
                    <c16:uniqueId val="{0000000E-A9DA-4C67-8C43-2AF5F89BC400}"/>
                  </c:ext>
                </c:extLst>
              </c15:ser>
            </c15:filteredLineSeries>
            <c15:filteredLineSeries>
              <c15:ser>
                <c:idx val="12"/>
                <c:order val="12"/>
                <c:tx>
                  <c:strRef>
                    <c:extLst xmlns:c15="http://schemas.microsoft.com/office/drawing/2012/chart">
                      <c:ext xmlns:c15="http://schemas.microsoft.com/office/drawing/2012/chart" uri="{02D57815-91ED-43cb-92C2-25804820EDAC}">
                        <c15:formulaRef>
                          <c15:sqref>'Sheet 1'!$BG$63</c15:sqref>
                        </c15:formulaRef>
                      </c:ext>
                    </c:extLst>
                    <c:strCache>
                      <c:ptCount val="1"/>
                      <c:pt idx="0">
                        <c:v>Croatia</c:v>
                      </c:pt>
                    </c:strCache>
                  </c:strRef>
                </c:tx>
                <c:spPr>
                  <a:ln w="28575" cap="rnd">
                    <a:solidFill>
                      <a:schemeClr val="accent1">
                        <a:lumMod val="80000"/>
                        <a:lumOff val="20000"/>
                      </a:schemeClr>
                    </a:solidFill>
                    <a:round/>
                  </a:ln>
                  <a:effectLst/>
                </c:spPr>
                <c:marker>
                  <c:symbol val="none"/>
                </c:marker>
                <c:cat>
                  <c:strRef>
                    <c:extLst xmlns:c15="http://schemas.microsoft.com/office/drawing/2012/chart">
                      <c:ext xmlns:c15="http://schemas.microsoft.com/office/drawing/2012/chart" uri="{02D57815-91ED-43cb-92C2-25804820EDAC}">
                        <c15:formulaRef>
                          <c15:sqref>'Sheet 1'!$BO$50:$DE$50</c15:sqref>
                        </c15:formulaRef>
                      </c:ext>
                    </c:extLst>
                    <c:strCache>
                      <c:ptCount val="43"/>
                      <c:pt idx="0">
                        <c:v>2021-08</c:v>
                      </c:pt>
                      <c:pt idx="1">
                        <c:v>2021-09</c:v>
                      </c:pt>
                      <c:pt idx="2">
                        <c:v>2021-10</c:v>
                      </c:pt>
                      <c:pt idx="3">
                        <c:v>2021-11</c:v>
                      </c:pt>
                      <c:pt idx="4">
                        <c:v>2021-12</c:v>
                      </c:pt>
                      <c:pt idx="5">
                        <c:v>2022-01</c:v>
                      </c:pt>
                      <c:pt idx="6">
                        <c:v>2022-02</c:v>
                      </c:pt>
                      <c:pt idx="7">
                        <c:v>2022-03</c:v>
                      </c:pt>
                      <c:pt idx="8">
                        <c:v>2022-04</c:v>
                      </c:pt>
                      <c:pt idx="9">
                        <c:v>2022-05</c:v>
                      </c:pt>
                      <c:pt idx="10">
                        <c:v>2022-06</c:v>
                      </c:pt>
                      <c:pt idx="11">
                        <c:v>2022-07</c:v>
                      </c:pt>
                      <c:pt idx="12">
                        <c:v>2022-08</c:v>
                      </c:pt>
                      <c:pt idx="13">
                        <c:v>2022-09</c:v>
                      </c:pt>
                      <c:pt idx="14">
                        <c:v>2022-10</c:v>
                      </c:pt>
                      <c:pt idx="15">
                        <c:v>2022-11</c:v>
                      </c:pt>
                      <c:pt idx="16">
                        <c:v>2022-12</c:v>
                      </c:pt>
                      <c:pt idx="17">
                        <c:v>2023-01</c:v>
                      </c:pt>
                      <c:pt idx="18">
                        <c:v>2023-02</c:v>
                      </c:pt>
                      <c:pt idx="19">
                        <c:v>2023-03</c:v>
                      </c:pt>
                      <c:pt idx="20">
                        <c:v>2023-04</c:v>
                      </c:pt>
                      <c:pt idx="21">
                        <c:v>2023-05</c:v>
                      </c:pt>
                      <c:pt idx="22">
                        <c:v>2023-06</c:v>
                      </c:pt>
                      <c:pt idx="23">
                        <c:v>2023-07</c:v>
                      </c:pt>
                      <c:pt idx="24">
                        <c:v>2023-08</c:v>
                      </c:pt>
                      <c:pt idx="25">
                        <c:v>2023-09</c:v>
                      </c:pt>
                      <c:pt idx="26">
                        <c:v>2023-10</c:v>
                      </c:pt>
                      <c:pt idx="27">
                        <c:v>2023-11</c:v>
                      </c:pt>
                      <c:pt idx="28">
                        <c:v>2023-12</c:v>
                      </c:pt>
                      <c:pt idx="29">
                        <c:v>2024-01</c:v>
                      </c:pt>
                      <c:pt idx="30">
                        <c:v>2024-02</c:v>
                      </c:pt>
                      <c:pt idx="31">
                        <c:v>2024-03</c:v>
                      </c:pt>
                      <c:pt idx="32">
                        <c:v>2024-04</c:v>
                      </c:pt>
                      <c:pt idx="33">
                        <c:v>2024-05</c:v>
                      </c:pt>
                      <c:pt idx="34">
                        <c:v>2024-06</c:v>
                      </c:pt>
                      <c:pt idx="35">
                        <c:v>2024-07</c:v>
                      </c:pt>
                      <c:pt idx="36">
                        <c:v>2024-08</c:v>
                      </c:pt>
                      <c:pt idx="37">
                        <c:v>2024-09</c:v>
                      </c:pt>
                      <c:pt idx="38">
                        <c:v>2024-10</c:v>
                      </c:pt>
                      <c:pt idx="39">
                        <c:v>2024-11</c:v>
                      </c:pt>
                      <c:pt idx="40">
                        <c:v>2024-12</c:v>
                      </c:pt>
                      <c:pt idx="41">
                        <c:v>2025-01</c:v>
                      </c:pt>
                      <c:pt idx="42">
                        <c:v>2025-02</c:v>
                      </c:pt>
                    </c:strCache>
                  </c:strRef>
                </c:cat>
                <c:val>
                  <c:numRef>
                    <c:extLst xmlns:c15="http://schemas.microsoft.com/office/drawing/2012/chart">
                      <c:ext xmlns:c15="http://schemas.microsoft.com/office/drawing/2012/chart" uri="{02D57815-91ED-43cb-92C2-25804820EDAC}">
                        <c15:formulaRef>
                          <c15:sqref>'Sheet 1'!$BO$63:$DE$63</c15:sqref>
                        </c15:formulaRef>
                      </c:ext>
                    </c:extLst>
                    <c:numCache>
                      <c:formatCode>0</c:formatCode>
                      <c:ptCount val="43"/>
                      <c:pt idx="0">
                        <c:v>103.23354442525428</c:v>
                      </c:pt>
                      <c:pt idx="1">
                        <c:v>103.18556898867782</c:v>
                      </c:pt>
                      <c:pt idx="2">
                        <c:v>103.61734791786606</c:v>
                      </c:pt>
                      <c:pt idx="3">
                        <c:v>105.27729802341202</c:v>
                      </c:pt>
                      <c:pt idx="4">
                        <c:v>106.73575129533678</c:v>
                      </c:pt>
                      <c:pt idx="5">
                        <c:v>110.19957781615813</c:v>
                      </c:pt>
                      <c:pt idx="6">
                        <c:v>110.6217616580311</c:v>
                      </c:pt>
                      <c:pt idx="7">
                        <c:v>111.66762617539818</c:v>
                      </c:pt>
                      <c:pt idx="8">
                        <c:v>114.59412780656304</c:v>
                      </c:pt>
                      <c:pt idx="9">
                        <c:v>116.93532911149491</c:v>
                      </c:pt>
                      <c:pt idx="10">
                        <c:v>118.95989253502208</c:v>
                      </c:pt>
                      <c:pt idx="11">
                        <c:v>121.54097102283632</c:v>
                      </c:pt>
                      <c:pt idx="12">
                        <c:v>123.64229514488582</c:v>
                      </c:pt>
                      <c:pt idx="13">
                        <c:v>123.23930147764344</c:v>
                      </c:pt>
                      <c:pt idx="14">
                        <c:v>124.86087123392822</c:v>
                      </c:pt>
                      <c:pt idx="15">
                        <c:v>126.10823258491652</c:v>
                      </c:pt>
                      <c:pt idx="16">
                        <c:v>127.77777777777777</c:v>
                      </c:pt>
                      <c:pt idx="17">
                        <c:v>129.88869698714259</c:v>
                      </c:pt>
                      <c:pt idx="18">
                        <c:v>130.38764152753788</c:v>
                      </c:pt>
                      <c:pt idx="19">
                        <c:v>132.15313759355209</c:v>
                      </c:pt>
                      <c:pt idx="20">
                        <c:v>133.05507580118979</c:v>
                      </c:pt>
                      <c:pt idx="21">
                        <c:v>134.91652274035695</c:v>
                      </c:pt>
                      <c:pt idx="22">
                        <c:v>136.59566302053349</c:v>
                      </c:pt>
                      <c:pt idx="23">
                        <c:v>136.93149107656882</c:v>
                      </c:pt>
                      <c:pt idx="24">
                        <c:v>137.30569948186528</c:v>
                      </c:pt>
                      <c:pt idx="25">
                        <c:v>136.384571099597</c:v>
                      </c:pt>
                      <c:pt idx="26">
                        <c:v>135.67453463826521</c:v>
                      </c:pt>
                      <c:pt idx="27">
                        <c:v>136.12550374208405</c:v>
                      </c:pt>
                      <c:pt idx="28">
                        <c:v>136.28862022644407</c:v>
                      </c:pt>
                      <c:pt idx="29">
                        <c:v>138.13087699098062</c:v>
                      </c:pt>
                      <c:pt idx="30">
                        <c:v>137.16177317213584</c:v>
                      </c:pt>
                      <c:pt idx="31">
                        <c:v>137.27691421991938</c:v>
                      </c:pt>
                      <c:pt idx="32">
                        <c:v>138.25561312607945</c:v>
                      </c:pt>
                      <c:pt idx="33">
                        <c:v>138.696987142583</c:v>
                      </c:pt>
                      <c:pt idx="34">
                        <c:v>138.88888888888889</c:v>
                      </c:pt>
                      <c:pt idx="35">
                        <c:v>138.94645941278065</c:v>
                      </c:pt>
                      <c:pt idx="36">
                        <c:v>139.84839762041835</c:v>
                      </c:pt>
                      <c:pt idx="37">
                        <c:v>140.43369794665134</c:v>
                      </c:pt>
                      <c:pt idx="38">
                        <c:v>141.94012665515257</c:v>
                      </c:pt>
                      <c:pt idx="39">
                        <c:v>142.17040875071962</c:v>
                      </c:pt>
                      <c:pt idx="40">
                        <c:v>142.66935329111493</c:v>
                      </c:pt>
                      <c:pt idx="41">
                        <c:v>144.60756092880447</c:v>
                      </c:pt>
                      <c:pt idx="42">
                        <c:v>143.74400307042794</c:v>
                      </c:pt>
                    </c:numCache>
                  </c:numRef>
                </c:val>
                <c:smooth val="0"/>
                <c:extLst xmlns:c15="http://schemas.microsoft.com/office/drawing/2012/chart">
                  <c:ext xmlns:c16="http://schemas.microsoft.com/office/drawing/2014/chart" uri="{C3380CC4-5D6E-409C-BE32-E72D297353CC}">
                    <c16:uniqueId val="{0000000F-A9DA-4C67-8C43-2AF5F89BC400}"/>
                  </c:ext>
                </c:extLst>
              </c15:ser>
            </c15:filteredLineSeries>
            <c15:filteredLineSeries>
              <c15:ser>
                <c:idx val="13"/>
                <c:order val="13"/>
                <c:tx>
                  <c:strRef>
                    <c:extLst xmlns:c15="http://schemas.microsoft.com/office/drawing/2012/chart">
                      <c:ext xmlns:c15="http://schemas.microsoft.com/office/drawing/2012/chart" uri="{02D57815-91ED-43cb-92C2-25804820EDAC}">
                        <c15:formulaRef>
                          <c15:sqref>'Sheet 1'!$BG$64</c15:sqref>
                        </c15:formulaRef>
                      </c:ext>
                    </c:extLst>
                    <c:strCache>
                      <c:ptCount val="1"/>
                      <c:pt idx="0">
                        <c:v>Italy</c:v>
                      </c:pt>
                    </c:strCache>
                  </c:strRef>
                </c:tx>
                <c:spPr>
                  <a:ln w="28575" cap="rnd">
                    <a:solidFill>
                      <a:schemeClr val="accent2">
                        <a:lumMod val="80000"/>
                        <a:lumOff val="20000"/>
                      </a:schemeClr>
                    </a:solidFill>
                    <a:round/>
                  </a:ln>
                  <a:effectLst/>
                </c:spPr>
                <c:marker>
                  <c:symbol val="none"/>
                </c:marker>
                <c:cat>
                  <c:strRef>
                    <c:extLst xmlns:c15="http://schemas.microsoft.com/office/drawing/2012/chart">
                      <c:ext xmlns:c15="http://schemas.microsoft.com/office/drawing/2012/chart" uri="{02D57815-91ED-43cb-92C2-25804820EDAC}">
                        <c15:formulaRef>
                          <c15:sqref>'Sheet 1'!$BO$50:$DE$50</c15:sqref>
                        </c15:formulaRef>
                      </c:ext>
                    </c:extLst>
                    <c:strCache>
                      <c:ptCount val="43"/>
                      <c:pt idx="0">
                        <c:v>2021-08</c:v>
                      </c:pt>
                      <c:pt idx="1">
                        <c:v>2021-09</c:v>
                      </c:pt>
                      <c:pt idx="2">
                        <c:v>2021-10</c:v>
                      </c:pt>
                      <c:pt idx="3">
                        <c:v>2021-11</c:v>
                      </c:pt>
                      <c:pt idx="4">
                        <c:v>2021-12</c:v>
                      </c:pt>
                      <c:pt idx="5">
                        <c:v>2022-01</c:v>
                      </c:pt>
                      <c:pt idx="6">
                        <c:v>2022-02</c:v>
                      </c:pt>
                      <c:pt idx="7">
                        <c:v>2022-03</c:v>
                      </c:pt>
                      <c:pt idx="8">
                        <c:v>2022-04</c:v>
                      </c:pt>
                      <c:pt idx="9">
                        <c:v>2022-05</c:v>
                      </c:pt>
                      <c:pt idx="10">
                        <c:v>2022-06</c:v>
                      </c:pt>
                      <c:pt idx="11">
                        <c:v>2022-07</c:v>
                      </c:pt>
                      <c:pt idx="12">
                        <c:v>2022-08</c:v>
                      </c:pt>
                      <c:pt idx="13">
                        <c:v>2022-09</c:v>
                      </c:pt>
                      <c:pt idx="14">
                        <c:v>2022-10</c:v>
                      </c:pt>
                      <c:pt idx="15">
                        <c:v>2022-11</c:v>
                      </c:pt>
                      <c:pt idx="16">
                        <c:v>2022-12</c:v>
                      </c:pt>
                      <c:pt idx="17">
                        <c:v>2023-01</c:v>
                      </c:pt>
                      <c:pt idx="18">
                        <c:v>2023-02</c:v>
                      </c:pt>
                      <c:pt idx="19">
                        <c:v>2023-03</c:v>
                      </c:pt>
                      <c:pt idx="20">
                        <c:v>2023-04</c:v>
                      </c:pt>
                      <c:pt idx="21">
                        <c:v>2023-05</c:v>
                      </c:pt>
                      <c:pt idx="22">
                        <c:v>2023-06</c:v>
                      </c:pt>
                      <c:pt idx="23">
                        <c:v>2023-07</c:v>
                      </c:pt>
                      <c:pt idx="24">
                        <c:v>2023-08</c:v>
                      </c:pt>
                      <c:pt idx="25">
                        <c:v>2023-09</c:v>
                      </c:pt>
                      <c:pt idx="26">
                        <c:v>2023-10</c:v>
                      </c:pt>
                      <c:pt idx="27">
                        <c:v>2023-11</c:v>
                      </c:pt>
                      <c:pt idx="28">
                        <c:v>2023-12</c:v>
                      </c:pt>
                      <c:pt idx="29">
                        <c:v>2024-01</c:v>
                      </c:pt>
                      <c:pt idx="30">
                        <c:v>2024-02</c:v>
                      </c:pt>
                      <c:pt idx="31">
                        <c:v>2024-03</c:v>
                      </c:pt>
                      <c:pt idx="32">
                        <c:v>2024-04</c:v>
                      </c:pt>
                      <c:pt idx="33">
                        <c:v>2024-05</c:v>
                      </c:pt>
                      <c:pt idx="34">
                        <c:v>2024-06</c:v>
                      </c:pt>
                      <c:pt idx="35">
                        <c:v>2024-07</c:v>
                      </c:pt>
                      <c:pt idx="36">
                        <c:v>2024-08</c:v>
                      </c:pt>
                      <c:pt idx="37">
                        <c:v>2024-09</c:v>
                      </c:pt>
                      <c:pt idx="38">
                        <c:v>2024-10</c:v>
                      </c:pt>
                      <c:pt idx="39">
                        <c:v>2024-11</c:v>
                      </c:pt>
                      <c:pt idx="40">
                        <c:v>2024-12</c:v>
                      </c:pt>
                      <c:pt idx="41">
                        <c:v>2025-01</c:v>
                      </c:pt>
                      <c:pt idx="42">
                        <c:v>2025-02</c:v>
                      </c:pt>
                    </c:strCache>
                  </c:strRef>
                </c:cat>
                <c:val>
                  <c:numRef>
                    <c:extLst xmlns:c15="http://schemas.microsoft.com/office/drawing/2012/chart">
                      <c:ext xmlns:c15="http://schemas.microsoft.com/office/drawing/2012/chart" uri="{02D57815-91ED-43cb-92C2-25804820EDAC}">
                        <c15:formulaRef>
                          <c15:sqref>'Sheet 1'!$BO$64:$DE$64</c15:sqref>
                        </c15:formulaRef>
                      </c:ext>
                    </c:extLst>
                    <c:numCache>
                      <c:formatCode>0</c:formatCode>
                      <c:ptCount val="43"/>
                      <c:pt idx="0">
                        <c:v>100.18832391713748</c:v>
                      </c:pt>
                      <c:pt idx="1">
                        <c:v>100.2824858757062</c:v>
                      </c:pt>
                      <c:pt idx="2">
                        <c:v>100.65913370998116</c:v>
                      </c:pt>
                      <c:pt idx="3">
                        <c:v>101.60075329566855</c:v>
                      </c:pt>
                      <c:pt idx="4">
                        <c:v>102.35404896421845</c:v>
                      </c:pt>
                      <c:pt idx="5">
                        <c:v>103.86064030131826</c:v>
                      </c:pt>
                      <c:pt idx="6">
                        <c:v>104.89642184557439</c:v>
                      </c:pt>
                      <c:pt idx="7">
                        <c:v>105.83804143126176</c:v>
                      </c:pt>
                      <c:pt idx="8">
                        <c:v>107.25047080979284</c:v>
                      </c:pt>
                      <c:pt idx="9">
                        <c:v>108.66290018832392</c:v>
                      </c:pt>
                      <c:pt idx="10">
                        <c:v>109.88700564971752</c:v>
                      </c:pt>
                      <c:pt idx="11">
                        <c:v>109.98116760828624</c:v>
                      </c:pt>
                      <c:pt idx="12">
                        <c:v>110.92278719397363</c:v>
                      </c:pt>
                      <c:pt idx="13">
                        <c:v>112.33521657250469</c:v>
                      </c:pt>
                      <c:pt idx="14">
                        <c:v>114.59510357815444</c:v>
                      </c:pt>
                      <c:pt idx="15">
                        <c:v>115.63088512241053</c:v>
                      </c:pt>
                      <c:pt idx="16">
                        <c:v>116.00753295668549</c:v>
                      </c:pt>
                      <c:pt idx="17">
                        <c:v>116.94915254237289</c:v>
                      </c:pt>
                      <c:pt idx="18">
                        <c:v>119.02071563088512</c:v>
                      </c:pt>
                      <c:pt idx="19">
                        <c:v>119.96233521657251</c:v>
                      </c:pt>
                      <c:pt idx="20">
                        <c:v>120.33898305084745</c:v>
                      </c:pt>
                      <c:pt idx="21">
                        <c:v>121.56308851224105</c:v>
                      </c:pt>
                      <c:pt idx="22">
                        <c:v>122.03389830508473</c:v>
                      </c:pt>
                      <c:pt idx="23">
                        <c:v>122.03389830508473</c:v>
                      </c:pt>
                      <c:pt idx="24">
                        <c:v>122.22222222222223</c:v>
                      </c:pt>
                      <c:pt idx="25">
                        <c:v>122.31638418079096</c:v>
                      </c:pt>
                      <c:pt idx="26">
                        <c:v>122.22222222222223</c:v>
                      </c:pt>
                      <c:pt idx="27">
                        <c:v>122.69303201506591</c:v>
                      </c:pt>
                      <c:pt idx="28">
                        <c:v>123.06967984934086</c:v>
                      </c:pt>
                      <c:pt idx="29">
                        <c:v>124.01129943502825</c:v>
                      </c:pt>
                      <c:pt idx="30">
                        <c:v>123.72881355932203</c:v>
                      </c:pt>
                      <c:pt idx="31">
                        <c:v>123.54048964218454</c:v>
                      </c:pt>
                      <c:pt idx="32">
                        <c:v>123.54048964218454</c:v>
                      </c:pt>
                      <c:pt idx="33">
                        <c:v>124.105461393597</c:v>
                      </c:pt>
                      <c:pt idx="34">
                        <c:v>123.91713747645949</c:v>
                      </c:pt>
                      <c:pt idx="35">
                        <c:v>123.06967984934086</c:v>
                      </c:pt>
                      <c:pt idx="36">
                        <c:v>123.16384180790961</c:v>
                      </c:pt>
                      <c:pt idx="37">
                        <c:v>123.54048964218454</c:v>
                      </c:pt>
                      <c:pt idx="38">
                        <c:v>125.14124293785312</c:v>
                      </c:pt>
                      <c:pt idx="39">
                        <c:v>125.98870056497175</c:v>
                      </c:pt>
                      <c:pt idx="40">
                        <c:v>125.23540489642184</c:v>
                      </c:pt>
                      <c:pt idx="41">
                        <c:v>126.27118644067797</c:v>
                      </c:pt>
                      <c:pt idx="42">
                        <c:v>126.17702448210923</c:v>
                      </c:pt>
                    </c:numCache>
                  </c:numRef>
                </c:val>
                <c:smooth val="0"/>
                <c:extLst xmlns:c15="http://schemas.microsoft.com/office/drawing/2012/chart">
                  <c:ext xmlns:c16="http://schemas.microsoft.com/office/drawing/2014/chart" uri="{C3380CC4-5D6E-409C-BE32-E72D297353CC}">
                    <c16:uniqueId val="{00000010-A9DA-4C67-8C43-2AF5F89BC400}"/>
                  </c:ext>
                </c:extLst>
              </c15:ser>
            </c15:filteredLineSeries>
            <c15:filteredLineSeries>
              <c15:ser>
                <c:idx val="14"/>
                <c:order val="14"/>
                <c:tx>
                  <c:strRef>
                    <c:extLst xmlns:c15="http://schemas.microsoft.com/office/drawing/2012/chart">
                      <c:ext xmlns:c15="http://schemas.microsoft.com/office/drawing/2012/chart" uri="{02D57815-91ED-43cb-92C2-25804820EDAC}">
                        <c15:formulaRef>
                          <c15:sqref>'Sheet 1'!$BG$65</c15:sqref>
                        </c15:formulaRef>
                      </c:ext>
                    </c:extLst>
                    <c:strCache>
                      <c:ptCount val="1"/>
                      <c:pt idx="0">
                        <c:v>Cyprus</c:v>
                      </c:pt>
                    </c:strCache>
                  </c:strRef>
                </c:tx>
                <c:spPr>
                  <a:ln w="28575" cap="rnd">
                    <a:solidFill>
                      <a:schemeClr val="accent3">
                        <a:lumMod val="80000"/>
                        <a:lumOff val="20000"/>
                      </a:schemeClr>
                    </a:solidFill>
                    <a:round/>
                  </a:ln>
                  <a:effectLst/>
                </c:spPr>
                <c:marker>
                  <c:symbol val="none"/>
                </c:marker>
                <c:cat>
                  <c:strRef>
                    <c:extLst xmlns:c15="http://schemas.microsoft.com/office/drawing/2012/chart">
                      <c:ext xmlns:c15="http://schemas.microsoft.com/office/drawing/2012/chart" uri="{02D57815-91ED-43cb-92C2-25804820EDAC}">
                        <c15:formulaRef>
                          <c15:sqref>'Sheet 1'!$BO$50:$DE$50</c15:sqref>
                        </c15:formulaRef>
                      </c:ext>
                    </c:extLst>
                    <c:strCache>
                      <c:ptCount val="43"/>
                      <c:pt idx="0">
                        <c:v>2021-08</c:v>
                      </c:pt>
                      <c:pt idx="1">
                        <c:v>2021-09</c:v>
                      </c:pt>
                      <c:pt idx="2">
                        <c:v>2021-10</c:v>
                      </c:pt>
                      <c:pt idx="3">
                        <c:v>2021-11</c:v>
                      </c:pt>
                      <c:pt idx="4">
                        <c:v>2021-12</c:v>
                      </c:pt>
                      <c:pt idx="5">
                        <c:v>2022-01</c:v>
                      </c:pt>
                      <c:pt idx="6">
                        <c:v>2022-02</c:v>
                      </c:pt>
                      <c:pt idx="7">
                        <c:v>2022-03</c:v>
                      </c:pt>
                      <c:pt idx="8">
                        <c:v>2022-04</c:v>
                      </c:pt>
                      <c:pt idx="9">
                        <c:v>2022-05</c:v>
                      </c:pt>
                      <c:pt idx="10">
                        <c:v>2022-06</c:v>
                      </c:pt>
                      <c:pt idx="11">
                        <c:v>2022-07</c:v>
                      </c:pt>
                      <c:pt idx="12">
                        <c:v>2022-08</c:v>
                      </c:pt>
                      <c:pt idx="13">
                        <c:v>2022-09</c:v>
                      </c:pt>
                      <c:pt idx="14">
                        <c:v>2022-10</c:v>
                      </c:pt>
                      <c:pt idx="15">
                        <c:v>2022-11</c:v>
                      </c:pt>
                      <c:pt idx="16">
                        <c:v>2022-12</c:v>
                      </c:pt>
                      <c:pt idx="17">
                        <c:v>2023-01</c:v>
                      </c:pt>
                      <c:pt idx="18">
                        <c:v>2023-02</c:v>
                      </c:pt>
                      <c:pt idx="19">
                        <c:v>2023-03</c:v>
                      </c:pt>
                      <c:pt idx="20">
                        <c:v>2023-04</c:v>
                      </c:pt>
                      <c:pt idx="21">
                        <c:v>2023-05</c:v>
                      </c:pt>
                      <c:pt idx="22">
                        <c:v>2023-06</c:v>
                      </c:pt>
                      <c:pt idx="23">
                        <c:v>2023-07</c:v>
                      </c:pt>
                      <c:pt idx="24">
                        <c:v>2023-08</c:v>
                      </c:pt>
                      <c:pt idx="25">
                        <c:v>2023-09</c:v>
                      </c:pt>
                      <c:pt idx="26">
                        <c:v>2023-10</c:v>
                      </c:pt>
                      <c:pt idx="27">
                        <c:v>2023-11</c:v>
                      </c:pt>
                      <c:pt idx="28">
                        <c:v>2023-12</c:v>
                      </c:pt>
                      <c:pt idx="29">
                        <c:v>2024-01</c:v>
                      </c:pt>
                      <c:pt idx="30">
                        <c:v>2024-02</c:v>
                      </c:pt>
                      <c:pt idx="31">
                        <c:v>2024-03</c:v>
                      </c:pt>
                      <c:pt idx="32">
                        <c:v>2024-04</c:v>
                      </c:pt>
                      <c:pt idx="33">
                        <c:v>2024-05</c:v>
                      </c:pt>
                      <c:pt idx="34">
                        <c:v>2024-06</c:v>
                      </c:pt>
                      <c:pt idx="35">
                        <c:v>2024-07</c:v>
                      </c:pt>
                      <c:pt idx="36">
                        <c:v>2024-08</c:v>
                      </c:pt>
                      <c:pt idx="37">
                        <c:v>2024-09</c:v>
                      </c:pt>
                      <c:pt idx="38">
                        <c:v>2024-10</c:v>
                      </c:pt>
                      <c:pt idx="39">
                        <c:v>2024-11</c:v>
                      </c:pt>
                      <c:pt idx="40">
                        <c:v>2024-12</c:v>
                      </c:pt>
                      <c:pt idx="41">
                        <c:v>2025-01</c:v>
                      </c:pt>
                      <c:pt idx="42">
                        <c:v>2025-02</c:v>
                      </c:pt>
                    </c:strCache>
                  </c:strRef>
                </c:cat>
                <c:val>
                  <c:numRef>
                    <c:extLst xmlns:c15="http://schemas.microsoft.com/office/drawing/2012/chart">
                      <c:ext xmlns:c15="http://schemas.microsoft.com/office/drawing/2012/chart" uri="{02D57815-91ED-43cb-92C2-25804820EDAC}">
                        <c15:formulaRef>
                          <c15:sqref>'Sheet 1'!$BO$65:$DE$65</c15:sqref>
                        </c15:formulaRef>
                      </c:ext>
                    </c:extLst>
                    <c:numCache>
                      <c:formatCode>0</c:formatCode>
                      <c:ptCount val="43"/>
                      <c:pt idx="0">
                        <c:v>108.81039785693025</c:v>
                      </c:pt>
                      <c:pt idx="1">
                        <c:v>105.46681218374839</c:v>
                      </c:pt>
                      <c:pt idx="2">
                        <c:v>104.86159341204484</c:v>
                      </c:pt>
                      <c:pt idx="3">
                        <c:v>103.27413433872408</c:v>
                      </c:pt>
                      <c:pt idx="4">
                        <c:v>102.43079670602242</c:v>
                      </c:pt>
                      <c:pt idx="5">
                        <c:v>105.11955551145947</c:v>
                      </c:pt>
                      <c:pt idx="6">
                        <c:v>110.5069947415418</c:v>
                      </c:pt>
                      <c:pt idx="7">
                        <c:v>112.28296457981941</c:v>
                      </c:pt>
                      <c:pt idx="8">
                        <c:v>113.0568508780633</c:v>
                      </c:pt>
                      <c:pt idx="9">
                        <c:v>112.70959420577438</c:v>
                      </c:pt>
                      <c:pt idx="10">
                        <c:v>109.83232463538049</c:v>
                      </c:pt>
                      <c:pt idx="11">
                        <c:v>111.54876475840858</c:v>
                      </c:pt>
                      <c:pt idx="12">
                        <c:v>113.63230479214208</c:v>
                      </c:pt>
                      <c:pt idx="13">
                        <c:v>114.84274233554916</c:v>
                      </c:pt>
                      <c:pt idx="14">
                        <c:v>117.9482091477329</c:v>
                      </c:pt>
                      <c:pt idx="15">
                        <c:v>118.83123325726757</c:v>
                      </c:pt>
                      <c:pt idx="16">
                        <c:v>114.93203690842344</c:v>
                      </c:pt>
                      <c:pt idx="17">
                        <c:v>115.94404206766544</c:v>
                      </c:pt>
                      <c:pt idx="18">
                        <c:v>120.52783014187915</c:v>
                      </c:pt>
                      <c:pt idx="19">
                        <c:v>119.10903859509871</c:v>
                      </c:pt>
                      <c:pt idx="20">
                        <c:v>120.06151403909118</c:v>
                      </c:pt>
                      <c:pt idx="21">
                        <c:v>122.30379998015675</c:v>
                      </c:pt>
                      <c:pt idx="22">
                        <c:v>121.22234348645699</c:v>
                      </c:pt>
                      <c:pt idx="23">
                        <c:v>122.65105665244566</c:v>
                      </c:pt>
                      <c:pt idx="24">
                        <c:v>125.19099116975892</c:v>
                      </c:pt>
                      <c:pt idx="25">
                        <c:v>126.34189899791646</c:v>
                      </c:pt>
                      <c:pt idx="26">
                        <c:v>124.39726163309849</c:v>
                      </c:pt>
                      <c:pt idx="27">
                        <c:v>121.52991368191289</c:v>
                      </c:pt>
                      <c:pt idx="28">
                        <c:v>118.88084135330885</c:v>
                      </c:pt>
                      <c:pt idx="29">
                        <c:v>119.27770612163904</c:v>
                      </c:pt>
                      <c:pt idx="30">
                        <c:v>122.46254588748884</c:v>
                      </c:pt>
                      <c:pt idx="31">
                        <c:v>121.09336243674966</c:v>
                      </c:pt>
                      <c:pt idx="32">
                        <c:v>121.3314812977478</c:v>
                      </c:pt>
                      <c:pt idx="33">
                        <c:v>123.89125905347753</c:v>
                      </c:pt>
                      <c:pt idx="34">
                        <c:v>124.51632106359757</c:v>
                      </c:pt>
                      <c:pt idx="35">
                        <c:v>126.986804246453</c:v>
                      </c:pt>
                      <c:pt idx="36">
                        <c:v>129.34814961801766</c:v>
                      </c:pt>
                      <c:pt idx="37">
                        <c:v>130.39984125409268</c:v>
                      </c:pt>
                      <c:pt idx="38">
                        <c:v>130.75701954558983</c:v>
                      </c:pt>
                      <c:pt idx="39">
                        <c:v>126.69907728941364</c:v>
                      </c:pt>
                      <c:pt idx="40">
                        <c:v>128.13771207461059</c:v>
                      </c:pt>
                      <c:pt idx="41">
                        <c:v>125.87558289512847</c:v>
                      </c:pt>
                      <c:pt idx="42">
                        <c:v>125.98472070641928</c:v>
                      </c:pt>
                    </c:numCache>
                  </c:numRef>
                </c:val>
                <c:smooth val="0"/>
                <c:extLst xmlns:c15="http://schemas.microsoft.com/office/drawing/2012/chart">
                  <c:ext xmlns:c16="http://schemas.microsoft.com/office/drawing/2014/chart" uri="{C3380CC4-5D6E-409C-BE32-E72D297353CC}">
                    <c16:uniqueId val="{00000011-A9DA-4C67-8C43-2AF5F89BC400}"/>
                  </c:ext>
                </c:extLst>
              </c15:ser>
            </c15:filteredLineSeries>
            <c15:filteredLineSeries>
              <c15:ser>
                <c:idx val="15"/>
                <c:order val="15"/>
                <c:tx>
                  <c:strRef>
                    <c:extLst xmlns:c15="http://schemas.microsoft.com/office/drawing/2012/chart">
                      <c:ext xmlns:c15="http://schemas.microsoft.com/office/drawing/2012/chart" uri="{02D57815-91ED-43cb-92C2-25804820EDAC}">
                        <c15:formulaRef>
                          <c15:sqref>'Sheet 1'!$BG$66</c15:sqref>
                        </c15:formulaRef>
                      </c:ext>
                    </c:extLst>
                    <c:strCache>
                      <c:ptCount val="1"/>
                      <c:pt idx="0">
                        <c:v>Latvia</c:v>
                      </c:pt>
                    </c:strCache>
                  </c:strRef>
                </c:tx>
                <c:spPr>
                  <a:ln w="28575" cap="rnd">
                    <a:solidFill>
                      <a:schemeClr val="accent4">
                        <a:lumMod val="80000"/>
                        <a:lumOff val="20000"/>
                      </a:schemeClr>
                    </a:solidFill>
                    <a:round/>
                  </a:ln>
                  <a:effectLst/>
                </c:spPr>
                <c:marker>
                  <c:symbol val="none"/>
                </c:marker>
                <c:cat>
                  <c:strRef>
                    <c:extLst xmlns:c15="http://schemas.microsoft.com/office/drawing/2012/chart">
                      <c:ext xmlns:c15="http://schemas.microsoft.com/office/drawing/2012/chart" uri="{02D57815-91ED-43cb-92C2-25804820EDAC}">
                        <c15:formulaRef>
                          <c15:sqref>'Sheet 1'!$BO$50:$DE$50</c15:sqref>
                        </c15:formulaRef>
                      </c:ext>
                    </c:extLst>
                    <c:strCache>
                      <c:ptCount val="43"/>
                      <c:pt idx="0">
                        <c:v>2021-08</c:v>
                      </c:pt>
                      <c:pt idx="1">
                        <c:v>2021-09</c:v>
                      </c:pt>
                      <c:pt idx="2">
                        <c:v>2021-10</c:v>
                      </c:pt>
                      <c:pt idx="3">
                        <c:v>2021-11</c:v>
                      </c:pt>
                      <c:pt idx="4">
                        <c:v>2021-12</c:v>
                      </c:pt>
                      <c:pt idx="5">
                        <c:v>2022-01</c:v>
                      </c:pt>
                      <c:pt idx="6">
                        <c:v>2022-02</c:v>
                      </c:pt>
                      <c:pt idx="7">
                        <c:v>2022-03</c:v>
                      </c:pt>
                      <c:pt idx="8">
                        <c:v>2022-04</c:v>
                      </c:pt>
                      <c:pt idx="9">
                        <c:v>2022-05</c:v>
                      </c:pt>
                      <c:pt idx="10">
                        <c:v>2022-06</c:v>
                      </c:pt>
                      <c:pt idx="11">
                        <c:v>2022-07</c:v>
                      </c:pt>
                      <c:pt idx="12">
                        <c:v>2022-08</c:v>
                      </c:pt>
                      <c:pt idx="13">
                        <c:v>2022-09</c:v>
                      </c:pt>
                      <c:pt idx="14">
                        <c:v>2022-10</c:v>
                      </c:pt>
                      <c:pt idx="15">
                        <c:v>2022-11</c:v>
                      </c:pt>
                      <c:pt idx="16">
                        <c:v>2022-12</c:v>
                      </c:pt>
                      <c:pt idx="17">
                        <c:v>2023-01</c:v>
                      </c:pt>
                      <c:pt idx="18">
                        <c:v>2023-02</c:v>
                      </c:pt>
                      <c:pt idx="19">
                        <c:v>2023-03</c:v>
                      </c:pt>
                      <c:pt idx="20">
                        <c:v>2023-04</c:v>
                      </c:pt>
                      <c:pt idx="21">
                        <c:v>2023-05</c:v>
                      </c:pt>
                      <c:pt idx="22">
                        <c:v>2023-06</c:v>
                      </c:pt>
                      <c:pt idx="23">
                        <c:v>2023-07</c:v>
                      </c:pt>
                      <c:pt idx="24">
                        <c:v>2023-08</c:v>
                      </c:pt>
                      <c:pt idx="25">
                        <c:v>2023-09</c:v>
                      </c:pt>
                      <c:pt idx="26">
                        <c:v>2023-10</c:v>
                      </c:pt>
                      <c:pt idx="27">
                        <c:v>2023-11</c:v>
                      </c:pt>
                      <c:pt idx="28">
                        <c:v>2023-12</c:v>
                      </c:pt>
                      <c:pt idx="29">
                        <c:v>2024-01</c:v>
                      </c:pt>
                      <c:pt idx="30">
                        <c:v>2024-02</c:v>
                      </c:pt>
                      <c:pt idx="31">
                        <c:v>2024-03</c:v>
                      </c:pt>
                      <c:pt idx="32">
                        <c:v>2024-04</c:v>
                      </c:pt>
                      <c:pt idx="33">
                        <c:v>2024-05</c:v>
                      </c:pt>
                      <c:pt idx="34">
                        <c:v>2024-06</c:v>
                      </c:pt>
                      <c:pt idx="35">
                        <c:v>2024-07</c:v>
                      </c:pt>
                      <c:pt idx="36">
                        <c:v>2024-08</c:v>
                      </c:pt>
                      <c:pt idx="37">
                        <c:v>2024-09</c:v>
                      </c:pt>
                      <c:pt idx="38">
                        <c:v>2024-10</c:v>
                      </c:pt>
                      <c:pt idx="39">
                        <c:v>2024-11</c:v>
                      </c:pt>
                      <c:pt idx="40">
                        <c:v>2024-12</c:v>
                      </c:pt>
                      <c:pt idx="41">
                        <c:v>2025-01</c:v>
                      </c:pt>
                      <c:pt idx="42">
                        <c:v>2025-02</c:v>
                      </c:pt>
                    </c:strCache>
                  </c:strRef>
                </c:cat>
                <c:val>
                  <c:numRef>
                    <c:extLst xmlns:c15="http://schemas.microsoft.com/office/drawing/2012/chart">
                      <c:ext xmlns:c15="http://schemas.microsoft.com/office/drawing/2012/chart" uri="{02D57815-91ED-43cb-92C2-25804820EDAC}">
                        <c15:formulaRef>
                          <c15:sqref>'Sheet 1'!$BO$66:$DE$66</c15:sqref>
                        </c15:formulaRef>
                      </c:ext>
                    </c:extLst>
                    <c:numCache>
                      <c:formatCode>0</c:formatCode>
                      <c:ptCount val="43"/>
                      <c:pt idx="0">
                        <c:v>102.79947345326899</c:v>
                      </c:pt>
                      <c:pt idx="1">
                        <c:v>103.36112329969285</c:v>
                      </c:pt>
                      <c:pt idx="2">
                        <c:v>104.04563405002195</c:v>
                      </c:pt>
                      <c:pt idx="3">
                        <c:v>105.7832382623958</c:v>
                      </c:pt>
                      <c:pt idx="4">
                        <c:v>107.34532689776218</c:v>
                      </c:pt>
                      <c:pt idx="5">
                        <c:v>109.44273804300131</c:v>
                      </c:pt>
                      <c:pt idx="6">
                        <c:v>113.27775340061433</c:v>
                      </c:pt>
                      <c:pt idx="7">
                        <c:v>116.13865730583591</c:v>
                      </c:pt>
                      <c:pt idx="8">
                        <c:v>120.47389205792014</c:v>
                      </c:pt>
                      <c:pt idx="9">
                        <c:v>123.12417727073279</c:v>
                      </c:pt>
                      <c:pt idx="10">
                        <c:v>126.46774901272488</c:v>
                      </c:pt>
                      <c:pt idx="11">
                        <c:v>128.53005704256253</c:v>
                      </c:pt>
                      <c:pt idx="12">
                        <c:v>129.79376919701625</c:v>
                      </c:pt>
                      <c:pt idx="13">
                        <c:v>132.2422114962703</c:v>
                      </c:pt>
                      <c:pt idx="14">
                        <c:v>135.25230364194823</c:v>
                      </c:pt>
                      <c:pt idx="15">
                        <c:v>137.58666081614743</c:v>
                      </c:pt>
                      <c:pt idx="16">
                        <c:v>138.8679245283019</c:v>
                      </c:pt>
                      <c:pt idx="17">
                        <c:v>140.59675296182536</c:v>
                      </c:pt>
                      <c:pt idx="18">
                        <c:v>142.00965335673541</c:v>
                      </c:pt>
                      <c:pt idx="19">
                        <c:v>144.36156208863537</c:v>
                      </c:pt>
                      <c:pt idx="20">
                        <c:v>144.69504168494953</c:v>
                      </c:pt>
                      <c:pt idx="21">
                        <c:v>144.49319877139095</c:v>
                      </c:pt>
                      <c:pt idx="22">
                        <c:v>144.30013163668275</c:v>
                      </c:pt>
                      <c:pt idx="23">
                        <c:v>142.65906099166301</c:v>
                      </c:pt>
                      <c:pt idx="24">
                        <c:v>139.49978060552874</c:v>
                      </c:pt>
                      <c:pt idx="25">
                        <c:v>138.9907854322071</c:v>
                      </c:pt>
                      <c:pt idx="26">
                        <c:v>140.22817025010968</c:v>
                      </c:pt>
                      <c:pt idx="27">
                        <c:v>141.47433084686267</c:v>
                      </c:pt>
                      <c:pt idx="28">
                        <c:v>141.58841597191753</c:v>
                      </c:pt>
                      <c:pt idx="29">
                        <c:v>143.79113646336111</c:v>
                      </c:pt>
                      <c:pt idx="30">
                        <c:v>143.58051777095218</c:v>
                      </c:pt>
                      <c:pt idx="31">
                        <c:v>144.41421676173761</c:v>
                      </c:pt>
                      <c:pt idx="32">
                        <c:v>145.08117595436593</c:v>
                      </c:pt>
                      <c:pt idx="33">
                        <c:v>145.17770952172003</c:v>
                      </c:pt>
                      <c:pt idx="34">
                        <c:v>145.88854760860025</c:v>
                      </c:pt>
                      <c:pt idx="35">
                        <c:v>145.45853444493198</c:v>
                      </c:pt>
                      <c:pt idx="36">
                        <c:v>144.26502852128124</c:v>
                      </c:pt>
                      <c:pt idx="37">
                        <c:v>145.31812198332602</c:v>
                      </c:pt>
                      <c:pt idx="38">
                        <c:v>147.82799473453267</c:v>
                      </c:pt>
                      <c:pt idx="39">
                        <c:v>147.87187362878456</c:v>
                      </c:pt>
                      <c:pt idx="40">
                        <c:v>148.63536638876701</c:v>
                      </c:pt>
                      <c:pt idx="41">
                        <c:v>149.60947784115839</c:v>
                      </c:pt>
                      <c:pt idx="42">
                        <c:v>150.66257130320315</c:v>
                      </c:pt>
                    </c:numCache>
                  </c:numRef>
                </c:val>
                <c:smooth val="0"/>
                <c:extLst xmlns:c15="http://schemas.microsoft.com/office/drawing/2012/chart">
                  <c:ext xmlns:c16="http://schemas.microsoft.com/office/drawing/2014/chart" uri="{C3380CC4-5D6E-409C-BE32-E72D297353CC}">
                    <c16:uniqueId val="{00000012-A9DA-4C67-8C43-2AF5F89BC400}"/>
                  </c:ext>
                </c:extLst>
              </c15:ser>
            </c15:filteredLineSeries>
            <c15:filteredLineSeries>
              <c15:ser>
                <c:idx val="16"/>
                <c:order val="16"/>
                <c:tx>
                  <c:strRef>
                    <c:extLst xmlns:c15="http://schemas.microsoft.com/office/drawing/2012/chart">
                      <c:ext xmlns:c15="http://schemas.microsoft.com/office/drawing/2012/chart" uri="{02D57815-91ED-43cb-92C2-25804820EDAC}">
                        <c15:formulaRef>
                          <c15:sqref>'Sheet 1'!$BG$67</c15:sqref>
                        </c15:formulaRef>
                      </c:ext>
                    </c:extLst>
                    <c:strCache>
                      <c:ptCount val="1"/>
                      <c:pt idx="0">
                        <c:v>Lithuania</c:v>
                      </c:pt>
                    </c:strCache>
                  </c:strRef>
                </c:tx>
                <c:spPr>
                  <a:ln w="28575" cap="rnd">
                    <a:solidFill>
                      <a:schemeClr val="accent5">
                        <a:lumMod val="80000"/>
                        <a:lumOff val="20000"/>
                      </a:schemeClr>
                    </a:solidFill>
                    <a:round/>
                  </a:ln>
                  <a:effectLst/>
                </c:spPr>
                <c:marker>
                  <c:symbol val="none"/>
                </c:marker>
                <c:cat>
                  <c:strRef>
                    <c:extLst xmlns:c15="http://schemas.microsoft.com/office/drawing/2012/chart">
                      <c:ext xmlns:c15="http://schemas.microsoft.com/office/drawing/2012/chart" uri="{02D57815-91ED-43cb-92C2-25804820EDAC}">
                        <c15:formulaRef>
                          <c15:sqref>'Sheet 1'!$BO$50:$DE$50</c15:sqref>
                        </c15:formulaRef>
                      </c:ext>
                    </c:extLst>
                    <c:strCache>
                      <c:ptCount val="43"/>
                      <c:pt idx="0">
                        <c:v>2021-08</c:v>
                      </c:pt>
                      <c:pt idx="1">
                        <c:v>2021-09</c:v>
                      </c:pt>
                      <c:pt idx="2">
                        <c:v>2021-10</c:v>
                      </c:pt>
                      <c:pt idx="3">
                        <c:v>2021-11</c:v>
                      </c:pt>
                      <c:pt idx="4">
                        <c:v>2021-12</c:v>
                      </c:pt>
                      <c:pt idx="5">
                        <c:v>2022-01</c:v>
                      </c:pt>
                      <c:pt idx="6">
                        <c:v>2022-02</c:v>
                      </c:pt>
                      <c:pt idx="7">
                        <c:v>2022-03</c:v>
                      </c:pt>
                      <c:pt idx="8">
                        <c:v>2022-04</c:v>
                      </c:pt>
                      <c:pt idx="9">
                        <c:v>2022-05</c:v>
                      </c:pt>
                      <c:pt idx="10">
                        <c:v>2022-06</c:v>
                      </c:pt>
                      <c:pt idx="11">
                        <c:v>2022-07</c:v>
                      </c:pt>
                      <c:pt idx="12">
                        <c:v>2022-08</c:v>
                      </c:pt>
                      <c:pt idx="13">
                        <c:v>2022-09</c:v>
                      </c:pt>
                      <c:pt idx="14">
                        <c:v>2022-10</c:v>
                      </c:pt>
                      <c:pt idx="15">
                        <c:v>2022-11</c:v>
                      </c:pt>
                      <c:pt idx="16">
                        <c:v>2022-12</c:v>
                      </c:pt>
                      <c:pt idx="17">
                        <c:v>2023-01</c:v>
                      </c:pt>
                      <c:pt idx="18">
                        <c:v>2023-02</c:v>
                      </c:pt>
                      <c:pt idx="19">
                        <c:v>2023-03</c:v>
                      </c:pt>
                      <c:pt idx="20">
                        <c:v>2023-04</c:v>
                      </c:pt>
                      <c:pt idx="21">
                        <c:v>2023-05</c:v>
                      </c:pt>
                      <c:pt idx="22">
                        <c:v>2023-06</c:v>
                      </c:pt>
                      <c:pt idx="23">
                        <c:v>2023-07</c:v>
                      </c:pt>
                      <c:pt idx="24">
                        <c:v>2023-08</c:v>
                      </c:pt>
                      <c:pt idx="25">
                        <c:v>2023-09</c:v>
                      </c:pt>
                      <c:pt idx="26">
                        <c:v>2023-10</c:v>
                      </c:pt>
                      <c:pt idx="27">
                        <c:v>2023-11</c:v>
                      </c:pt>
                      <c:pt idx="28">
                        <c:v>2023-12</c:v>
                      </c:pt>
                      <c:pt idx="29">
                        <c:v>2024-01</c:v>
                      </c:pt>
                      <c:pt idx="30">
                        <c:v>2024-02</c:v>
                      </c:pt>
                      <c:pt idx="31">
                        <c:v>2024-03</c:v>
                      </c:pt>
                      <c:pt idx="32">
                        <c:v>2024-04</c:v>
                      </c:pt>
                      <c:pt idx="33">
                        <c:v>2024-05</c:v>
                      </c:pt>
                      <c:pt idx="34">
                        <c:v>2024-06</c:v>
                      </c:pt>
                      <c:pt idx="35">
                        <c:v>2024-07</c:v>
                      </c:pt>
                      <c:pt idx="36">
                        <c:v>2024-08</c:v>
                      </c:pt>
                      <c:pt idx="37">
                        <c:v>2024-09</c:v>
                      </c:pt>
                      <c:pt idx="38">
                        <c:v>2024-10</c:v>
                      </c:pt>
                      <c:pt idx="39">
                        <c:v>2024-11</c:v>
                      </c:pt>
                      <c:pt idx="40">
                        <c:v>2024-12</c:v>
                      </c:pt>
                      <c:pt idx="41">
                        <c:v>2025-01</c:v>
                      </c:pt>
                      <c:pt idx="42">
                        <c:v>2025-02</c:v>
                      </c:pt>
                    </c:strCache>
                  </c:strRef>
                </c:cat>
                <c:val>
                  <c:numRef>
                    <c:extLst xmlns:c15="http://schemas.microsoft.com/office/drawing/2012/chart">
                      <c:ext xmlns:c15="http://schemas.microsoft.com/office/drawing/2012/chart" uri="{02D57815-91ED-43cb-92C2-25804820EDAC}">
                        <c15:formulaRef>
                          <c15:sqref>'Sheet 1'!$BO$67:$DE$67</c15:sqref>
                        </c15:formulaRef>
                      </c:ext>
                    </c:extLst>
                    <c:numCache>
                      <c:formatCode>0</c:formatCode>
                      <c:ptCount val="43"/>
                      <c:pt idx="0">
                        <c:v>102.49955681616736</c:v>
                      </c:pt>
                      <c:pt idx="1">
                        <c:v>106.07161850735687</c:v>
                      </c:pt>
                      <c:pt idx="2">
                        <c:v>106.79843999290905</c:v>
                      </c:pt>
                      <c:pt idx="3">
                        <c:v>107.6316255982982</c:v>
                      </c:pt>
                      <c:pt idx="4">
                        <c:v>109.93618152809785</c:v>
                      </c:pt>
                      <c:pt idx="5">
                        <c:v>112.79028541038825</c:v>
                      </c:pt>
                      <c:pt idx="6">
                        <c:v>115.63552561602555</c:v>
                      </c:pt>
                      <c:pt idx="7">
                        <c:v>118.53394788158127</c:v>
                      </c:pt>
                      <c:pt idx="8">
                        <c:v>125.72238964722568</c:v>
                      </c:pt>
                      <c:pt idx="9">
                        <c:v>129.30331501506825</c:v>
                      </c:pt>
                      <c:pt idx="10">
                        <c:v>132.0333274242156</c:v>
                      </c:pt>
                      <c:pt idx="11">
                        <c:v>132.82219464633931</c:v>
                      </c:pt>
                      <c:pt idx="12">
                        <c:v>133.34515156887076</c:v>
                      </c:pt>
                      <c:pt idx="13">
                        <c:v>137.40471547597946</c:v>
                      </c:pt>
                      <c:pt idx="14">
                        <c:v>142.41269278496719</c:v>
                      </c:pt>
                      <c:pt idx="15">
                        <c:v>145.02747739762455</c:v>
                      </c:pt>
                      <c:pt idx="16">
                        <c:v>146.73816699166818</c:v>
                      </c:pt>
                      <c:pt idx="17">
                        <c:v>148.90976777167171</c:v>
                      </c:pt>
                      <c:pt idx="18">
                        <c:v>150.02659102995923</c:v>
                      </c:pt>
                      <c:pt idx="19">
                        <c:v>151.13455061159368</c:v>
                      </c:pt>
                      <c:pt idx="20">
                        <c:v>152.26023754653431</c:v>
                      </c:pt>
                      <c:pt idx="21">
                        <c:v>152.34001063641202</c:v>
                      </c:pt>
                      <c:pt idx="22">
                        <c:v>150.93068604857297</c:v>
                      </c:pt>
                      <c:pt idx="23">
                        <c:v>150.03545470661231</c:v>
                      </c:pt>
                      <c:pt idx="24">
                        <c:v>148.77681262187556</c:v>
                      </c:pt>
                      <c:pt idx="25">
                        <c:v>149.84045382024465</c:v>
                      </c:pt>
                      <c:pt idx="26">
                        <c:v>150.55841162914379</c:v>
                      </c:pt>
                      <c:pt idx="27">
                        <c:v>150.01772735330616</c:v>
                      </c:pt>
                      <c:pt idx="28">
                        <c:v>148.84772203510016</c:v>
                      </c:pt>
                      <c:pt idx="29">
                        <c:v>150.34568338946997</c:v>
                      </c:pt>
                      <c:pt idx="30">
                        <c:v>149.84045382024465</c:v>
                      </c:pt>
                      <c:pt idx="31">
                        <c:v>149.57454352065238</c:v>
                      </c:pt>
                      <c:pt idx="32">
                        <c:v>150.1506825031023</c:v>
                      </c:pt>
                      <c:pt idx="33">
                        <c:v>151.47137032441057</c:v>
                      </c:pt>
                      <c:pt idx="34">
                        <c:v>150.53182059918456</c:v>
                      </c:pt>
                      <c:pt idx="35">
                        <c:v>149.20226910122321</c:v>
                      </c:pt>
                      <c:pt idx="36">
                        <c:v>147.74862613011879</c:v>
                      </c:pt>
                      <c:pt idx="37">
                        <c:v>149.98227264669387</c:v>
                      </c:pt>
                      <c:pt idx="38">
                        <c:v>149.68090764048929</c:v>
                      </c:pt>
                      <c:pt idx="39">
                        <c:v>150.62932104236839</c:v>
                      </c:pt>
                      <c:pt idx="40">
                        <c:v>150.30136500620458</c:v>
                      </c:pt>
                      <c:pt idx="41">
                        <c:v>153.66069845772029</c:v>
                      </c:pt>
                      <c:pt idx="42">
                        <c:v>153.54547066123027</c:v>
                      </c:pt>
                    </c:numCache>
                  </c:numRef>
                </c:val>
                <c:smooth val="0"/>
                <c:extLst xmlns:c15="http://schemas.microsoft.com/office/drawing/2012/chart">
                  <c:ext xmlns:c16="http://schemas.microsoft.com/office/drawing/2014/chart" uri="{C3380CC4-5D6E-409C-BE32-E72D297353CC}">
                    <c16:uniqueId val="{00000013-A9DA-4C67-8C43-2AF5F89BC400}"/>
                  </c:ext>
                </c:extLst>
              </c15:ser>
            </c15:filteredLineSeries>
            <c15:filteredLineSeries>
              <c15:ser>
                <c:idx val="17"/>
                <c:order val="17"/>
                <c:tx>
                  <c:strRef>
                    <c:extLst xmlns:c15="http://schemas.microsoft.com/office/drawing/2012/chart">
                      <c:ext xmlns:c15="http://schemas.microsoft.com/office/drawing/2012/chart" uri="{02D57815-91ED-43cb-92C2-25804820EDAC}">
                        <c15:formulaRef>
                          <c15:sqref>'Sheet 1'!$BG$68</c15:sqref>
                        </c15:formulaRef>
                      </c:ext>
                    </c:extLst>
                    <c:strCache>
                      <c:ptCount val="1"/>
                      <c:pt idx="0">
                        <c:v>Luxembourg</c:v>
                      </c:pt>
                    </c:strCache>
                  </c:strRef>
                </c:tx>
                <c:spPr>
                  <a:ln w="28575" cap="rnd">
                    <a:solidFill>
                      <a:schemeClr val="accent6">
                        <a:lumMod val="80000"/>
                        <a:lumOff val="20000"/>
                      </a:schemeClr>
                    </a:solidFill>
                    <a:round/>
                  </a:ln>
                  <a:effectLst/>
                </c:spPr>
                <c:marker>
                  <c:symbol val="none"/>
                </c:marker>
                <c:cat>
                  <c:strRef>
                    <c:extLst xmlns:c15="http://schemas.microsoft.com/office/drawing/2012/chart">
                      <c:ext xmlns:c15="http://schemas.microsoft.com/office/drawing/2012/chart" uri="{02D57815-91ED-43cb-92C2-25804820EDAC}">
                        <c15:formulaRef>
                          <c15:sqref>'Sheet 1'!$BO$50:$DE$50</c15:sqref>
                        </c15:formulaRef>
                      </c:ext>
                    </c:extLst>
                    <c:strCache>
                      <c:ptCount val="43"/>
                      <c:pt idx="0">
                        <c:v>2021-08</c:v>
                      </c:pt>
                      <c:pt idx="1">
                        <c:v>2021-09</c:v>
                      </c:pt>
                      <c:pt idx="2">
                        <c:v>2021-10</c:v>
                      </c:pt>
                      <c:pt idx="3">
                        <c:v>2021-11</c:v>
                      </c:pt>
                      <c:pt idx="4">
                        <c:v>2021-12</c:v>
                      </c:pt>
                      <c:pt idx="5">
                        <c:v>2022-01</c:v>
                      </c:pt>
                      <c:pt idx="6">
                        <c:v>2022-02</c:v>
                      </c:pt>
                      <c:pt idx="7">
                        <c:v>2022-03</c:v>
                      </c:pt>
                      <c:pt idx="8">
                        <c:v>2022-04</c:v>
                      </c:pt>
                      <c:pt idx="9">
                        <c:v>2022-05</c:v>
                      </c:pt>
                      <c:pt idx="10">
                        <c:v>2022-06</c:v>
                      </c:pt>
                      <c:pt idx="11">
                        <c:v>2022-07</c:v>
                      </c:pt>
                      <c:pt idx="12">
                        <c:v>2022-08</c:v>
                      </c:pt>
                      <c:pt idx="13">
                        <c:v>2022-09</c:v>
                      </c:pt>
                      <c:pt idx="14">
                        <c:v>2022-10</c:v>
                      </c:pt>
                      <c:pt idx="15">
                        <c:v>2022-11</c:v>
                      </c:pt>
                      <c:pt idx="16">
                        <c:v>2022-12</c:v>
                      </c:pt>
                      <c:pt idx="17">
                        <c:v>2023-01</c:v>
                      </c:pt>
                      <c:pt idx="18">
                        <c:v>2023-02</c:v>
                      </c:pt>
                      <c:pt idx="19">
                        <c:v>2023-03</c:v>
                      </c:pt>
                      <c:pt idx="20">
                        <c:v>2023-04</c:v>
                      </c:pt>
                      <c:pt idx="21">
                        <c:v>2023-05</c:v>
                      </c:pt>
                      <c:pt idx="22">
                        <c:v>2023-06</c:v>
                      </c:pt>
                      <c:pt idx="23">
                        <c:v>2023-07</c:v>
                      </c:pt>
                      <c:pt idx="24">
                        <c:v>2023-08</c:v>
                      </c:pt>
                      <c:pt idx="25">
                        <c:v>2023-09</c:v>
                      </c:pt>
                      <c:pt idx="26">
                        <c:v>2023-10</c:v>
                      </c:pt>
                      <c:pt idx="27">
                        <c:v>2023-11</c:v>
                      </c:pt>
                      <c:pt idx="28">
                        <c:v>2023-12</c:v>
                      </c:pt>
                      <c:pt idx="29">
                        <c:v>2024-01</c:v>
                      </c:pt>
                      <c:pt idx="30">
                        <c:v>2024-02</c:v>
                      </c:pt>
                      <c:pt idx="31">
                        <c:v>2024-03</c:v>
                      </c:pt>
                      <c:pt idx="32">
                        <c:v>2024-04</c:v>
                      </c:pt>
                      <c:pt idx="33">
                        <c:v>2024-05</c:v>
                      </c:pt>
                      <c:pt idx="34">
                        <c:v>2024-06</c:v>
                      </c:pt>
                      <c:pt idx="35">
                        <c:v>2024-07</c:v>
                      </c:pt>
                      <c:pt idx="36">
                        <c:v>2024-08</c:v>
                      </c:pt>
                      <c:pt idx="37">
                        <c:v>2024-09</c:v>
                      </c:pt>
                      <c:pt idx="38">
                        <c:v>2024-10</c:v>
                      </c:pt>
                      <c:pt idx="39">
                        <c:v>2024-11</c:v>
                      </c:pt>
                      <c:pt idx="40">
                        <c:v>2024-12</c:v>
                      </c:pt>
                      <c:pt idx="41">
                        <c:v>2025-01</c:v>
                      </c:pt>
                      <c:pt idx="42">
                        <c:v>2025-02</c:v>
                      </c:pt>
                    </c:strCache>
                  </c:strRef>
                </c:cat>
                <c:val>
                  <c:numRef>
                    <c:extLst xmlns:c15="http://schemas.microsoft.com/office/drawing/2012/chart">
                      <c:ext xmlns:c15="http://schemas.microsoft.com/office/drawing/2012/chart" uri="{02D57815-91ED-43cb-92C2-25804820EDAC}">
                        <c15:formulaRef>
                          <c15:sqref>'Sheet 1'!$BO$68:$DE$68</c15:sqref>
                        </c15:formulaRef>
                      </c:ext>
                    </c:extLst>
                    <c:numCache>
                      <c:formatCode>0</c:formatCode>
                      <c:ptCount val="43"/>
                      <c:pt idx="0">
                        <c:v>101.32063606145</c:v>
                      </c:pt>
                      <c:pt idx="1">
                        <c:v>101.23978079238162</c:v>
                      </c:pt>
                      <c:pt idx="2">
                        <c:v>101.31165214266463</c:v>
                      </c:pt>
                      <c:pt idx="3">
                        <c:v>101.71592848800645</c:v>
                      </c:pt>
                      <c:pt idx="4">
                        <c:v>101.89560686371395</c:v>
                      </c:pt>
                      <c:pt idx="5">
                        <c:v>102.85688617374898</c:v>
                      </c:pt>
                      <c:pt idx="6">
                        <c:v>103.53068008265205</c:v>
                      </c:pt>
                      <c:pt idx="7">
                        <c:v>104.85131614410206</c:v>
                      </c:pt>
                      <c:pt idx="8">
                        <c:v>106.14500044919595</c:v>
                      </c:pt>
                      <c:pt idx="9">
                        <c:v>106.818794358099</c:v>
                      </c:pt>
                      <c:pt idx="10">
                        <c:v>108.03162339412451</c:v>
                      </c:pt>
                      <c:pt idx="11">
                        <c:v>108.90306351630581</c:v>
                      </c:pt>
                      <c:pt idx="12">
                        <c:v>109.83739106998473</c:v>
                      </c:pt>
                      <c:pt idx="13">
                        <c:v>110.54712065402927</c:v>
                      </c:pt>
                      <c:pt idx="14">
                        <c:v>112.40679184260173</c:v>
                      </c:pt>
                      <c:pt idx="15">
                        <c:v>112.73919683766059</c:v>
                      </c:pt>
                      <c:pt idx="16">
                        <c:v>113.21534453328542</c:v>
                      </c:pt>
                      <c:pt idx="17">
                        <c:v>115.30859761027759</c:v>
                      </c:pt>
                      <c:pt idx="18">
                        <c:v>117.52762555026501</c:v>
                      </c:pt>
                      <c:pt idx="19">
                        <c:v>119.05489174377864</c:v>
                      </c:pt>
                      <c:pt idx="20">
                        <c:v>119.63884646482794</c:v>
                      </c:pt>
                      <c:pt idx="21">
                        <c:v>120.13296199802352</c:v>
                      </c:pt>
                      <c:pt idx="22">
                        <c:v>120.33060821130177</c:v>
                      </c:pt>
                      <c:pt idx="23">
                        <c:v>120.3216242925164</c:v>
                      </c:pt>
                      <c:pt idx="24">
                        <c:v>120.77082023178511</c:v>
                      </c:pt>
                      <c:pt idx="25">
                        <c:v>120.42943131794088</c:v>
                      </c:pt>
                      <c:pt idx="26">
                        <c:v>121.23798400862455</c:v>
                      </c:pt>
                      <c:pt idx="27">
                        <c:v>121.53445332854191</c:v>
                      </c:pt>
                      <c:pt idx="28">
                        <c:v>121.49851765340043</c:v>
                      </c:pt>
                      <c:pt idx="29">
                        <c:v>122.7203306082113</c:v>
                      </c:pt>
                      <c:pt idx="30">
                        <c:v>122.22621507501572</c:v>
                      </c:pt>
                      <c:pt idx="31">
                        <c:v>122.73829844578205</c:v>
                      </c:pt>
                      <c:pt idx="32">
                        <c:v>122.39690953193785</c:v>
                      </c:pt>
                      <c:pt idx="33">
                        <c:v>122.75626628335279</c:v>
                      </c:pt>
                      <c:pt idx="34">
                        <c:v>122.28910250651334</c:v>
                      </c:pt>
                      <c:pt idx="35">
                        <c:v>121.98364926781062</c:v>
                      </c:pt>
                      <c:pt idx="36">
                        <c:v>121.94771359266913</c:v>
                      </c:pt>
                      <c:pt idx="37">
                        <c:v>122.20824723744497</c:v>
                      </c:pt>
                      <c:pt idx="38">
                        <c:v>123.02578384691402</c:v>
                      </c:pt>
                      <c:pt idx="39">
                        <c:v>122.50471655736233</c:v>
                      </c:pt>
                      <c:pt idx="40">
                        <c:v>122.1992633186596</c:v>
                      </c:pt>
                      <c:pt idx="41">
                        <c:v>123.43904411104123</c:v>
                      </c:pt>
                      <c:pt idx="42">
                        <c:v>123.4839637049681</c:v>
                      </c:pt>
                    </c:numCache>
                  </c:numRef>
                </c:val>
                <c:smooth val="0"/>
                <c:extLst xmlns:c15="http://schemas.microsoft.com/office/drawing/2012/chart">
                  <c:ext xmlns:c16="http://schemas.microsoft.com/office/drawing/2014/chart" uri="{C3380CC4-5D6E-409C-BE32-E72D297353CC}">
                    <c16:uniqueId val="{00000014-A9DA-4C67-8C43-2AF5F89BC400}"/>
                  </c:ext>
                </c:extLst>
              </c15:ser>
            </c15:filteredLineSeries>
            <c15:filteredLineSeries>
              <c15:ser>
                <c:idx val="18"/>
                <c:order val="18"/>
                <c:tx>
                  <c:strRef>
                    <c:extLst xmlns:c15="http://schemas.microsoft.com/office/drawing/2012/chart">
                      <c:ext xmlns:c15="http://schemas.microsoft.com/office/drawing/2012/chart" uri="{02D57815-91ED-43cb-92C2-25804820EDAC}">
                        <c15:formulaRef>
                          <c15:sqref>'Sheet 1'!$BG$69</c15:sqref>
                        </c15:formulaRef>
                      </c:ext>
                    </c:extLst>
                    <c:strCache>
                      <c:ptCount val="1"/>
                      <c:pt idx="0">
                        <c:v>Hungary</c:v>
                      </c:pt>
                    </c:strCache>
                  </c:strRef>
                </c:tx>
                <c:spPr>
                  <a:ln w="28575" cap="rnd">
                    <a:solidFill>
                      <a:schemeClr val="accent1">
                        <a:lumMod val="80000"/>
                      </a:schemeClr>
                    </a:solidFill>
                    <a:round/>
                  </a:ln>
                  <a:effectLst/>
                </c:spPr>
                <c:marker>
                  <c:symbol val="none"/>
                </c:marker>
                <c:cat>
                  <c:strRef>
                    <c:extLst xmlns:c15="http://schemas.microsoft.com/office/drawing/2012/chart">
                      <c:ext xmlns:c15="http://schemas.microsoft.com/office/drawing/2012/chart" uri="{02D57815-91ED-43cb-92C2-25804820EDAC}">
                        <c15:formulaRef>
                          <c15:sqref>'Sheet 1'!$BO$50:$DE$50</c15:sqref>
                        </c15:formulaRef>
                      </c:ext>
                    </c:extLst>
                    <c:strCache>
                      <c:ptCount val="43"/>
                      <c:pt idx="0">
                        <c:v>2021-08</c:v>
                      </c:pt>
                      <c:pt idx="1">
                        <c:v>2021-09</c:v>
                      </c:pt>
                      <c:pt idx="2">
                        <c:v>2021-10</c:v>
                      </c:pt>
                      <c:pt idx="3">
                        <c:v>2021-11</c:v>
                      </c:pt>
                      <c:pt idx="4">
                        <c:v>2021-12</c:v>
                      </c:pt>
                      <c:pt idx="5">
                        <c:v>2022-01</c:v>
                      </c:pt>
                      <c:pt idx="6">
                        <c:v>2022-02</c:v>
                      </c:pt>
                      <c:pt idx="7">
                        <c:v>2022-03</c:v>
                      </c:pt>
                      <c:pt idx="8">
                        <c:v>2022-04</c:v>
                      </c:pt>
                      <c:pt idx="9">
                        <c:v>2022-05</c:v>
                      </c:pt>
                      <c:pt idx="10">
                        <c:v>2022-06</c:v>
                      </c:pt>
                      <c:pt idx="11">
                        <c:v>2022-07</c:v>
                      </c:pt>
                      <c:pt idx="12">
                        <c:v>2022-08</c:v>
                      </c:pt>
                      <c:pt idx="13">
                        <c:v>2022-09</c:v>
                      </c:pt>
                      <c:pt idx="14">
                        <c:v>2022-10</c:v>
                      </c:pt>
                      <c:pt idx="15">
                        <c:v>2022-11</c:v>
                      </c:pt>
                      <c:pt idx="16">
                        <c:v>2022-12</c:v>
                      </c:pt>
                      <c:pt idx="17">
                        <c:v>2023-01</c:v>
                      </c:pt>
                      <c:pt idx="18">
                        <c:v>2023-02</c:v>
                      </c:pt>
                      <c:pt idx="19">
                        <c:v>2023-03</c:v>
                      </c:pt>
                      <c:pt idx="20">
                        <c:v>2023-04</c:v>
                      </c:pt>
                      <c:pt idx="21">
                        <c:v>2023-05</c:v>
                      </c:pt>
                      <c:pt idx="22">
                        <c:v>2023-06</c:v>
                      </c:pt>
                      <c:pt idx="23">
                        <c:v>2023-07</c:v>
                      </c:pt>
                      <c:pt idx="24">
                        <c:v>2023-08</c:v>
                      </c:pt>
                      <c:pt idx="25">
                        <c:v>2023-09</c:v>
                      </c:pt>
                      <c:pt idx="26">
                        <c:v>2023-10</c:v>
                      </c:pt>
                      <c:pt idx="27">
                        <c:v>2023-11</c:v>
                      </c:pt>
                      <c:pt idx="28">
                        <c:v>2023-12</c:v>
                      </c:pt>
                      <c:pt idx="29">
                        <c:v>2024-01</c:v>
                      </c:pt>
                      <c:pt idx="30">
                        <c:v>2024-02</c:v>
                      </c:pt>
                      <c:pt idx="31">
                        <c:v>2024-03</c:v>
                      </c:pt>
                      <c:pt idx="32">
                        <c:v>2024-04</c:v>
                      </c:pt>
                      <c:pt idx="33">
                        <c:v>2024-05</c:v>
                      </c:pt>
                      <c:pt idx="34">
                        <c:v>2024-06</c:v>
                      </c:pt>
                      <c:pt idx="35">
                        <c:v>2024-07</c:v>
                      </c:pt>
                      <c:pt idx="36">
                        <c:v>2024-08</c:v>
                      </c:pt>
                      <c:pt idx="37">
                        <c:v>2024-09</c:v>
                      </c:pt>
                      <c:pt idx="38">
                        <c:v>2024-10</c:v>
                      </c:pt>
                      <c:pt idx="39">
                        <c:v>2024-11</c:v>
                      </c:pt>
                      <c:pt idx="40">
                        <c:v>2024-12</c:v>
                      </c:pt>
                      <c:pt idx="41">
                        <c:v>2025-01</c:v>
                      </c:pt>
                      <c:pt idx="42">
                        <c:v>2025-02</c:v>
                      </c:pt>
                    </c:strCache>
                  </c:strRef>
                </c:cat>
                <c:val>
                  <c:numRef>
                    <c:extLst xmlns:c15="http://schemas.microsoft.com/office/drawing/2012/chart">
                      <c:ext xmlns:c15="http://schemas.microsoft.com/office/drawing/2012/chart" uri="{02D57815-91ED-43cb-92C2-25804820EDAC}">
                        <c15:formulaRef>
                          <c15:sqref>'Sheet 1'!$BO$69:$DE$69</c15:sqref>
                        </c15:formulaRef>
                      </c:ext>
                    </c:extLst>
                    <c:numCache>
                      <c:formatCode>0</c:formatCode>
                      <c:ptCount val="43"/>
                      <c:pt idx="0">
                        <c:v>103.60522022838498</c:v>
                      </c:pt>
                      <c:pt idx="1">
                        <c:v>103.67862969004895</c:v>
                      </c:pt>
                      <c:pt idx="2">
                        <c:v>104.34747145187603</c:v>
                      </c:pt>
                      <c:pt idx="3">
                        <c:v>105.35073409461664</c:v>
                      </c:pt>
                      <c:pt idx="4">
                        <c:v>107.17781402936379</c:v>
                      </c:pt>
                      <c:pt idx="5">
                        <c:v>110.93800978792822</c:v>
                      </c:pt>
                      <c:pt idx="6">
                        <c:v>113.34420880913541</c:v>
                      </c:pt>
                      <c:pt idx="7">
                        <c:v>115.94616639477979</c:v>
                      </c:pt>
                      <c:pt idx="8">
                        <c:v>120.54649265905384</c:v>
                      </c:pt>
                      <c:pt idx="9">
                        <c:v>125.14681892332791</c:v>
                      </c:pt>
                      <c:pt idx="10">
                        <c:v>128.70309951060358</c:v>
                      </c:pt>
                      <c:pt idx="11">
                        <c:v>134.17618270799346</c:v>
                      </c:pt>
                      <c:pt idx="12">
                        <c:v>138.84176182707995</c:v>
                      </c:pt>
                      <c:pt idx="13">
                        <c:v>144.13539967373575</c:v>
                      </c:pt>
                      <c:pt idx="14">
                        <c:v>151.50897226753671</c:v>
                      </c:pt>
                      <c:pt idx="15">
                        <c:v>157.14518760195759</c:v>
                      </c:pt>
                      <c:pt idx="16">
                        <c:v>160.326264274062</c:v>
                      </c:pt>
                      <c:pt idx="17">
                        <c:v>164.44535073409463</c:v>
                      </c:pt>
                      <c:pt idx="18">
                        <c:v>166.62316476345842</c:v>
                      </c:pt>
                      <c:pt idx="19">
                        <c:v>168.20554649265907</c:v>
                      </c:pt>
                      <c:pt idx="20">
                        <c:v>166.9983686786297</c:v>
                      </c:pt>
                      <c:pt idx="21">
                        <c:v>166.74551386623168</c:v>
                      </c:pt>
                      <c:pt idx="22">
                        <c:v>165.25285481239806</c:v>
                      </c:pt>
                      <c:pt idx="23">
                        <c:v>162.38172920065256</c:v>
                      </c:pt>
                      <c:pt idx="24">
                        <c:v>162.56933115823819</c:v>
                      </c:pt>
                      <c:pt idx="25">
                        <c:v>161.00326264274059</c:v>
                      </c:pt>
                      <c:pt idx="26">
                        <c:v>160.61990212071777</c:v>
                      </c:pt>
                      <c:pt idx="27">
                        <c:v>161.62316476345842</c:v>
                      </c:pt>
                      <c:pt idx="28">
                        <c:v>161.06851549755302</c:v>
                      </c:pt>
                      <c:pt idx="29">
                        <c:v>163.1647634584013</c:v>
                      </c:pt>
                      <c:pt idx="30">
                        <c:v>163.01794453507344</c:v>
                      </c:pt>
                      <c:pt idx="31">
                        <c:v>162.82218597063621</c:v>
                      </c:pt>
                      <c:pt idx="32">
                        <c:v>162.89559543230015</c:v>
                      </c:pt>
                      <c:pt idx="33">
                        <c:v>162.90375203915173</c:v>
                      </c:pt>
                      <c:pt idx="34">
                        <c:v>161.68026101141925</c:v>
                      </c:pt>
                      <c:pt idx="35">
                        <c:v>162.74061990212076</c:v>
                      </c:pt>
                      <c:pt idx="36">
                        <c:v>162.61827079934747</c:v>
                      </c:pt>
                      <c:pt idx="37">
                        <c:v>164.38825448613377</c:v>
                      </c:pt>
                      <c:pt idx="38">
                        <c:v>165.97879282218599</c:v>
                      </c:pt>
                      <c:pt idx="39">
                        <c:v>167.3572593800979</c:v>
                      </c:pt>
                      <c:pt idx="40">
                        <c:v>167.85481239804241</c:v>
                      </c:pt>
                      <c:pt idx="41">
                        <c:v>171.56606851549756</c:v>
                      </c:pt>
                      <c:pt idx="42">
                        <c:v>173.55628058727569</c:v>
                      </c:pt>
                    </c:numCache>
                  </c:numRef>
                </c:val>
                <c:smooth val="0"/>
                <c:extLst xmlns:c15="http://schemas.microsoft.com/office/drawing/2012/chart">
                  <c:ext xmlns:c16="http://schemas.microsoft.com/office/drawing/2014/chart" uri="{C3380CC4-5D6E-409C-BE32-E72D297353CC}">
                    <c16:uniqueId val="{00000015-A9DA-4C67-8C43-2AF5F89BC400}"/>
                  </c:ext>
                </c:extLst>
              </c15:ser>
            </c15:filteredLineSeries>
            <c15:filteredLineSeries>
              <c15:ser>
                <c:idx val="19"/>
                <c:order val="19"/>
                <c:tx>
                  <c:strRef>
                    <c:extLst xmlns:c15="http://schemas.microsoft.com/office/drawing/2012/chart">
                      <c:ext xmlns:c15="http://schemas.microsoft.com/office/drawing/2012/chart" uri="{02D57815-91ED-43cb-92C2-25804820EDAC}">
                        <c15:formulaRef>
                          <c15:sqref>'Sheet 1'!$BG$70</c15:sqref>
                        </c15:formulaRef>
                      </c:ext>
                    </c:extLst>
                    <c:strCache>
                      <c:ptCount val="1"/>
                      <c:pt idx="0">
                        <c:v>Malta</c:v>
                      </c:pt>
                    </c:strCache>
                  </c:strRef>
                </c:tx>
                <c:spPr>
                  <a:ln w="28575" cap="rnd">
                    <a:solidFill>
                      <a:schemeClr val="accent2">
                        <a:lumMod val="80000"/>
                      </a:schemeClr>
                    </a:solidFill>
                    <a:round/>
                  </a:ln>
                  <a:effectLst/>
                </c:spPr>
                <c:marker>
                  <c:symbol val="none"/>
                </c:marker>
                <c:cat>
                  <c:strRef>
                    <c:extLst xmlns:c15="http://schemas.microsoft.com/office/drawing/2012/chart">
                      <c:ext xmlns:c15="http://schemas.microsoft.com/office/drawing/2012/chart" uri="{02D57815-91ED-43cb-92C2-25804820EDAC}">
                        <c15:formulaRef>
                          <c15:sqref>'Sheet 1'!$BO$50:$DE$50</c15:sqref>
                        </c15:formulaRef>
                      </c:ext>
                    </c:extLst>
                    <c:strCache>
                      <c:ptCount val="43"/>
                      <c:pt idx="0">
                        <c:v>2021-08</c:v>
                      </c:pt>
                      <c:pt idx="1">
                        <c:v>2021-09</c:v>
                      </c:pt>
                      <c:pt idx="2">
                        <c:v>2021-10</c:v>
                      </c:pt>
                      <c:pt idx="3">
                        <c:v>2021-11</c:v>
                      </c:pt>
                      <c:pt idx="4">
                        <c:v>2021-12</c:v>
                      </c:pt>
                      <c:pt idx="5">
                        <c:v>2022-01</c:v>
                      </c:pt>
                      <c:pt idx="6">
                        <c:v>2022-02</c:v>
                      </c:pt>
                      <c:pt idx="7">
                        <c:v>2022-03</c:v>
                      </c:pt>
                      <c:pt idx="8">
                        <c:v>2022-04</c:v>
                      </c:pt>
                      <c:pt idx="9">
                        <c:v>2022-05</c:v>
                      </c:pt>
                      <c:pt idx="10">
                        <c:v>2022-06</c:v>
                      </c:pt>
                      <c:pt idx="11">
                        <c:v>2022-07</c:v>
                      </c:pt>
                      <c:pt idx="12">
                        <c:v>2022-08</c:v>
                      </c:pt>
                      <c:pt idx="13">
                        <c:v>2022-09</c:v>
                      </c:pt>
                      <c:pt idx="14">
                        <c:v>2022-10</c:v>
                      </c:pt>
                      <c:pt idx="15">
                        <c:v>2022-11</c:v>
                      </c:pt>
                      <c:pt idx="16">
                        <c:v>2022-12</c:v>
                      </c:pt>
                      <c:pt idx="17">
                        <c:v>2023-01</c:v>
                      </c:pt>
                      <c:pt idx="18">
                        <c:v>2023-02</c:v>
                      </c:pt>
                      <c:pt idx="19">
                        <c:v>2023-03</c:v>
                      </c:pt>
                      <c:pt idx="20">
                        <c:v>2023-04</c:v>
                      </c:pt>
                      <c:pt idx="21">
                        <c:v>2023-05</c:v>
                      </c:pt>
                      <c:pt idx="22">
                        <c:v>2023-06</c:v>
                      </c:pt>
                      <c:pt idx="23">
                        <c:v>2023-07</c:v>
                      </c:pt>
                      <c:pt idx="24">
                        <c:v>2023-08</c:v>
                      </c:pt>
                      <c:pt idx="25">
                        <c:v>2023-09</c:v>
                      </c:pt>
                      <c:pt idx="26">
                        <c:v>2023-10</c:v>
                      </c:pt>
                      <c:pt idx="27">
                        <c:v>2023-11</c:v>
                      </c:pt>
                      <c:pt idx="28">
                        <c:v>2023-12</c:v>
                      </c:pt>
                      <c:pt idx="29">
                        <c:v>2024-01</c:v>
                      </c:pt>
                      <c:pt idx="30">
                        <c:v>2024-02</c:v>
                      </c:pt>
                      <c:pt idx="31">
                        <c:v>2024-03</c:v>
                      </c:pt>
                      <c:pt idx="32">
                        <c:v>2024-04</c:v>
                      </c:pt>
                      <c:pt idx="33">
                        <c:v>2024-05</c:v>
                      </c:pt>
                      <c:pt idx="34">
                        <c:v>2024-06</c:v>
                      </c:pt>
                      <c:pt idx="35">
                        <c:v>2024-07</c:v>
                      </c:pt>
                      <c:pt idx="36">
                        <c:v>2024-08</c:v>
                      </c:pt>
                      <c:pt idx="37">
                        <c:v>2024-09</c:v>
                      </c:pt>
                      <c:pt idx="38">
                        <c:v>2024-10</c:v>
                      </c:pt>
                      <c:pt idx="39">
                        <c:v>2024-11</c:v>
                      </c:pt>
                      <c:pt idx="40">
                        <c:v>2024-12</c:v>
                      </c:pt>
                      <c:pt idx="41">
                        <c:v>2025-01</c:v>
                      </c:pt>
                      <c:pt idx="42">
                        <c:v>2025-02</c:v>
                      </c:pt>
                    </c:strCache>
                  </c:strRef>
                </c:cat>
                <c:val>
                  <c:numRef>
                    <c:extLst xmlns:c15="http://schemas.microsoft.com/office/drawing/2012/chart">
                      <c:ext xmlns:c15="http://schemas.microsoft.com/office/drawing/2012/chart" uri="{02D57815-91ED-43cb-92C2-25804820EDAC}">
                        <c15:formulaRef>
                          <c15:sqref>'Sheet 1'!$BO$70:$DE$70</c15:sqref>
                        </c15:formulaRef>
                      </c:ext>
                    </c:extLst>
                    <c:numCache>
                      <c:formatCode>0</c:formatCode>
                      <c:ptCount val="43"/>
                      <c:pt idx="0">
                        <c:v>103.11229000884174</c:v>
                      </c:pt>
                      <c:pt idx="1">
                        <c:v>103.92572944297083</c:v>
                      </c:pt>
                      <c:pt idx="2">
                        <c:v>103.96109637488948</c:v>
                      </c:pt>
                      <c:pt idx="3">
                        <c:v>105.32272325375776</c:v>
                      </c:pt>
                      <c:pt idx="4">
                        <c:v>105.6498673740053</c:v>
                      </c:pt>
                      <c:pt idx="5">
                        <c:v>107.65694076038905</c:v>
                      </c:pt>
                      <c:pt idx="6">
                        <c:v>108.53227232537579</c:v>
                      </c:pt>
                      <c:pt idx="7">
                        <c:v>109.38992042440319</c:v>
                      </c:pt>
                      <c:pt idx="8">
                        <c:v>111.131741821397</c:v>
                      </c:pt>
                      <c:pt idx="9">
                        <c:v>112.9708222811671</c:v>
                      </c:pt>
                      <c:pt idx="10">
                        <c:v>113.09460654288242</c:v>
                      </c:pt>
                      <c:pt idx="11">
                        <c:v>115.15473032714414</c:v>
                      </c:pt>
                      <c:pt idx="12">
                        <c:v>115.49955791335103</c:v>
                      </c:pt>
                      <c:pt idx="13">
                        <c:v>116.97612732095493</c:v>
                      </c:pt>
                      <c:pt idx="14">
                        <c:v>119.61096374889479</c:v>
                      </c:pt>
                      <c:pt idx="15">
                        <c:v>120.03536693191865</c:v>
                      </c:pt>
                      <c:pt idx="16">
                        <c:v>120.59239610963748</c:v>
                      </c:pt>
                      <c:pt idx="17">
                        <c:v>120.71618037135279</c:v>
                      </c:pt>
                      <c:pt idx="18">
                        <c:v>123.32449160035365</c:v>
                      </c:pt>
                      <c:pt idx="19">
                        <c:v>123.98762157382848</c:v>
                      </c:pt>
                      <c:pt idx="20">
                        <c:v>124.10256410256413</c:v>
                      </c:pt>
                      <c:pt idx="21">
                        <c:v>125.58797524314767</c:v>
                      </c:pt>
                      <c:pt idx="22">
                        <c:v>126.88770999115826</c:v>
                      </c:pt>
                      <c:pt idx="23">
                        <c:v>126.79045092838197</c:v>
                      </c:pt>
                      <c:pt idx="24">
                        <c:v>128.24933687002653</c:v>
                      </c:pt>
                      <c:pt idx="25">
                        <c:v>128.91246684350136</c:v>
                      </c:pt>
                      <c:pt idx="26">
                        <c:v>129.61096374889479</c:v>
                      </c:pt>
                      <c:pt idx="27">
                        <c:v>130.40671971706456</c:v>
                      </c:pt>
                      <c:pt idx="28">
                        <c:v>132.90893015030946</c:v>
                      </c:pt>
                      <c:pt idx="29">
                        <c:v>134.01414677276748</c:v>
                      </c:pt>
                      <c:pt idx="30">
                        <c:v>132.38726790450929</c:v>
                      </c:pt>
                      <c:pt idx="31">
                        <c:v>131.63572060123784</c:v>
                      </c:pt>
                      <c:pt idx="32">
                        <c:v>131.39699381078694</c:v>
                      </c:pt>
                      <c:pt idx="33">
                        <c:v>132.14854111405836</c:v>
                      </c:pt>
                      <c:pt idx="34">
                        <c:v>131.84792219274979</c:v>
                      </c:pt>
                      <c:pt idx="35">
                        <c:v>132.51989389920425</c:v>
                      </c:pt>
                      <c:pt idx="36">
                        <c:v>132.9973474801061</c:v>
                      </c:pt>
                      <c:pt idx="37">
                        <c:v>133.81078691423519</c:v>
                      </c:pt>
                      <c:pt idx="38">
                        <c:v>135.26083112290007</c:v>
                      </c:pt>
                      <c:pt idx="39">
                        <c:v>135.21662245800178</c:v>
                      </c:pt>
                      <c:pt idx="40">
                        <c:v>135.49955791335103</c:v>
                      </c:pt>
                      <c:pt idx="41">
                        <c:v>136.0212201591512</c:v>
                      </c:pt>
                      <c:pt idx="42">
                        <c:v>135.28735632183907</c:v>
                      </c:pt>
                    </c:numCache>
                  </c:numRef>
                </c:val>
                <c:smooth val="0"/>
                <c:extLst xmlns:c15="http://schemas.microsoft.com/office/drawing/2012/chart">
                  <c:ext xmlns:c16="http://schemas.microsoft.com/office/drawing/2014/chart" uri="{C3380CC4-5D6E-409C-BE32-E72D297353CC}">
                    <c16:uniqueId val="{00000016-A9DA-4C67-8C43-2AF5F89BC400}"/>
                  </c:ext>
                </c:extLst>
              </c15:ser>
            </c15:filteredLineSeries>
            <c15:filteredLineSeries>
              <c15:ser>
                <c:idx val="20"/>
                <c:order val="20"/>
                <c:tx>
                  <c:strRef>
                    <c:extLst xmlns:c15="http://schemas.microsoft.com/office/drawing/2012/chart">
                      <c:ext xmlns:c15="http://schemas.microsoft.com/office/drawing/2012/chart" uri="{02D57815-91ED-43cb-92C2-25804820EDAC}">
                        <c15:formulaRef>
                          <c15:sqref>'Sheet 1'!$BG$71</c15:sqref>
                        </c15:formulaRef>
                      </c:ext>
                    </c:extLst>
                    <c:strCache>
                      <c:ptCount val="1"/>
                      <c:pt idx="0">
                        <c:v>Netherlands</c:v>
                      </c:pt>
                    </c:strCache>
                  </c:strRef>
                </c:tx>
                <c:spPr>
                  <a:ln w="28575" cap="rnd">
                    <a:solidFill>
                      <a:schemeClr val="accent3">
                        <a:lumMod val="80000"/>
                      </a:schemeClr>
                    </a:solidFill>
                    <a:round/>
                  </a:ln>
                  <a:effectLst/>
                </c:spPr>
                <c:marker>
                  <c:symbol val="none"/>
                </c:marker>
                <c:cat>
                  <c:strRef>
                    <c:extLst xmlns:c15="http://schemas.microsoft.com/office/drawing/2012/chart">
                      <c:ext xmlns:c15="http://schemas.microsoft.com/office/drawing/2012/chart" uri="{02D57815-91ED-43cb-92C2-25804820EDAC}">
                        <c15:formulaRef>
                          <c15:sqref>'Sheet 1'!$BO$50:$DE$50</c15:sqref>
                        </c15:formulaRef>
                      </c:ext>
                    </c:extLst>
                    <c:strCache>
                      <c:ptCount val="43"/>
                      <c:pt idx="0">
                        <c:v>2021-08</c:v>
                      </c:pt>
                      <c:pt idx="1">
                        <c:v>2021-09</c:v>
                      </c:pt>
                      <c:pt idx="2">
                        <c:v>2021-10</c:v>
                      </c:pt>
                      <c:pt idx="3">
                        <c:v>2021-11</c:v>
                      </c:pt>
                      <c:pt idx="4">
                        <c:v>2021-12</c:v>
                      </c:pt>
                      <c:pt idx="5">
                        <c:v>2022-01</c:v>
                      </c:pt>
                      <c:pt idx="6">
                        <c:v>2022-02</c:v>
                      </c:pt>
                      <c:pt idx="7">
                        <c:v>2022-03</c:v>
                      </c:pt>
                      <c:pt idx="8">
                        <c:v>2022-04</c:v>
                      </c:pt>
                      <c:pt idx="9">
                        <c:v>2022-05</c:v>
                      </c:pt>
                      <c:pt idx="10">
                        <c:v>2022-06</c:v>
                      </c:pt>
                      <c:pt idx="11">
                        <c:v>2022-07</c:v>
                      </c:pt>
                      <c:pt idx="12">
                        <c:v>2022-08</c:v>
                      </c:pt>
                      <c:pt idx="13">
                        <c:v>2022-09</c:v>
                      </c:pt>
                      <c:pt idx="14">
                        <c:v>2022-10</c:v>
                      </c:pt>
                      <c:pt idx="15">
                        <c:v>2022-11</c:v>
                      </c:pt>
                      <c:pt idx="16">
                        <c:v>2022-12</c:v>
                      </c:pt>
                      <c:pt idx="17">
                        <c:v>2023-01</c:v>
                      </c:pt>
                      <c:pt idx="18">
                        <c:v>2023-02</c:v>
                      </c:pt>
                      <c:pt idx="19">
                        <c:v>2023-03</c:v>
                      </c:pt>
                      <c:pt idx="20">
                        <c:v>2023-04</c:v>
                      </c:pt>
                      <c:pt idx="21">
                        <c:v>2023-05</c:v>
                      </c:pt>
                      <c:pt idx="22">
                        <c:v>2023-06</c:v>
                      </c:pt>
                      <c:pt idx="23">
                        <c:v>2023-07</c:v>
                      </c:pt>
                      <c:pt idx="24">
                        <c:v>2023-08</c:v>
                      </c:pt>
                      <c:pt idx="25">
                        <c:v>2023-09</c:v>
                      </c:pt>
                      <c:pt idx="26">
                        <c:v>2023-10</c:v>
                      </c:pt>
                      <c:pt idx="27">
                        <c:v>2023-11</c:v>
                      </c:pt>
                      <c:pt idx="28">
                        <c:v>2023-12</c:v>
                      </c:pt>
                      <c:pt idx="29">
                        <c:v>2024-01</c:v>
                      </c:pt>
                      <c:pt idx="30">
                        <c:v>2024-02</c:v>
                      </c:pt>
                      <c:pt idx="31">
                        <c:v>2024-03</c:v>
                      </c:pt>
                      <c:pt idx="32">
                        <c:v>2024-04</c:v>
                      </c:pt>
                      <c:pt idx="33">
                        <c:v>2024-05</c:v>
                      </c:pt>
                      <c:pt idx="34">
                        <c:v>2024-06</c:v>
                      </c:pt>
                      <c:pt idx="35">
                        <c:v>2024-07</c:v>
                      </c:pt>
                      <c:pt idx="36">
                        <c:v>2024-08</c:v>
                      </c:pt>
                      <c:pt idx="37">
                        <c:v>2024-09</c:v>
                      </c:pt>
                      <c:pt idx="38">
                        <c:v>2024-10</c:v>
                      </c:pt>
                      <c:pt idx="39">
                        <c:v>2024-11</c:v>
                      </c:pt>
                      <c:pt idx="40">
                        <c:v>2024-12</c:v>
                      </c:pt>
                      <c:pt idx="41">
                        <c:v>2025-01</c:v>
                      </c:pt>
                      <c:pt idx="42">
                        <c:v>2025-02</c:v>
                      </c:pt>
                    </c:strCache>
                  </c:strRef>
                </c:cat>
                <c:val>
                  <c:numRef>
                    <c:extLst xmlns:c15="http://schemas.microsoft.com/office/drawing/2012/chart">
                      <c:ext xmlns:c15="http://schemas.microsoft.com/office/drawing/2012/chart" uri="{02D57815-91ED-43cb-92C2-25804820EDAC}">
                        <c15:formulaRef>
                          <c15:sqref>'Sheet 1'!$BO$71:$DE$71</c15:sqref>
                        </c15:formulaRef>
                      </c:ext>
                    </c:extLst>
                    <c:numCache>
                      <c:formatCode>0</c:formatCode>
                      <c:ptCount val="43"/>
                      <c:pt idx="0">
                        <c:v>102.05704882062534</c:v>
                      </c:pt>
                      <c:pt idx="1">
                        <c:v>101.70963613091972</c:v>
                      </c:pt>
                      <c:pt idx="2">
                        <c:v>101.84677271896143</c:v>
                      </c:pt>
                      <c:pt idx="3">
                        <c:v>102.26732492228928</c:v>
                      </c:pt>
                      <c:pt idx="4">
                        <c:v>103.30042055220332</c:v>
                      </c:pt>
                      <c:pt idx="5">
                        <c:v>104.30608886450905</c:v>
                      </c:pt>
                      <c:pt idx="6">
                        <c:v>105.9151581641982</c:v>
                      </c:pt>
                      <c:pt idx="7">
                        <c:v>106.37228012433717</c:v>
                      </c:pt>
                      <c:pt idx="8">
                        <c:v>108.41104406655695</c:v>
                      </c:pt>
                      <c:pt idx="9">
                        <c:v>109.91954653501554</c:v>
                      </c:pt>
                      <c:pt idx="10">
                        <c:v>112.21429877491316</c:v>
                      </c:pt>
                      <c:pt idx="11">
                        <c:v>113.89650758822454</c:v>
                      </c:pt>
                      <c:pt idx="12">
                        <c:v>115.38672517827757</c:v>
                      </c:pt>
                      <c:pt idx="13">
                        <c:v>114.69189979886633</c:v>
                      </c:pt>
                      <c:pt idx="14">
                        <c:v>116.09983543609434</c:v>
                      </c:pt>
                      <c:pt idx="15">
                        <c:v>118.35801791918085</c:v>
                      </c:pt>
                      <c:pt idx="16">
                        <c:v>120.8996160175535</c:v>
                      </c:pt>
                      <c:pt idx="17">
                        <c:v>122.71896141890657</c:v>
                      </c:pt>
                      <c:pt idx="18">
                        <c:v>125.3976961053209</c:v>
                      </c:pt>
                      <c:pt idx="19">
                        <c:v>125.93710001828488</c:v>
                      </c:pt>
                      <c:pt idx="20">
                        <c:v>125.70853903821539</c:v>
                      </c:pt>
                      <c:pt idx="21">
                        <c:v>126.65935271530444</c:v>
                      </c:pt>
                      <c:pt idx="22">
                        <c:v>126.97933808740171</c:v>
                      </c:pt>
                      <c:pt idx="23">
                        <c:v>127.18961418906565</c:v>
                      </c:pt>
                      <c:pt idx="24">
                        <c:v>126.60449808008775</c:v>
                      </c:pt>
                      <c:pt idx="25">
                        <c:v>125.48912049734868</c:v>
                      </c:pt>
                      <c:pt idx="26">
                        <c:v>125.28798683488756</c:v>
                      </c:pt>
                      <c:pt idx="27">
                        <c:v>125.81824830864876</c:v>
                      </c:pt>
                      <c:pt idx="28">
                        <c:v>125.80910586944599</c:v>
                      </c:pt>
                      <c:pt idx="29">
                        <c:v>125.269701956482</c:v>
                      </c:pt>
                      <c:pt idx="30">
                        <c:v>125.80910586944599</c:v>
                      </c:pt>
                      <c:pt idx="31">
                        <c:v>126.2845127079905</c:v>
                      </c:pt>
                      <c:pt idx="32">
                        <c:v>126.30279758639607</c:v>
                      </c:pt>
                      <c:pt idx="33">
                        <c:v>127.1164746754434</c:v>
                      </c:pt>
                      <c:pt idx="34">
                        <c:v>127.49131468275736</c:v>
                      </c:pt>
                      <c:pt idx="35">
                        <c:v>128.01243371731579</c:v>
                      </c:pt>
                      <c:pt idx="36">
                        <c:v>127.94843664289633</c:v>
                      </c:pt>
                      <c:pt idx="37">
                        <c:v>127.49131468275736</c:v>
                      </c:pt>
                      <c:pt idx="38">
                        <c:v>127.18961418906565</c:v>
                      </c:pt>
                      <c:pt idx="39">
                        <c:v>128.06728835253247</c:v>
                      </c:pt>
                      <c:pt idx="40">
                        <c:v>128.62497714390199</c:v>
                      </c:pt>
                      <c:pt idx="41">
                        <c:v>129.1552386176632</c:v>
                      </c:pt>
                      <c:pt idx="42">
                        <c:v>130.63631376851345</c:v>
                      </c:pt>
                    </c:numCache>
                  </c:numRef>
                </c:val>
                <c:smooth val="0"/>
                <c:extLst xmlns:c15="http://schemas.microsoft.com/office/drawing/2012/chart">
                  <c:ext xmlns:c16="http://schemas.microsoft.com/office/drawing/2014/chart" uri="{C3380CC4-5D6E-409C-BE32-E72D297353CC}">
                    <c16:uniqueId val="{00000017-A9DA-4C67-8C43-2AF5F89BC400}"/>
                  </c:ext>
                </c:extLst>
              </c15:ser>
            </c15:filteredLineSeries>
            <c15:filteredLineSeries>
              <c15:ser>
                <c:idx val="21"/>
                <c:order val="21"/>
                <c:tx>
                  <c:strRef>
                    <c:extLst xmlns:c15="http://schemas.microsoft.com/office/drawing/2012/chart">
                      <c:ext xmlns:c15="http://schemas.microsoft.com/office/drawing/2012/chart" uri="{02D57815-91ED-43cb-92C2-25804820EDAC}">
                        <c15:formulaRef>
                          <c15:sqref>'Sheet 1'!$BG$72</c15:sqref>
                        </c15:formulaRef>
                      </c:ext>
                    </c:extLst>
                    <c:strCache>
                      <c:ptCount val="1"/>
                      <c:pt idx="0">
                        <c:v>Austria</c:v>
                      </c:pt>
                    </c:strCache>
                  </c:strRef>
                </c:tx>
                <c:spPr>
                  <a:ln w="28575" cap="rnd">
                    <a:solidFill>
                      <a:schemeClr val="accent4">
                        <a:lumMod val="80000"/>
                      </a:schemeClr>
                    </a:solidFill>
                    <a:round/>
                  </a:ln>
                  <a:effectLst/>
                </c:spPr>
                <c:marker>
                  <c:symbol val="none"/>
                </c:marker>
                <c:cat>
                  <c:strRef>
                    <c:extLst xmlns:c15="http://schemas.microsoft.com/office/drawing/2012/chart">
                      <c:ext xmlns:c15="http://schemas.microsoft.com/office/drawing/2012/chart" uri="{02D57815-91ED-43cb-92C2-25804820EDAC}">
                        <c15:formulaRef>
                          <c15:sqref>'Sheet 1'!$BO$50:$DE$50</c15:sqref>
                        </c15:formulaRef>
                      </c:ext>
                    </c:extLst>
                    <c:strCache>
                      <c:ptCount val="43"/>
                      <c:pt idx="0">
                        <c:v>2021-08</c:v>
                      </c:pt>
                      <c:pt idx="1">
                        <c:v>2021-09</c:v>
                      </c:pt>
                      <c:pt idx="2">
                        <c:v>2021-10</c:v>
                      </c:pt>
                      <c:pt idx="3">
                        <c:v>2021-11</c:v>
                      </c:pt>
                      <c:pt idx="4">
                        <c:v>2021-12</c:v>
                      </c:pt>
                      <c:pt idx="5">
                        <c:v>2022-01</c:v>
                      </c:pt>
                      <c:pt idx="6">
                        <c:v>2022-02</c:v>
                      </c:pt>
                      <c:pt idx="7">
                        <c:v>2022-03</c:v>
                      </c:pt>
                      <c:pt idx="8">
                        <c:v>2022-04</c:v>
                      </c:pt>
                      <c:pt idx="9">
                        <c:v>2022-05</c:v>
                      </c:pt>
                      <c:pt idx="10">
                        <c:v>2022-06</c:v>
                      </c:pt>
                      <c:pt idx="11">
                        <c:v>2022-07</c:v>
                      </c:pt>
                      <c:pt idx="12">
                        <c:v>2022-08</c:v>
                      </c:pt>
                      <c:pt idx="13">
                        <c:v>2022-09</c:v>
                      </c:pt>
                      <c:pt idx="14">
                        <c:v>2022-10</c:v>
                      </c:pt>
                      <c:pt idx="15">
                        <c:v>2022-11</c:v>
                      </c:pt>
                      <c:pt idx="16">
                        <c:v>2022-12</c:v>
                      </c:pt>
                      <c:pt idx="17">
                        <c:v>2023-01</c:v>
                      </c:pt>
                      <c:pt idx="18">
                        <c:v>2023-02</c:v>
                      </c:pt>
                      <c:pt idx="19">
                        <c:v>2023-03</c:v>
                      </c:pt>
                      <c:pt idx="20">
                        <c:v>2023-04</c:v>
                      </c:pt>
                      <c:pt idx="21">
                        <c:v>2023-05</c:v>
                      </c:pt>
                      <c:pt idx="22">
                        <c:v>2023-06</c:v>
                      </c:pt>
                      <c:pt idx="23">
                        <c:v>2023-07</c:v>
                      </c:pt>
                      <c:pt idx="24">
                        <c:v>2023-08</c:v>
                      </c:pt>
                      <c:pt idx="25">
                        <c:v>2023-09</c:v>
                      </c:pt>
                      <c:pt idx="26">
                        <c:v>2023-10</c:v>
                      </c:pt>
                      <c:pt idx="27">
                        <c:v>2023-11</c:v>
                      </c:pt>
                      <c:pt idx="28">
                        <c:v>2023-12</c:v>
                      </c:pt>
                      <c:pt idx="29">
                        <c:v>2024-01</c:v>
                      </c:pt>
                      <c:pt idx="30">
                        <c:v>2024-02</c:v>
                      </c:pt>
                      <c:pt idx="31">
                        <c:v>2024-03</c:v>
                      </c:pt>
                      <c:pt idx="32">
                        <c:v>2024-04</c:v>
                      </c:pt>
                      <c:pt idx="33">
                        <c:v>2024-05</c:v>
                      </c:pt>
                      <c:pt idx="34">
                        <c:v>2024-06</c:v>
                      </c:pt>
                      <c:pt idx="35">
                        <c:v>2024-07</c:v>
                      </c:pt>
                      <c:pt idx="36">
                        <c:v>2024-08</c:v>
                      </c:pt>
                      <c:pt idx="37">
                        <c:v>2024-09</c:v>
                      </c:pt>
                      <c:pt idx="38">
                        <c:v>2024-10</c:v>
                      </c:pt>
                      <c:pt idx="39">
                        <c:v>2024-11</c:v>
                      </c:pt>
                      <c:pt idx="40">
                        <c:v>2024-12</c:v>
                      </c:pt>
                      <c:pt idx="41">
                        <c:v>2025-01</c:v>
                      </c:pt>
                      <c:pt idx="42">
                        <c:v>2025-02</c:v>
                      </c:pt>
                    </c:strCache>
                  </c:strRef>
                </c:cat>
                <c:val>
                  <c:numRef>
                    <c:extLst xmlns:c15="http://schemas.microsoft.com/office/drawing/2012/chart">
                      <c:ext xmlns:c15="http://schemas.microsoft.com/office/drawing/2012/chart" uri="{02D57815-91ED-43cb-92C2-25804820EDAC}">
                        <c15:formulaRef>
                          <c15:sqref>'Sheet 1'!$BO$72:$DE$72</c15:sqref>
                        </c15:formulaRef>
                      </c:ext>
                    </c:extLst>
                    <c:numCache>
                      <c:formatCode>0</c:formatCode>
                      <c:ptCount val="43"/>
                      <c:pt idx="0">
                        <c:v>103.51076952272511</c:v>
                      </c:pt>
                      <c:pt idx="1">
                        <c:v>103.76696081222127</c:v>
                      </c:pt>
                      <c:pt idx="2">
                        <c:v>104.33627478887939</c:v>
                      </c:pt>
                      <c:pt idx="3">
                        <c:v>104.60195464465318</c:v>
                      </c:pt>
                      <c:pt idx="4">
                        <c:v>105.39899421197457</c:v>
                      </c:pt>
                      <c:pt idx="5">
                        <c:v>104.96252016320335</c:v>
                      </c:pt>
                      <c:pt idx="6">
                        <c:v>107.53392162444256</c:v>
                      </c:pt>
                      <c:pt idx="7">
                        <c:v>109.26084068697219</c:v>
                      </c:pt>
                      <c:pt idx="8">
                        <c:v>111.51911946104944</c:v>
                      </c:pt>
                      <c:pt idx="9">
                        <c:v>112.7716102096973</c:v>
                      </c:pt>
                      <c:pt idx="10">
                        <c:v>114.92551475472057</c:v>
                      </c:pt>
                      <c:pt idx="11">
                        <c:v>115.7130657557643</c:v>
                      </c:pt>
                      <c:pt idx="12">
                        <c:v>116.98453363696746</c:v>
                      </c:pt>
                      <c:pt idx="13">
                        <c:v>117.9049245658981</c:v>
                      </c:pt>
                      <c:pt idx="14">
                        <c:v>119.41360660404212</c:v>
                      </c:pt>
                      <c:pt idx="15">
                        <c:v>120.55223455735837</c:v>
                      </c:pt>
                      <c:pt idx="16">
                        <c:v>122.58278774077236</c:v>
                      </c:pt>
                      <c:pt idx="17">
                        <c:v>123.17107884998578</c:v>
                      </c:pt>
                      <c:pt idx="18">
                        <c:v>125.24907486478793</c:v>
                      </c:pt>
                      <c:pt idx="19">
                        <c:v>125.24907486478793</c:v>
                      </c:pt>
                      <c:pt idx="20">
                        <c:v>126.11253439605275</c:v>
                      </c:pt>
                      <c:pt idx="21">
                        <c:v>126.42565708321473</c:v>
                      </c:pt>
                      <c:pt idx="22">
                        <c:v>127.20371951798084</c:v>
                      </c:pt>
                      <c:pt idx="23">
                        <c:v>127.66865926558498</c:v>
                      </c:pt>
                      <c:pt idx="24">
                        <c:v>128.18104184457729</c:v>
                      </c:pt>
                      <c:pt idx="25">
                        <c:v>127.4314451086441</c:v>
                      </c:pt>
                      <c:pt idx="26">
                        <c:v>127.55479647025334</c:v>
                      </c:pt>
                      <c:pt idx="27">
                        <c:v>128.85473005028939</c:v>
                      </c:pt>
                      <c:pt idx="28">
                        <c:v>129.37660119555935</c:v>
                      </c:pt>
                      <c:pt idx="29">
                        <c:v>129.10143277350792</c:v>
                      </c:pt>
                      <c:pt idx="30">
                        <c:v>129.4145554606699</c:v>
                      </c:pt>
                      <c:pt idx="31">
                        <c:v>129.19631843628429</c:v>
                      </c:pt>
                      <c:pt idx="32">
                        <c:v>129.64228105133313</c:v>
                      </c:pt>
                      <c:pt idx="33">
                        <c:v>129.97438087105039</c:v>
                      </c:pt>
                      <c:pt idx="34">
                        <c:v>128.88319574912234</c:v>
                      </c:pt>
                      <c:pt idx="35">
                        <c:v>128.7218901224025</c:v>
                      </c:pt>
                      <c:pt idx="36">
                        <c:v>129.2627384002277</c:v>
                      </c:pt>
                      <c:pt idx="37">
                        <c:v>129.56637252111207</c:v>
                      </c:pt>
                      <c:pt idx="38">
                        <c:v>130.43932061865451</c:v>
                      </c:pt>
                      <c:pt idx="39">
                        <c:v>130.70500047442832</c:v>
                      </c:pt>
                      <c:pt idx="40">
                        <c:v>130.61960337792959</c:v>
                      </c:pt>
                      <c:pt idx="41">
                        <c:v>131.07505455925607</c:v>
                      </c:pt>
                      <c:pt idx="42">
                        <c:v>131.84362842774456</c:v>
                      </c:pt>
                    </c:numCache>
                  </c:numRef>
                </c:val>
                <c:smooth val="0"/>
                <c:extLst xmlns:c15="http://schemas.microsoft.com/office/drawing/2012/chart">
                  <c:ext xmlns:c16="http://schemas.microsoft.com/office/drawing/2014/chart" uri="{C3380CC4-5D6E-409C-BE32-E72D297353CC}">
                    <c16:uniqueId val="{00000018-A9DA-4C67-8C43-2AF5F89BC400}"/>
                  </c:ext>
                </c:extLst>
              </c15:ser>
            </c15:filteredLineSeries>
            <c15:filteredLineSeries>
              <c15:ser>
                <c:idx val="22"/>
                <c:order val="22"/>
                <c:tx>
                  <c:strRef>
                    <c:extLst xmlns:c15="http://schemas.microsoft.com/office/drawing/2012/chart">
                      <c:ext xmlns:c15="http://schemas.microsoft.com/office/drawing/2012/chart" uri="{02D57815-91ED-43cb-92C2-25804820EDAC}">
                        <c15:formulaRef>
                          <c15:sqref>'Sheet 1'!$BG$73</c15:sqref>
                        </c15:formulaRef>
                      </c:ext>
                    </c:extLst>
                    <c:strCache>
                      <c:ptCount val="1"/>
                      <c:pt idx="0">
                        <c:v>Poland</c:v>
                      </c:pt>
                    </c:strCache>
                  </c:strRef>
                </c:tx>
                <c:spPr>
                  <a:ln w="28575" cap="rnd">
                    <a:solidFill>
                      <a:schemeClr val="accent5">
                        <a:lumMod val="80000"/>
                      </a:schemeClr>
                    </a:solidFill>
                    <a:round/>
                  </a:ln>
                  <a:effectLst/>
                </c:spPr>
                <c:marker>
                  <c:symbol val="none"/>
                </c:marker>
                <c:cat>
                  <c:strRef>
                    <c:extLst xmlns:c15="http://schemas.microsoft.com/office/drawing/2012/chart">
                      <c:ext xmlns:c15="http://schemas.microsoft.com/office/drawing/2012/chart" uri="{02D57815-91ED-43cb-92C2-25804820EDAC}">
                        <c15:formulaRef>
                          <c15:sqref>'Sheet 1'!$BO$50:$DE$50</c15:sqref>
                        </c15:formulaRef>
                      </c:ext>
                    </c:extLst>
                    <c:strCache>
                      <c:ptCount val="43"/>
                      <c:pt idx="0">
                        <c:v>2021-08</c:v>
                      </c:pt>
                      <c:pt idx="1">
                        <c:v>2021-09</c:v>
                      </c:pt>
                      <c:pt idx="2">
                        <c:v>2021-10</c:v>
                      </c:pt>
                      <c:pt idx="3">
                        <c:v>2021-11</c:v>
                      </c:pt>
                      <c:pt idx="4">
                        <c:v>2021-12</c:v>
                      </c:pt>
                      <c:pt idx="5">
                        <c:v>2022-01</c:v>
                      </c:pt>
                      <c:pt idx="6">
                        <c:v>2022-02</c:v>
                      </c:pt>
                      <c:pt idx="7">
                        <c:v>2022-03</c:v>
                      </c:pt>
                      <c:pt idx="8">
                        <c:v>2022-04</c:v>
                      </c:pt>
                      <c:pt idx="9">
                        <c:v>2022-05</c:v>
                      </c:pt>
                      <c:pt idx="10">
                        <c:v>2022-06</c:v>
                      </c:pt>
                      <c:pt idx="11">
                        <c:v>2022-07</c:v>
                      </c:pt>
                      <c:pt idx="12">
                        <c:v>2022-08</c:v>
                      </c:pt>
                      <c:pt idx="13">
                        <c:v>2022-09</c:v>
                      </c:pt>
                      <c:pt idx="14">
                        <c:v>2022-10</c:v>
                      </c:pt>
                      <c:pt idx="15">
                        <c:v>2022-11</c:v>
                      </c:pt>
                      <c:pt idx="16">
                        <c:v>2022-12</c:v>
                      </c:pt>
                      <c:pt idx="17">
                        <c:v>2023-01</c:v>
                      </c:pt>
                      <c:pt idx="18">
                        <c:v>2023-02</c:v>
                      </c:pt>
                      <c:pt idx="19">
                        <c:v>2023-03</c:v>
                      </c:pt>
                      <c:pt idx="20">
                        <c:v>2023-04</c:v>
                      </c:pt>
                      <c:pt idx="21">
                        <c:v>2023-05</c:v>
                      </c:pt>
                      <c:pt idx="22">
                        <c:v>2023-06</c:v>
                      </c:pt>
                      <c:pt idx="23">
                        <c:v>2023-07</c:v>
                      </c:pt>
                      <c:pt idx="24">
                        <c:v>2023-08</c:v>
                      </c:pt>
                      <c:pt idx="25">
                        <c:v>2023-09</c:v>
                      </c:pt>
                      <c:pt idx="26">
                        <c:v>2023-10</c:v>
                      </c:pt>
                      <c:pt idx="27">
                        <c:v>2023-11</c:v>
                      </c:pt>
                      <c:pt idx="28">
                        <c:v>2023-12</c:v>
                      </c:pt>
                      <c:pt idx="29">
                        <c:v>2024-01</c:v>
                      </c:pt>
                      <c:pt idx="30">
                        <c:v>2024-02</c:v>
                      </c:pt>
                      <c:pt idx="31">
                        <c:v>2024-03</c:v>
                      </c:pt>
                      <c:pt idx="32">
                        <c:v>2024-04</c:v>
                      </c:pt>
                      <c:pt idx="33">
                        <c:v>2024-05</c:v>
                      </c:pt>
                      <c:pt idx="34">
                        <c:v>2024-06</c:v>
                      </c:pt>
                      <c:pt idx="35">
                        <c:v>2024-07</c:v>
                      </c:pt>
                      <c:pt idx="36">
                        <c:v>2024-08</c:v>
                      </c:pt>
                      <c:pt idx="37">
                        <c:v>2024-09</c:v>
                      </c:pt>
                      <c:pt idx="38">
                        <c:v>2024-10</c:v>
                      </c:pt>
                      <c:pt idx="39">
                        <c:v>2024-11</c:v>
                      </c:pt>
                      <c:pt idx="40">
                        <c:v>2024-12</c:v>
                      </c:pt>
                      <c:pt idx="41">
                        <c:v>2025-01</c:v>
                      </c:pt>
                      <c:pt idx="42">
                        <c:v>2025-02</c:v>
                      </c:pt>
                    </c:strCache>
                  </c:strRef>
                </c:cat>
                <c:val>
                  <c:numRef>
                    <c:extLst xmlns:c15="http://schemas.microsoft.com/office/drawing/2012/chart">
                      <c:ext xmlns:c15="http://schemas.microsoft.com/office/drawing/2012/chart" uri="{02D57815-91ED-43cb-92C2-25804820EDAC}">
                        <c15:formulaRef>
                          <c15:sqref>'Sheet 1'!$BO$73:$DE$73</c15:sqref>
                        </c15:formulaRef>
                      </c:ext>
                    </c:extLst>
                    <c:numCache>
                      <c:formatCode>0</c:formatCode>
                      <c:ptCount val="43"/>
                      <c:pt idx="0">
                        <c:v>101.76619007569386</c:v>
                      </c:pt>
                      <c:pt idx="1">
                        <c:v>101.8502943650126</c:v>
                      </c:pt>
                      <c:pt idx="2">
                        <c:v>102.35492010092516</c:v>
                      </c:pt>
                      <c:pt idx="3">
                        <c:v>103.78469301934399</c:v>
                      </c:pt>
                      <c:pt idx="4">
                        <c:v>106.13961312026913</c:v>
                      </c:pt>
                      <c:pt idx="5">
                        <c:v>109.16736753574432</c:v>
                      </c:pt>
                      <c:pt idx="6">
                        <c:v>108.07401177460049</c:v>
                      </c:pt>
                      <c:pt idx="7">
                        <c:v>110.42893187552565</c:v>
                      </c:pt>
                      <c:pt idx="8">
                        <c:v>114.88645920941967</c:v>
                      </c:pt>
                      <c:pt idx="9">
                        <c:v>116.148023549201</c:v>
                      </c:pt>
                      <c:pt idx="10">
                        <c:v>116.65264928511351</c:v>
                      </c:pt>
                      <c:pt idx="11">
                        <c:v>117.07317073170731</c:v>
                      </c:pt>
                      <c:pt idx="12">
                        <c:v>119.09167367535743</c:v>
                      </c:pt>
                      <c:pt idx="13">
                        <c:v>121.11017661900756</c:v>
                      </c:pt>
                      <c:pt idx="14">
                        <c:v>124.64255677039529</c:v>
                      </c:pt>
                      <c:pt idx="15">
                        <c:v>126.66105971404539</c:v>
                      </c:pt>
                      <c:pt idx="16">
                        <c:v>128.67956265769553</c:v>
                      </c:pt>
                      <c:pt idx="17">
                        <c:v>131.70731707317071</c:v>
                      </c:pt>
                      <c:pt idx="18">
                        <c:v>134.56686291000841</c:v>
                      </c:pt>
                      <c:pt idx="19">
                        <c:v>138.09924306139612</c:v>
                      </c:pt>
                      <c:pt idx="20">
                        <c:v>138.60386879730865</c:v>
                      </c:pt>
                      <c:pt idx="21">
                        <c:v>139.36080740117745</c:v>
                      </c:pt>
                      <c:pt idx="22">
                        <c:v>138.85618166526493</c:v>
                      </c:pt>
                      <c:pt idx="23">
                        <c:v>136.66947014297727</c:v>
                      </c:pt>
                      <c:pt idx="24">
                        <c:v>135.1555929352397</c:v>
                      </c:pt>
                      <c:pt idx="25">
                        <c:v>134.56686291000841</c:v>
                      </c:pt>
                      <c:pt idx="26">
                        <c:v>135.40790580319594</c:v>
                      </c:pt>
                      <c:pt idx="27">
                        <c:v>137.1740958788898</c:v>
                      </c:pt>
                      <c:pt idx="28">
                        <c:v>137.67872161480236</c:v>
                      </c:pt>
                      <c:pt idx="29">
                        <c:v>139.27670311185869</c:v>
                      </c:pt>
                      <c:pt idx="30">
                        <c:v>138.51976450798989</c:v>
                      </c:pt>
                      <c:pt idx="31">
                        <c:v>138.18334735071488</c:v>
                      </c:pt>
                      <c:pt idx="32">
                        <c:v>140.87468460891506</c:v>
                      </c:pt>
                      <c:pt idx="33">
                        <c:v>141.29520605550883</c:v>
                      </c:pt>
                      <c:pt idx="34">
                        <c:v>142.13624894869639</c:v>
                      </c:pt>
                      <c:pt idx="35">
                        <c:v>140.70647603027754</c:v>
                      </c:pt>
                      <c:pt idx="36">
                        <c:v>140.37005887300251</c:v>
                      </c:pt>
                      <c:pt idx="37">
                        <c:v>140.62237174095878</c:v>
                      </c:pt>
                      <c:pt idx="38">
                        <c:v>141.63162321278384</c:v>
                      </c:pt>
                      <c:pt idx="39">
                        <c:v>142.97729184188393</c:v>
                      </c:pt>
                      <c:pt idx="40">
                        <c:v>143.48191757779645</c:v>
                      </c:pt>
                      <c:pt idx="41">
                        <c:v>146.08915054667787</c:v>
                      </c:pt>
                      <c:pt idx="42">
                        <c:v>146.42556770395291</c:v>
                      </c:pt>
                    </c:numCache>
                  </c:numRef>
                </c:val>
                <c:smooth val="0"/>
                <c:extLst xmlns:c15="http://schemas.microsoft.com/office/drawing/2012/chart">
                  <c:ext xmlns:c16="http://schemas.microsoft.com/office/drawing/2014/chart" uri="{C3380CC4-5D6E-409C-BE32-E72D297353CC}">
                    <c16:uniqueId val="{00000019-A9DA-4C67-8C43-2AF5F89BC400}"/>
                  </c:ext>
                </c:extLst>
              </c15:ser>
            </c15:filteredLineSeries>
            <c15:filteredLineSeries>
              <c15:ser>
                <c:idx val="23"/>
                <c:order val="23"/>
                <c:tx>
                  <c:strRef>
                    <c:extLst xmlns:c15="http://schemas.microsoft.com/office/drawing/2012/chart">
                      <c:ext xmlns:c15="http://schemas.microsoft.com/office/drawing/2012/chart" uri="{02D57815-91ED-43cb-92C2-25804820EDAC}">
                        <c15:formulaRef>
                          <c15:sqref>'Sheet 1'!$BG$74</c15:sqref>
                        </c15:formulaRef>
                      </c:ext>
                    </c:extLst>
                    <c:strCache>
                      <c:ptCount val="1"/>
                      <c:pt idx="0">
                        <c:v>Portugal</c:v>
                      </c:pt>
                    </c:strCache>
                  </c:strRef>
                </c:tx>
                <c:spPr>
                  <a:ln w="28575" cap="rnd">
                    <a:solidFill>
                      <a:schemeClr val="accent6">
                        <a:lumMod val="80000"/>
                      </a:schemeClr>
                    </a:solidFill>
                    <a:round/>
                  </a:ln>
                  <a:effectLst/>
                </c:spPr>
                <c:marker>
                  <c:symbol val="none"/>
                </c:marker>
                <c:cat>
                  <c:strRef>
                    <c:extLst xmlns:c15="http://schemas.microsoft.com/office/drawing/2012/chart">
                      <c:ext xmlns:c15="http://schemas.microsoft.com/office/drawing/2012/chart" uri="{02D57815-91ED-43cb-92C2-25804820EDAC}">
                        <c15:formulaRef>
                          <c15:sqref>'Sheet 1'!$BO$50:$DE$50</c15:sqref>
                        </c15:formulaRef>
                      </c:ext>
                    </c:extLst>
                    <c:strCache>
                      <c:ptCount val="43"/>
                      <c:pt idx="0">
                        <c:v>2021-08</c:v>
                      </c:pt>
                      <c:pt idx="1">
                        <c:v>2021-09</c:v>
                      </c:pt>
                      <c:pt idx="2">
                        <c:v>2021-10</c:v>
                      </c:pt>
                      <c:pt idx="3">
                        <c:v>2021-11</c:v>
                      </c:pt>
                      <c:pt idx="4">
                        <c:v>2021-12</c:v>
                      </c:pt>
                      <c:pt idx="5">
                        <c:v>2022-01</c:v>
                      </c:pt>
                      <c:pt idx="6">
                        <c:v>2022-02</c:v>
                      </c:pt>
                      <c:pt idx="7">
                        <c:v>2022-03</c:v>
                      </c:pt>
                      <c:pt idx="8">
                        <c:v>2022-04</c:v>
                      </c:pt>
                      <c:pt idx="9">
                        <c:v>2022-05</c:v>
                      </c:pt>
                      <c:pt idx="10">
                        <c:v>2022-06</c:v>
                      </c:pt>
                      <c:pt idx="11">
                        <c:v>2022-07</c:v>
                      </c:pt>
                      <c:pt idx="12">
                        <c:v>2022-08</c:v>
                      </c:pt>
                      <c:pt idx="13">
                        <c:v>2022-09</c:v>
                      </c:pt>
                      <c:pt idx="14">
                        <c:v>2022-10</c:v>
                      </c:pt>
                      <c:pt idx="15">
                        <c:v>2022-11</c:v>
                      </c:pt>
                      <c:pt idx="16">
                        <c:v>2022-12</c:v>
                      </c:pt>
                      <c:pt idx="17">
                        <c:v>2023-01</c:v>
                      </c:pt>
                      <c:pt idx="18">
                        <c:v>2023-02</c:v>
                      </c:pt>
                      <c:pt idx="19">
                        <c:v>2023-03</c:v>
                      </c:pt>
                      <c:pt idx="20">
                        <c:v>2023-04</c:v>
                      </c:pt>
                      <c:pt idx="21">
                        <c:v>2023-05</c:v>
                      </c:pt>
                      <c:pt idx="22">
                        <c:v>2023-06</c:v>
                      </c:pt>
                      <c:pt idx="23">
                        <c:v>2023-07</c:v>
                      </c:pt>
                      <c:pt idx="24">
                        <c:v>2023-08</c:v>
                      </c:pt>
                      <c:pt idx="25">
                        <c:v>2023-09</c:v>
                      </c:pt>
                      <c:pt idx="26">
                        <c:v>2023-10</c:v>
                      </c:pt>
                      <c:pt idx="27">
                        <c:v>2023-11</c:v>
                      </c:pt>
                      <c:pt idx="28">
                        <c:v>2023-12</c:v>
                      </c:pt>
                      <c:pt idx="29">
                        <c:v>2024-01</c:v>
                      </c:pt>
                      <c:pt idx="30">
                        <c:v>2024-02</c:v>
                      </c:pt>
                      <c:pt idx="31">
                        <c:v>2024-03</c:v>
                      </c:pt>
                      <c:pt idx="32">
                        <c:v>2024-04</c:v>
                      </c:pt>
                      <c:pt idx="33">
                        <c:v>2024-05</c:v>
                      </c:pt>
                      <c:pt idx="34">
                        <c:v>2024-06</c:v>
                      </c:pt>
                      <c:pt idx="35">
                        <c:v>2024-07</c:v>
                      </c:pt>
                      <c:pt idx="36">
                        <c:v>2024-08</c:v>
                      </c:pt>
                      <c:pt idx="37">
                        <c:v>2024-09</c:v>
                      </c:pt>
                      <c:pt idx="38">
                        <c:v>2024-10</c:v>
                      </c:pt>
                      <c:pt idx="39">
                        <c:v>2024-11</c:v>
                      </c:pt>
                      <c:pt idx="40">
                        <c:v>2024-12</c:v>
                      </c:pt>
                      <c:pt idx="41">
                        <c:v>2025-01</c:v>
                      </c:pt>
                      <c:pt idx="42">
                        <c:v>2025-02</c:v>
                      </c:pt>
                    </c:strCache>
                  </c:strRef>
                </c:cat>
                <c:val>
                  <c:numRef>
                    <c:extLst xmlns:c15="http://schemas.microsoft.com/office/drawing/2012/chart">
                      <c:ext xmlns:c15="http://schemas.microsoft.com/office/drawing/2012/chart" uri="{02D57815-91ED-43cb-92C2-25804820EDAC}">
                        <c15:formulaRef>
                          <c15:sqref>'Sheet 1'!$BO$74:$DE$74</c15:sqref>
                        </c15:formulaRef>
                      </c:ext>
                    </c:extLst>
                    <c:numCache>
                      <c:formatCode>0</c:formatCode>
                      <c:ptCount val="43"/>
                      <c:pt idx="0">
                        <c:v>101.11556064073226</c:v>
                      </c:pt>
                      <c:pt idx="1">
                        <c:v>100.81998474446988</c:v>
                      </c:pt>
                      <c:pt idx="2">
                        <c:v>101.06788710907703</c:v>
                      </c:pt>
                      <c:pt idx="3">
                        <c:v>101.60183066361557</c:v>
                      </c:pt>
                      <c:pt idx="4">
                        <c:v>102.50762776506484</c:v>
                      </c:pt>
                      <c:pt idx="5">
                        <c:v>103.78527841342486</c:v>
                      </c:pt>
                      <c:pt idx="6">
                        <c:v>104.56712433257056</c:v>
                      </c:pt>
                      <c:pt idx="7">
                        <c:v>107.37032799389779</c:v>
                      </c:pt>
                      <c:pt idx="8">
                        <c:v>111.41304347826086</c:v>
                      </c:pt>
                      <c:pt idx="9">
                        <c:v>113.9397406559878</c:v>
                      </c:pt>
                      <c:pt idx="10">
                        <c:v>115.23646071700992</c:v>
                      </c:pt>
                      <c:pt idx="11">
                        <c:v>116.10411899313502</c:v>
                      </c:pt>
                      <c:pt idx="12">
                        <c:v>117.16247139588101</c:v>
                      </c:pt>
                      <c:pt idx="13">
                        <c:v>117.91571319603358</c:v>
                      </c:pt>
                      <c:pt idx="14">
                        <c:v>120.49961861174677</c:v>
                      </c:pt>
                      <c:pt idx="15">
                        <c:v>122.54004576659041</c:v>
                      </c:pt>
                      <c:pt idx="16">
                        <c:v>123.44584286803968</c:v>
                      </c:pt>
                      <c:pt idx="17">
                        <c:v>125.6578947368421</c:v>
                      </c:pt>
                      <c:pt idx="18">
                        <c:v>127.54576659038904</c:v>
                      </c:pt>
                      <c:pt idx="19">
                        <c:v>128.85202135774216</c:v>
                      </c:pt>
                      <c:pt idx="20">
                        <c:v>128.71853546910756</c:v>
                      </c:pt>
                      <c:pt idx="21">
                        <c:v>124.47559115179254</c:v>
                      </c:pt>
                      <c:pt idx="22">
                        <c:v>124.79977116704805</c:v>
                      </c:pt>
                      <c:pt idx="23">
                        <c:v>124.20861937452328</c:v>
                      </c:pt>
                      <c:pt idx="24">
                        <c:v>124.88558352402745</c:v>
                      </c:pt>
                      <c:pt idx="25">
                        <c:v>125.27650648360029</c:v>
                      </c:pt>
                      <c:pt idx="26">
                        <c:v>125.45766590389019</c:v>
                      </c:pt>
                      <c:pt idx="27">
                        <c:v>125.98207475209765</c:v>
                      </c:pt>
                      <c:pt idx="28">
                        <c:v>125.22883295194509</c:v>
                      </c:pt>
                      <c:pt idx="29">
                        <c:v>128.91876430205951</c:v>
                      </c:pt>
                      <c:pt idx="30">
                        <c:v>128.45156369183829</c:v>
                      </c:pt>
                      <c:pt idx="31">
                        <c:v>128.68039664378338</c:v>
                      </c:pt>
                      <c:pt idx="32">
                        <c:v>128.87109077040429</c:v>
                      </c:pt>
                      <c:pt idx="33">
                        <c:v>128.80434782608697</c:v>
                      </c:pt>
                      <c:pt idx="34">
                        <c:v>128.71853546910756</c:v>
                      </c:pt>
                      <c:pt idx="35">
                        <c:v>128.99504195270785</c:v>
                      </c:pt>
                      <c:pt idx="36">
                        <c:v>128.34668192219684</c:v>
                      </c:pt>
                      <c:pt idx="37">
                        <c:v>128.68993135011442</c:v>
                      </c:pt>
                      <c:pt idx="38">
                        <c:v>129.34782608695653</c:v>
                      </c:pt>
                      <c:pt idx="39">
                        <c:v>129.44317315026697</c:v>
                      </c:pt>
                      <c:pt idx="40">
                        <c:v>129.55758962623952</c:v>
                      </c:pt>
                      <c:pt idx="41">
                        <c:v>130.65408085430968</c:v>
                      </c:pt>
                      <c:pt idx="42">
                        <c:v>130.33943554538521</c:v>
                      </c:pt>
                    </c:numCache>
                  </c:numRef>
                </c:val>
                <c:smooth val="0"/>
                <c:extLst xmlns:c15="http://schemas.microsoft.com/office/drawing/2012/chart">
                  <c:ext xmlns:c16="http://schemas.microsoft.com/office/drawing/2014/chart" uri="{C3380CC4-5D6E-409C-BE32-E72D297353CC}">
                    <c16:uniqueId val="{0000001A-A9DA-4C67-8C43-2AF5F89BC400}"/>
                  </c:ext>
                </c:extLst>
              </c15:ser>
            </c15:filteredLineSeries>
            <c15:filteredLineSeries>
              <c15:ser>
                <c:idx val="24"/>
                <c:order val="24"/>
                <c:tx>
                  <c:strRef>
                    <c:extLst xmlns:c15="http://schemas.microsoft.com/office/drawing/2012/chart">
                      <c:ext xmlns:c15="http://schemas.microsoft.com/office/drawing/2012/chart" uri="{02D57815-91ED-43cb-92C2-25804820EDAC}">
                        <c15:formulaRef>
                          <c15:sqref>'Sheet 1'!$BG$75</c15:sqref>
                        </c15:formulaRef>
                      </c:ext>
                    </c:extLst>
                    <c:strCache>
                      <c:ptCount val="1"/>
                      <c:pt idx="0">
                        <c:v>Romania</c:v>
                      </c:pt>
                    </c:strCache>
                  </c:strRef>
                </c:tx>
                <c:spPr>
                  <a:ln w="28575" cap="rnd">
                    <a:solidFill>
                      <a:schemeClr val="accent1">
                        <a:lumMod val="60000"/>
                        <a:lumOff val="40000"/>
                      </a:schemeClr>
                    </a:solidFill>
                    <a:round/>
                  </a:ln>
                  <a:effectLst/>
                </c:spPr>
                <c:marker>
                  <c:symbol val="none"/>
                </c:marker>
                <c:cat>
                  <c:strRef>
                    <c:extLst xmlns:c15="http://schemas.microsoft.com/office/drawing/2012/chart">
                      <c:ext xmlns:c15="http://schemas.microsoft.com/office/drawing/2012/chart" uri="{02D57815-91ED-43cb-92C2-25804820EDAC}">
                        <c15:formulaRef>
                          <c15:sqref>'Sheet 1'!$BO$50:$DE$50</c15:sqref>
                        </c15:formulaRef>
                      </c:ext>
                    </c:extLst>
                    <c:strCache>
                      <c:ptCount val="43"/>
                      <c:pt idx="0">
                        <c:v>2021-08</c:v>
                      </c:pt>
                      <c:pt idx="1">
                        <c:v>2021-09</c:v>
                      </c:pt>
                      <c:pt idx="2">
                        <c:v>2021-10</c:v>
                      </c:pt>
                      <c:pt idx="3">
                        <c:v>2021-11</c:v>
                      </c:pt>
                      <c:pt idx="4">
                        <c:v>2021-12</c:v>
                      </c:pt>
                      <c:pt idx="5">
                        <c:v>2022-01</c:v>
                      </c:pt>
                      <c:pt idx="6">
                        <c:v>2022-02</c:v>
                      </c:pt>
                      <c:pt idx="7">
                        <c:v>2022-03</c:v>
                      </c:pt>
                      <c:pt idx="8">
                        <c:v>2022-04</c:v>
                      </c:pt>
                      <c:pt idx="9">
                        <c:v>2022-05</c:v>
                      </c:pt>
                      <c:pt idx="10">
                        <c:v>2022-06</c:v>
                      </c:pt>
                      <c:pt idx="11">
                        <c:v>2022-07</c:v>
                      </c:pt>
                      <c:pt idx="12">
                        <c:v>2022-08</c:v>
                      </c:pt>
                      <c:pt idx="13">
                        <c:v>2022-09</c:v>
                      </c:pt>
                      <c:pt idx="14">
                        <c:v>2022-10</c:v>
                      </c:pt>
                      <c:pt idx="15">
                        <c:v>2022-11</c:v>
                      </c:pt>
                      <c:pt idx="16">
                        <c:v>2022-12</c:v>
                      </c:pt>
                      <c:pt idx="17">
                        <c:v>2023-01</c:v>
                      </c:pt>
                      <c:pt idx="18">
                        <c:v>2023-02</c:v>
                      </c:pt>
                      <c:pt idx="19">
                        <c:v>2023-03</c:v>
                      </c:pt>
                      <c:pt idx="20">
                        <c:v>2023-04</c:v>
                      </c:pt>
                      <c:pt idx="21">
                        <c:v>2023-05</c:v>
                      </c:pt>
                      <c:pt idx="22">
                        <c:v>2023-06</c:v>
                      </c:pt>
                      <c:pt idx="23">
                        <c:v>2023-07</c:v>
                      </c:pt>
                      <c:pt idx="24">
                        <c:v>2023-08</c:v>
                      </c:pt>
                      <c:pt idx="25">
                        <c:v>2023-09</c:v>
                      </c:pt>
                      <c:pt idx="26">
                        <c:v>2023-10</c:v>
                      </c:pt>
                      <c:pt idx="27">
                        <c:v>2023-11</c:v>
                      </c:pt>
                      <c:pt idx="28">
                        <c:v>2023-12</c:v>
                      </c:pt>
                      <c:pt idx="29">
                        <c:v>2024-01</c:v>
                      </c:pt>
                      <c:pt idx="30">
                        <c:v>2024-02</c:v>
                      </c:pt>
                      <c:pt idx="31">
                        <c:v>2024-03</c:v>
                      </c:pt>
                      <c:pt idx="32">
                        <c:v>2024-04</c:v>
                      </c:pt>
                      <c:pt idx="33">
                        <c:v>2024-05</c:v>
                      </c:pt>
                      <c:pt idx="34">
                        <c:v>2024-06</c:v>
                      </c:pt>
                      <c:pt idx="35">
                        <c:v>2024-07</c:v>
                      </c:pt>
                      <c:pt idx="36">
                        <c:v>2024-08</c:v>
                      </c:pt>
                      <c:pt idx="37">
                        <c:v>2024-09</c:v>
                      </c:pt>
                      <c:pt idx="38">
                        <c:v>2024-10</c:v>
                      </c:pt>
                      <c:pt idx="39">
                        <c:v>2024-11</c:v>
                      </c:pt>
                      <c:pt idx="40">
                        <c:v>2024-12</c:v>
                      </c:pt>
                      <c:pt idx="41">
                        <c:v>2025-01</c:v>
                      </c:pt>
                      <c:pt idx="42">
                        <c:v>2025-02</c:v>
                      </c:pt>
                    </c:strCache>
                  </c:strRef>
                </c:cat>
                <c:val>
                  <c:numRef>
                    <c:extLst xmlns:c15="http://schemas.microsoft.com/office/drawing/2012/chart">
                      <c:ext xmlns:c15="http://schemas.microsoft.com/office/drawing/2012/chart" uri="{02D57815-91ED-43cb-92C2-25804820EDAC}">
                        <c15:formulaRef>
                          <c15:sqref>'Sheet 1'!$BO$75:$DE$75</c15:sqref>
                        </c15:formulaRef>
                      </c:ext>
                    </c:extLst>
                    <c:numCache>
                      <c:formatCode>0</c:formatCode>
                      <c:ptCount val="43"/>
                      <c:pt idx="0">
                        <c:v>102.06141107469379</c:v>
                      </c:pt>
                      <c:pt idx="1">
                        <c:v>103.18268069691219</c:v>
                      </c:pt>
                      <c:pt idx="2">
                        <c:v>104.44195273417284</c:v>
                      </c:pt>
                      <c:pt idx="3">
                        <c:v>105.30446782818699</c:v>
                      </c:pt>
                      <c:pt idx="4">
                        <c:v>106.27910988442298</c:v>
                      </c:pt>
                      <c:pt idx="5">
                        <c:v>107.59875797826462</c:v>
                      </c:pt>
                      <c:pt idx="6">
                        <c:v>110.01380024150423</c:v>
                      </c:pt>
                      <c:pt idx="7">
                        <c:v>113.04122822149387</c:v>
                      </c:pt>
                      <c:pt idx="8">
                        <c:v>116.27565982404693</c:v>
                      </c:pt>
                      <c:pt idx="9">
                        <c:v>118.38882180438158</c:v>
                      </c:pt>
                      <c:pt idx="10">
                        <c:v>118.75107814386752</c:v>
                      </c:pt>
                      <c:pt idx="11">
                        <c:v>119.68259444540278</c:v>
                      </c:pt>
                      <c:pt idx="12">
                        <c:v>121.89063308607899</c:v>
                      </c:pt>
                      <c:pt idx="13">
                        <c:v>124.0296705192341</c:v>
                      </c:pt>
                      <c:pt idx="14">
                        <c:v>127.17785061238571</c:v>
                      </c:pt>
                      <c:pt idx="15">
                        <c:v>129.10988442297739</c:v>
                      </c:pt>
                      <c:pt idx="16">
                        <c:v>130.75728825254441</c:v>
                      </c:pt>
                      <c:pt idx="17">
                        <c:v>132.58582025185441</c:v>
                      </c:pt>
                      <c:pt idx="18">
                        <c:v>135.19924098671729</c:v>
                      </c:pt>
                      <c:pt idx="19">
                        <c:v>138.14041745730549</c:v>
                      </c:pt>
                      <c:pt idx="20">
                        <c:v>139.64119372089013</c:v>
                      </c:pt>
                      <c:pt idx="21">
                        <c:v>140.65033638088667</c:v>
                      </c:pt>
                      <c:pt idx="22">
                        <c:v>140.21045368293946</c:v>
                      </c:pt>
                      <c:pt idx="23">
                        <c:v>139.08055890978093</c:v>
                      </c:pt>
                      <c:pt idx="24">
                        <c:v>135.00086251509401</c:v>
                      </c:pt>
                      <c:pt idx="25">
                        <c:v>135.44937036398136</c:v>
                      </c:pt>
                      <c:pt idx="26">
                        <c:v>136.66551664654131</c:v>
                      </c:pt>
                      <c:pt idx="27">
                        <c:v>136.33776091081592</c:v>
                      </c:pt>
                      <c:pt idx="28">
                        <c:v>136.82076936346385</c:v>
                      </c:pt>
                      <c:pt idx="29">
                        <c:v>138.5544247024323</c:v>
                      </c:pt>
                      <c:pt idx="30">
                        <c:v>139.67569432465069</c:v>
                      </c:pt>
                      <c:pt idx="31">
                        <c:v>140.02070036225635</c:v>
                      </c:pt>
                      <c:pt idx="32">
                        <c:v>140.51233396584439</c:v>
                      </c:pt>
                      <c:pt idx="33">
                        <c:v>140.24495428670002</c:v>
                      </c:pt>
                      <c:pt idx="34">
                        <c:v>139.58944281524927</c:v>
                      </c:pt>
                      <c:pt idx="35">
                        <c:v>139.68431947559083</c:v>
                      </c:pt>
                      <c:pt idx="36">
                        <c:v>140.39158185268244</c:v>
                      </c:pt>
                      <c:pt idx="37">
                        <c:v>141.64222873900295</c:v>
                      </c:pt>
                      <c:pt idx="38">
                        <c:v>142.84974987062273</c:v>
                      </c:pt>
                      <c:pt idx="39">
                        <c:v>142.96187683284458</c:v>
                      </c:pt>
                      <c:pt idx="40">
                        <c:v>143.30688287045024</c:v>
                      </c:pt>
                      <c:pt idx="41">
                        <c:v>144.53165430395032</c:v>
                      </c:pt>
                      <c:pt idx="42">
                        <c:v>145.71329998274967</c:v>
                      </c:pt>
                    </c:numCache>
                  </c:numRef>
                </c:val>
                <c:smooth val="0"/>
                <c:extLst xmlns:c15="http://schemas.microsoft.com/office/drawing/2012/chart">
                  <c:ext xmlns:c16="http://schemas.microsoft.com/office/drawing/2014/chart" uri="{C3380CC4-5D6E-409C-BE32-E72D297353CC}">
                    <c16:uniqueId val="{0000001B-A9DA-4C67-8C43-2AF5F89BC400}"/>
                  </c:ext>
                </c:extLst>
              </c15:ser>
            </c15:filteredLineSeries>
            <c15:filteredLineSeries>
              <c15:ser>
                <c:idx val="25"/>
                <c:order val="25"/>
                <c:tx>
                  <c:strRef>
                    <c:extLst xmlns:c15="http://schemas.microsoft.com/office/drawing/2012/chart">
                      <c:ext xmlns:c15="http://schemas.microsoft.com/office/drawing/2012/chart" uri="{02D57815-91ED-43cb-92C2-25804820EDAC}">
                        <c15:formulaRef>
                          <c15:sqref>'Sheet 1'!$BG$76</c15:sqref>
                        </c15:formulaRef>
                      </c:ext>
                    </c:extLst>
                    <c:strCache>
                      <c:ptCount val="1"/>
                      <c:pt idx="0">
                        <c:v>Slovenia</c:v>
                      </c:pt>
                    </c:strCache>
                  </c:strRef>
                </c:tx>
                <c:spPr>
                  <a:ln w="28575" cap="rnd">
                    <a:solidFill>
                      <a:schemeClr val="accent2">
                        <a:lumMod val="60000"/>
                        <a:lumOff val="40000"/>
                      </a:schemeClr>
                    </a:solidFill>
                    <a:round/>
                  </a:ln>
                  <a:effectLst/>
                </c:spPr>
                <c:marker>
                  <c:symbol val="none"/>
                </c:marker>
                <c:cat>
                  <c:strRef>
                    <c:extLst xmlns:c15="http://schemas.microsoft.com/office/drawing/2012/chart">
                      <c:ext xmlns:c15="http://schemas.microsoft.com/office/drawing/2012/chart" uri="{02D57815-91ED-43cb-92C2-25804820EDAC}">
                        <c15:formulaRef>
                          <c15:sqref>'Sheet 1'!$BO$50:$DE$50</c15:sqref>
                        </c15:formulaRef>
                      </c:ext>
                    </c:extLst>
                    <c:strCache>
                      <c:ptCount val="43"/>
                      <c:pt idx="0">
                        <c:v>2021-08</c:v>
                      </c:pt>
                      <c:pt idx="1">
                        <c:v>2021-09</c:v>
                      </c:pt>
                      <c:pt idx="2">
                        <c:v>2021-10</c:v>
                      </c:pt>
                      <c:pt idx="3">
                        <c:v>2021-11</c:v>
                      </c:pt>
                      <c:pt idx="4">
                        <c:v>2021-12</c:v>
                      </c:pt>
                      <c:pt idx="5">
                        <c:v>2022-01</c:v>
                      </c:pt>
                      <c:pt idx="6">
                        <c:v>2022-02</c:v>
                      </c:pt>
                      <c:pt idx="7">
                        <c:v>2022-03</c:v>
                      </c:pt>
                      <c:pt idx="8">
                        <c:v>2022-04</c:v>
                      </c:pt>
                      <c:pt idx="9">
                        <c:v>2022-05</c:v>
                      </c:pt>
                      <c:pt idx="10">
                        <c:v>2022-06</c:v>
                      </c:pt>
                      <c:pt idx="11">
                        <c:v>2022-07</c:v>
                      </c:pt>
                      <c:pt idx="12">
                        <c:v>2022-08</c:v>
                      </c:pt>
                      <c:pt idx="13">
                        <c:v>2022-09</c:v>
                      </c:pt>
                      <c:pt idx="14">
                        <c:v>2022-10</c:v>
                      </c:pt>
                      <c:pt idx="15">
                        <c:v>2022-11</c:v>
                      </c:pt>
                      <c:pt idx="16">
                        <c:v>2022-12</c:v>
                      </c:pt>
                      <c:pt idx="17">
                        <c:v>2023-01</c:v>
                      </c:pt>
                      <c:pt idx="18">
                        <c:v>2023-02</c:v>
                      </c:pt>
                      <c:pt idx="19">
                        <c:v>2023-03</c:v>
                      </c:pt>
                      <c:pt idx="20">
                        <c:v>2023-04</c:v>
                      </c:pt>
                      <c:pt idx="21">
                        <c:v>2023-05</c:v>
                      </c:pt>
                      <c:pt idx="22">
                        <c:v>2023-06</c:v>
                      </c:pt>
                      <c:pt idx="23">
                        <c:v>2023-07</c:v>
                      </c:pt>
                      <c:pt idx="24">
                        <c:v>2023-08</c:v>
                      </c:pt>
                      <c:pt idx="25">
                        <c:v>2023-09</c:v>
                      </c:pt>
                      <c:pt idx="26">
                        <c:v>2023-10</c:v>
                      </c:pt>
                      <c:pt idx="27">
                        <c:v>2023-11</c:v>
                      </c:pt>
                      <c:pt idx="28">
                        <c:v>2023-12</c:v>
                      </c:pt>
                      <c:pt idx="29">
                        <c:v>2024-01</c:v>
                      </c:pt>
                      <c:pt idx="30">
                        <c:v>2024-02</c:v>
                      </c:pt>
                      <c:pt idx="31">
                        <c:v>2024-03</c:v>
                      </c:pt>
                      <c:pt idx="32">
                        <c:v>2024-04</c:v>
                      </c:pt>
                      <c:pt idx="33">
                        <c:v>2024-05</c:v>
                      </c:pt>
                      <c:pt idx="34">
                        <c:v>2024-06</c:v>
                      </c:pt>
                      <c:pt idx="35">
                        <c:v>2024-07</c:v>
                      </c:pt>
                      <c:pt idx="36">
                        <c:v>2024-08</c:v>
                      </c:pt>
                      <c:pt idx="37">
                        <c:v>2024-09</c:v>
                      </c:pt>
                      <c:pt idx="38">
                        <c:v>2024-10</c:v>
                      </c:pt>
                      <c:pt idx="39">
                        <c:v>2024-11</c:v>
                      </c:pt>
                      <c:pt idx="40">
                        <c:v>2024-12</c:v>
                      </c:pt>
                      <c:pt idx="41">
                        <c:v>2025-01</c:v>
                      </c:pt>
                      <c:pt idx="42">
                        <c:v>2025-02</c:v>
                      </c:pt>
                    </c:strCache>
                  </c:strRef>
                </c:cat>
                <c:val>
                  <c:numRef>
                    <c:extLst xmlns:c15="http://schemas.microsoft.com/office/drawing/2012/chart">
                      <c:ext xmlns:c15="http://schemas.microsoft.com/office/drawing/2012/chart" uri="{02D57815-91ED-43cb-92C2-25804820EDAC}">
                        <c15:formulaRef>
                          <c15:sqref>'Sheet 1'!$BO$76:$DE$76</c15:sqref>
                        </c15:formulaRef>
                      </c:ext>
                    </c:extLst>
                    <c:numCache>
                      <c:formatCode>0</c:formatCode>
                      <c:ptCount val="43"/>
                      <c:pt idx="0">
                        <c:v>100.92913098925122</c:v>
                      </c:pt>
                      <c:pt idx="1">
                        <c:v>101.70340681362727</c:v>
                      </c:pt>
                      <c:pt idx="2">
                        <c:v>101.55766077609765</c:v>
                      </c:pt>
                      <c:pt idx="3">
                        <c:v>101.02022226270724</c:v>
                      </c:pt>
                      <c:pt idx="4">
                        <c:v>103.2246310803425</c:v>
                      </c:pt>
                      <c:pt idx="5">
                        <c:v>104.70941883767534</c:v>
                      </c:pt>
                      <c:pt idx="6">
                        <c:v>106.88650027327382</c:v>
                      </c:pt>
                      <c:pt idx="7">
                        <c:v>107.43304791400983</c:v>
                      </c:pt>
                      <c:pt idx="8">
                        <c:v>110.73055201311715</c:v>
                      </c:pt>
                      <c:pt idx="9">
                        <c:v>112.42484969939879</c:v>
                      </c:pt>
                      <c:pt idx="10">
                        <c:v>114.21023865913644</c:v>
                      </c:pt>
                      <c:pt idx="11">
                        <c:v>114.42885771543085</c:v>
                      </c:pt>
                      <c:pt idx="12">
                        <c:v>115.29422481326289</c:v>
                      </c:pt>
                      <c:pt idx="13">
                        <c:v>116.79723082528695</c:v>
                      </c:pt>
                      <c:pt idx="14">
                        <c:v>119.75769721260703</c:v>
                      </c:pt>
                      <c:pt idx="15">
                        <c:v>120.97832027691746</c:v>
                      </c:pt>
                      <c:pt idx="16">
                        <c:v>123.01876480233193</c:v>
                      </c:pt>
                      <c:pt idx="17">
                        <c:v>125.42357442157042</c:v>
                      </c:pt>
                      <c:pt idx="18">
                        <c:v>127.16341774458006</c:v>
                      </c:pt>
                      <c:pt idx="19">
                        <c:v>128.6664237566041</c:v>
                      </c:pt>
                      <c:pt idx="20">
                        <c:v>128.44780470030969</c:v>
                      </c:pt>
                      <c:pt idx="21">
                        <c:v>129.55000910912736</c:v>
                      </c:pt>
                      <c:pt idx="22">
                        <c:v>128.69375113864092</c:v>
                      </c:pt>
                      <c:pt idx="23">
                        <c:v>127.38203680087447</c:v>
                      </c:pt>
                      <c:pt idx="24">
                        <c:v>127.27272727272727</c:v>
                      </c:pt>
                      <c:pt idx="25">
                        <c:v>127.31827290945527</c:v>
                      </c:pt>
                      <c:pt idx="26">
                        <c:v>128.12898524321369</c:v>
                      </c:pt>
                      <c:pt idx="27">
                        <c:v>127.91036618691929</c:v>
                      </c:pt>
                      <c:pt idx="28">
                        <c:v>128.09254873383128</c:v>
                      </c:pt>
                      <c:pt idx="29">
                        <c:v>128.96702495900894</c:v>
                      </c:pt>
                      <c:pt idx="30">
                        <c:v>128.96702495900894</c:v>
                      </c:pt>
                      <c:pt idx="31">
                        <c:v>129.06722535981052</c:v>
                      </c:pt>
                      <c:pt idx="32">
                        <c:v>127.67352887593368</c:v>
                      </c:pt>
                      <c:pt idx="33">
                        <c:v>128.6664237566041</c:v>
                      </c:pt>
                      <c:pt idx="34">
                        <c:v>128.75751503006012</c:v>
                      </c:pt>
                      <c:pt idx="35">
                        <c:v>127.8283840408089</c:v>
                      </c:pt>
                      <c:pt idx="36">
                        <c:v>128.1198761158681</c:v>
                      </c:pt>
                      <c:pt idx="37">
                        <c:v>128.26562215339769</c:v>
                      </c:pt>
                      <c:pt idx="38">
                        <c:v>129.32228092548735</c:v>
                      </c:pt>
                      <c:pt idx="39">
                        <c:v>130.16942976862816</c:v>
                      </c:pt>
                      <c:pt idx="40">
                        <c:v>130.65221351794497</c:v>
                      </c:pt>
                      <c:pt idx="41">
                        <c:v>130.84350519220257</c:v>
                      </c:pt>
                      <c:pt idx="42">
                        <c:v>131.3445071962106</c:v>
                      </c:pt>
                    </c:numCache>
                  </c:numRef>
                </c:val>
                <c:smooth val="0"/>
                <c:extLst xmlns:c15="http://schemas.microsoft.com/office/drawing/2012/chart">
                  <c:ext xmlns:c16="http://schemas.microsoft.com/office/drawing/2014/chart" uri="{C3380CC4-5D6E-409C-BE32-E72D297353CC}">
                    <c16:uniqueId val="{0000001C-A9DA-4C67-8C43-2AF5F89BC400}"/>
                  </c:ext>
                </c:extLst>
              </c15:ser>
            </c15:filteredLineSeries>
            <c15:filteredLineSeries>
              <c15:ser>
                <c:idx val="26"/>
                <c:order val="26"/>
                <c:tx>
                  <c:strRef>
                    <c:extLst xmlns:c15="http://schemas.microsoft.com/office/drawing/2012/chart">
                      <c:ext xmlns:c15="http://schemas.microsoft.com/office/drawing/2012/chart" uri="{02D57815-91ED-43cb-92C2-25804820EDAC}">
                        <c15:formulaRef>
                          <c15:sqref>'Sheet 1'!$BG$77</c15:sqref>
                        </c15:formulaRef>
                      </c:ext>
                    </c:extLst>
                    <c:strCache>
                      <c:ptCount val="1"/>
                      <c:pt idx="0">
                        <c:v>Slovakia</c:v>
                      </c:pt>
                    </c:strCache>
                  </c:strRef>
                </c:tx>
                <c:spPr>
                  <a:ln w="28575" cap="rnd">
                    <a:solidFill>
                      <a:schemeClr val="accent3">
                        <a:lumMod val="60000"/>
                        <a:lumOff val="40000"/>
                      </a:schemeClr>
                    </a:solidFill>
                    <a:round/>
                  </a:ln>
                  <a:effectLst/>
                </c:spPr>
                <c:marker>
                  <c:symbol val="none"/>
                </c:marker>
                <c:cat>
                  <c:strRef>
                    <c:extLst xmlns:c15="http://schemas.microsoft.com/office/drawing/2012/chart">
                      <c:ext xmlns:c15="http://schemas.microsoft.com/office/drawing/2012/chart" uri="{02D57815-91ED-43cb-92C2-25804820EDAC}">
                        <c15:formulaRef>
                          <c15:sqref>'Sheet 1'!$BO$50:$DE$50</c15:sqref>
                        </c15:formulaRef>
                      </c:ext>
                    </c:extLst>
                    <c:strCache>
                      <c:ptCount val="43"/>
                      <c:pt idx="0">
                        <c:v>2021-08</c:v>
                      </c:pt>
                      <c:pt idx="1">
                        <c:v>2021-09</c:v>
                      </c:pt>
                      <c:pt idx="2">
                        <c:v>2021-10</c:v>
                      </c:pt>
                      <c:pt idx="3">
                        <c:v>2021-11</c:v>
                      </c:pt>
                      <c:pt idx="4">
                        <c:v>2021-12</c:v>
                      </c:pt>
                      <c:pt idx="5">
                        <c:v>2022-01</c:v>
                      </c:pt>
                      <c:pt idx="6">
                        <c:v>2022-02</c:v>
                      </c:pt>
                      <c:pt idx="7">
                        <c:v>2022-03</c:v>
                      </c:pt>
                      <c:pt idx="8">
                        <c:v>2022-04</c:v>
                      </c:pt>
                      <c:pt idx="9">
                        <c:v>2022-05</c:v>
                      </c:pt>
                      <c:pt idx="10">
                        <c:v>2022-06</c:v>
                      </c:pt>
                      <c:pt idx="11">
                        <c:v>2022-07</c:v>
                      </c:pt>
                      <c:pt idx="12">
                        <c:v>2022-08</c:v>
                      </c:pt>
                      <c:pt idx="13">
                        <c:v>2022-09</c:v>
                      </c:pt>
                      <c:pt idx="14">
                        <c:v>2022-10</c:v>
                      </c:pt>
                      <c:pt idx="15">
                        <c:v>2022-11</c:v>
                      </c:pt>
                      <c:pt idx="16">
                        <c:v>2022-12</c:v>
                      </c:pt>
                      <c:pt idx="17">
                        <c:v>2023-01</c:v>
                      </c:pt>
                      <c:pt idx="18">
                        <c:v>2023-02</c:v>
                      </c:pt>
                      <c:pt idx="19">
                        <c:v>2023-03</c:v>
                      </c:pt>
                      <c:pt idx="20">
                        <c:v>2023-04</c:v>
                      </c:pt>
                      <c:pt idx="21">
                        <c:v>2023-05</c:v>
                      </c:pt>
                      <c:pt idx="22">
                        <c:v>2023-06</c:v>
                      </c:pt>
                      <c:pt idx="23">
                        <c:v>2023-07</c:v>
                      </c:pt>
                      <c:pt idx="24">
                        <c:v>2023-08</c:v>
                      </c:pt>
                      <c:pt idx="25">
                        <c:v>2023-09</c:v>
                      </c:pt>
                      <c:pt idx="26">
                        <c:v>2023-10</c:v>
                      </c:pt>
                      <c:pt idx="27">
                        <c:v>2023-11</c:v>
                      </c:pt>
                      <c:pt idx="28">
                        <c:v>2023-12</c:v>
                      </c:pt>
                      <c:pt idx="29">
                        <c:v>2024-01</c:v>
                      </c:pt>
                      <c:pt idx="30">
                        <c:v>2024-02</c:v>
                      </c:pt>
                      <c:pt idx="31">
                        <c:v>2024-03</c:v>
                      </c:pt>
                      <c:pt idx="32">
                        <c:v>2024-04</c:v>
                      </c:pt>
                      <c:pt idx="33">
                        <c:v>2024-05</c:v>
                      </c:pt>
                      <c:pt idx="34">
                        <c:v>2024-06</c:v>
                      </c:pt>
                      <c:pt idx="35">
                        <c:v>2024-07</c:v>
                      </c:pt>
                      <c:pt idx="36">
                        <c:v>2024-08</c:v>
                      </c:pt>
                      <c:pt idx="37">
                        <c:v>2024-09</c:v>
                      </c:pt>
                      <c:pt idx="38">
                        <c:v>2024-10</c:v>
                      </c:pt>
                      <c:pt idx="39">
                        <c:v>2024-11</c:v>
                      </c:pt>
                      <c:pt idx="40">
                        <c:v>2024-12</c:v>
                      </c:pt>
                      <c:pt idx="41">
                        <c:v>2025-01</c:v>
                      </c:pt>
                      <c:pt idx="42">
                        <c:v>2025-02</c:v>
                      </c:pt>
                    </c:strCache>
                  </c:strRef>
                </c:cat>
                <c:val>
                  <c:numRef>
                    <c:extLst xmlns:c15="http://schemas.microsoft.com/office/drawing/2012/chart">
                      <c:ext xmlns:c15="http://schemas.microsoft.com/office/drawing/2012/chart" uri="{02D57815-91ED-43cb-92C2-25804820EDAC}">
                        <c15:formulaRef>
                          <c15:sqref>'Sheet 1'!$BO$77:$DE$77</c15:sqref>
                        </c15:formulaRef>
                      </c:ext>
                    </c:extLst>
                    <c:numCache>
                      <c:formatCode>0</c:formatCode>
                      <c:ptCount val="43"/>
                      <c:pt idx="0">
                        <c:v>103.47005961384465</c:v>
                      </c:pt>
                      <c:pt idx="1">
                        <c:v>103.55903550137913</c:v>
                      </c:pt>
                      <c:pt idx="2">
                        <c:v>103.80816798647568</c:v>
                      </c:pt>
                      <c:pt idx="3">
                        <c:v>104.31533054542219</c:v>
                      </c:pt>
                      <c:pt idx="4">
                        <c:v>105.34745084082213</c:v>
                      </c:pt>
                      <c:pt idx="5">
                        <c:v>108.43491413826854</c:v>
                      </c:pt>
                      <c:pt idx="6">
                        <c:v>110.20553430020463</c:v>
                      </c:pt>
                      <c:pt idx="7">
                        <c:v>112.16300382596316</c:v>
                      </c:pt>
                      <c:pt idx="8">
                        <c:v>115.1081057033544</c:v>
                      </c:pt>
                      <c:pt idx="9">
                        <c:v>119.50351454755761</c:v>
                      </c:pt>
                      <c:pt idx="10">
                        <c:v>122.35074294866091</c:v>
                      </c:pt>
                      <c:pt idx="11">
                        <c:v>124.11246552184359</c:v>
                      </c:pt>
                      <c:pt idx="12">
                        <c:v>125.8652905062728</c:v>
                      </c:pt>
                      <c:pt idx="13">
                        <c:v>128.50787436604679</c:v>
                      </c:pt>
                      <c:pt idx="14">
                        <c:v>131.67541596227423</c:v>
                      </c:pt>
                      <c:pt idx="15">
                        <c:v>134.30020464454134</c:v>
                      </c:pt>
                      <c:pt idx="16">
                        <c:v>135.91956579766881</c:v>
                      </c:pt>
                      <c:pt idx="17">
                        <c:v>139.46080612154105</c:v>
                      </c:pt>
                      <c:pt idx="18">
                        <c:v>141.7919743749444</c:v>
                      </c:pt>
                      <c:pt idx="19">
                        <c:v>144.75487142984252</c:v>
                      </c:pt>
                      <c:pt idx="20">
                        <c:v>145.13746774624076</c:v>
                      </c:pt>
                      <c:pt idx="21">
                        <c:v>145.73360619272177</c:v>
                      </c:pt>
                      <c:pt idx="22">
                        <c:v>145.67132307144763</c:v>
                      </c:pt>
                      <c:pt idx="23">
                        <c:v>144.6214075985408</c:v>
                      </c:pt>
                      <c:pt idx="24">
                        <c:v>142.99314885665984</c:v>
                      </c:pt>
                      <c:pt idx="25">
                        <c:v>143.02873921167364</c:v>
                      </c:pt>
                      <c:pt idx="26">
                        <c:v>143.37574517305808</c:v>
                      </c:pt>
                      <c:pt idx="27">
                        <c:v>144.57691965477358</c:v>
                      </c:pt>
                      <c:pt idx="28">
                        <c:v>144.50573894474596</c:v>
                      </c:pt>
                      <c:pt idx="29">
                        <c:v>146.32974463920277</c:v>
                      </c:pt>
                      <c:pt idx="30">
                        <c:v>146.43651570424416</c:v>
                      </c:pt>
                      <c:pt idx="31">
                        <c:v>145.64463030518729</c:v>
                      </c:pt>
                      <c:pt idx="32">
                        <c:v>145.08408221372008</c:v>
                      </c:pt>
                      <c:pt idx="33">
                        <c:v>146.62336506806653</c:v>
                      </c:pt>
                      <c:pt idx="34">
                        <c:v>146.38313017172345</c:v>
                      </c:pt>
                      <c:pt idx="35">
                        <c:v>146.67675060058721</c:v>
                      </c:pt>
                      <c:pt idx="36">
                        <c:v>147.56650947593201</c:v>
                      </c:pt>
                      <c:pt idx="37">
                        <c:v>147.53981670967167</c:v>
                      </c:pt>
                      <c:pt idx="38">
                        <c:v>150.71625589465253</c:v>
                      </c:pt>
                      <c:pt idx="39">
                        <c:v>151.68609306877835</c:v>
                      </c:pt>
                      <c:pt idx="40">
                        <c:v>147.99359373609752</c:v>
                      </c:pt>
                      <c:pt idx="41">
                        <c:v>148.77658154640093</c:v>
                      </c:pt>
                      <c:pt idx="42">
                        <c:v>149.13248509653886</c:v>
                      </c:pt>
                    </c:numCache>
                  </c:numRef>
                </c:val>
                <c:smooth val="0"/>
                <c:extLst xmlns:c15="http://schemas.microsoft.com/office/drawing/2012/chart">
                  <c:ext xmlns:c16="http://schemas.microsoft.com/office/drawing/2014/chart" uri="{C3380CC4-5D6E-409C-BE32-E72D297353CC}">
                    <c16:uniqueId val="{0000001D-A9DA-4C67-8C43-2AF5F89BC400}"/>
                  </c:ext>
                </c:extLst>
              </c15:ser>
            </c15:filteredLineSeries>
            <c15:filteredLineSeries>
              <c15:ser>
                <c:idx val="29"/>
                <c:order val="29"/>
                <c:tx>
                  <c:strRef>
                    <c:extLst xmlns:c15="http://schemas.microsoft.com/office/drawing/2012/chart">
                      <c:ext xmlns:c15="http://schemas.microsoft.com/office/drawing/2012/chart" uri="{02D57815-91ED-43cb-92C2-25804820EDAC}">
                        <c15:formulaRef>
                          <c15:sqref>'Sheet 1'!$BG$80</c15:sqref>
                        </c15:formulaRef>
                      </c:ext>
                    </c:extLst>
                    <c:strCache>
                      <c:ptCount val="1"/>
                      <c:pt idx="0">
                        <c:v>Iceland</c:v>
                      </c:pt>
                    </c:strCache>
                  </c:strRef>
                </c:tx>
                <c:spPr>
                  <a:ln w="28575" cap="rnd">
                    <a:solidFill>
                      <a:schemeClr val="accent6">
                        <a:lumMod val="60000"/>
                        <a:lumOff val="40000"/>
                      </a:schemeClr>
                    </a:solidFill>
                    <a:round/>
                  </a:ln>
                  <a:effectLst/>
                </c:spPr>
                <c:marker>
                  <c:symbol val="none"/>
                </c:marker>
                <c:cat>
                  <c:strRef>
                    <c:extLst xmlns:c15="http://schemas.microsoft.com/office/drawing/2012/chart">
                      <c:ext xmlns:c15="http://schemas.microsoft.com/office/drawing/2012/chart" uri="{02D57815-91ED-43cb-92C2-25804820EDAC}">
                        <c15:formulaRef>
                          <c15:sqref>'Sheet 1'!$BO$50:$DE$50</c15:sqref>
                        </c15:formulaRef>
                      </c:ext>
                    </c:extLst>
                    <c:strCache>
                      <c:ptCount val="43"/>
                      <c:pt idx="0">
                        <c:v>2021-08</c:v>
                      </c:pt>
                      <c:pt idx="1">
                        <c:v>2021-09</c:v>
                      </c:pt>
                      <c:pt idx="2">
                        <c:v>2021-10</c:v>
                      </c:pt>
                      <c:pt idx="3">
                        <c:v>2021-11</c:v>
                      </c:pt>
                      <c:pt idx="4">
                        <c:v>2021-12</c:v>
                      </c:pt>
                      <c:pt idx="5">
                        <c:v>2022-01</c:v>
                      </c:pt>
                      <c:pt idx="6">
                        <c:v>2022-02</c:v>
                      </c:pt>
                      <c:pt idx="7">
                        <c:v>2022-03</c:v>
                      </c:pt>
                      <c:pt idx="8">
                        <c:v>2022-04</c:v>
                      </c:pt>
                      <c:pt idx="9">
                        <c:v>2022-05</c:v>
                      </c:pt>
                      <c:pt idx="10">
                        <c:v>2022-06</c:v>
                      </c:pt>
                      <c:pt idx="11">
                        <c:v>2022-07</c:v>
                      </c:pt>
                      <c:pt idx="12">
                        <c:v>2022-08</c:v>
                      </c:pt>
                      <c:pt idx="13">
                        <c:v>2022-09</c:v>
                      </c:pt>
                      <c:pt idx="14">
                        <c:v>2022-10</c:v>
                      </c:pt>
                      <c:pt idx="15">
                        <c:v>2022-11</c:v>
                      </c:pt>
                      <c:pt idx="16">
                        <c:v>2022-12</c:v>
                      </c:pt>
                      <c:pt idx="17">
                        <c:v>2023-01</c:v>
                      </c:pt>
                      <c:pt idx="18">
                        <c:v>2023-02</c:v>
                      </c:pt>
                      <c:pt idx="19">
                        <c:v>2023-03</c:v>
                      </c:pt>
                      <c:pt idx="20">
                        <c:v>2023-04</c:v>
                      </c:pt>
                      <c:pt idx="21">
                        <c:v>2023-05</c:v>
                      </c:pt>
                      <c:pt idx="22">
                        <c:v>2023-06</c:v>
                      </c:pt>
                      <c:pt idx="23">
                        <c:v>2023-07</c:v>
                      </c:pt>
                      <c:pt idx="24">
                        <c:v>2023-08</c:v>
                      </c:pt>
                      <c:pt idx="25">
                        <c:v>2023-09</c:v>
                      </c:pt>
                      <c:pt idx="26">
                        <c:v>2023-10</c:v>
                      </c:pt>
                      <c:pt idx="27">
                        <c:v>2023-11</c:v>
                      </c:pt>
                      <c:pt idx="28">
                        <c:v>2023-12</c:v>
                      </c:pt>
                      <c:pt idx="29">
                        <c:v>2024-01</c:v>
                      </c:pt>
                      <c:pt idx="30">
                        <c:v>2024-02</c:v>
                      </c:pt>
                      <c:pt idx="31">
                        <c:v>2024-03</c:v>
                      </c:pt>
                      <c:pt idx="32">
                        <c:v>2024-04</c:v>
                      </c:pt>
                      <c:pt idx="33">
                        <c:v>2024-05</c:v>
                      </c:pt>
                      <c:pt idx="34">
                        <c:v>2024-06</c:v>
                      </c:pt>
                      <c:pt idx="35">
                        <c:v>2024-07</c:v>
                      </c:pt>
                      <c:pt idx="36">
                        <c:v>2024-08</c:v>
                      </c:pt>
                      <c:pt idx="37">
                        <c:v>2024-09</c:v>
                      </c:pt>
                      <c:pt idx="38">
                        <c:v>2024-10</c:v>
                      </c:pt>
                      <c:pt idx="39">
                        <c:v>2024-11</c:v>
                      </c:pt>
                      <c:pt idx="40">
                        <c:v>2024-12</c:v>
                      </c:pt>
                      <c:pt idx="41">
                        <c:v>2025-01</c:v>
                      </c:pt>
                      <c:pt idx="42">
                        <c:v>2025-02</c:v>
                      </c:pt>
                    </c:strCache>
                  </c:strRef>
                </c:cat>
                <c:val>
                  <c:numRef>
                    <c:extLst xmlns:c15="http://schemas.microsoft.com/office/drawing/2012/chart">
                      <c:ext xmlns:c15="http://schemas.microsoft.com/office/drawing/2012/chart" uri="{02D57815-91ED-43cb-92C2-25804820EDAC}">
                        <c15:formulaRef>
                          <c15:sqref>'Sheet 1'!$BO$80:$DE$80</c15:sqref>
                        </c15:formulaRef>
                      </c:ext>
                    </c:extLst>
                    <c:numCache>
                      <c:formatCode>0</c:formatCode>
                      <c:ptCount val="43"/>
                      <c:pt idx="0">
                        <c:v>100.36066150598171</c:v>
                      </c:pt>
                      <c:pt idx="1">
                        <c:v>100.81808585503167</c:v>
                      </c:pt>
                      <c:pt idx="2">
                        <c:v>101.28430682617875</c:v>
                      </c:pt>
                      <c:pt idx="3">
                        <c:v>101.43384940182969</c:v>
                      </c:pt>
                      <c:pt idx="4">
                        <c:v>102.29591836734693</c:v>
                      </c:pt>
                      <c:pt idx="5">
                        <c:v>103.59781843771991</c:v>
                      </c:pt>
                      <c:pt idx="6">
                        <c:v>104.45988740323715</c:v>
                      </c:pt>
                      <c:pt idx="7">
                        <c:v>105.10204081632652</c:v>
                      </c:pt>
                      <c:pt idx="8">
                        <c:v>106.48311048557353</c:v>
                      </c:pt>
                      <c:pt idx="9">
                        <c:v>107.40675580577057</c:v>
                      </c:pt>
                      <c:pt idx="10">
                        <c:v>108.40957072484166</c:v>
                      </c:pt>
                      <c:pt idx="11">
                        <c:v>108.69106263194932</c:v>
                      </c:pt>
                      <c:pt idx="12">
                        <c:v>109.41238564391273</c:v>
                      </c:pt>
                      <c:pt idx="13">
                        <c:v>109.73786066150598</c:v>
                      </c:pt>
                      <c:pt idx="14">
                        <c:v>111.39162561576354</c:v>
                      </c:pt>
                      <c:pt idx="15">
                        <c:v>112.28888106966926</c:v>
                      </c:pt>
                      <c:pt idx="16">
                        <c:v>112.99261083743841</c:v>
                      </c:pt>
                      <c:pt idx="17">
                        <c:v>115.11259676284307</c:v>
                      </c:pt>
                      <c:pt idx="18">
                        <c:v>117.03026038001406</c:v>
                      </c:pt>
                      <c:pt idx="19">
                        <c:v>117.98909218859957</c:v>
                      </c:pt>
                      <c:pt idx="20">
                        <c:v>119.88916256157634</c:v>
                      </c:pt>
                      <c:pt idx="21">
                        <c:v>120.8128078817734</c:v>
                      </c:pt>
                      <c:pt idx="22">
                        <c:v>121.42857142857142</c:v>
                      </c:pt>
                      <c:pt idx="23">
                        <c:v>122.00035186488387</c:v>
                      </c:pt>
                      <c:pt idx="24">
                        <c:v>122.70408163265307</c:v>
                      </c:pt>
                      <c:pt idx="25">
                        <c:v>123.26706544686839</c:v>
                      </c:pt>
                      <c:pt idx="26">
                        <c:v>124.41062631949332</c:v>
                      </c:pt>
                      <c:pt idx="27">
                        <c:v>124.32266009852218</c:v>
                      </c:pt>
                      <c:pt idx="28">
                        <c:v>124.57776213933849</c:v>
                      </c:pt>
                      <c:pt idx="29">
                        <c:v>125.17593244194229</c:v>
                      </c:pt>
                      <c:pt idx="30">
                        <c:v>125.92364532019704</c:v>
                      </c:pt>
                      <c:pt idx="31">
                        <c:v>126.36347642505277</c:v>
                      </c:pt>
                      <c:pt idx="32">
                        <c:v>126.65376495425755</c:v>
                      </c:pt>
                      <c:pt idx="33">
                        <c:v>127.22554539057001</c:v>
                      </c:pt>
                      <c:pt idx="34">
                        <c:v>127.85890218156226</c:v>
                      </c:pt>
                      <c:pt idx="35">
                        <c:v>129.22237860661505</c:v>
                      </c:pt>
                      <c:pt idx="36">
                        <c:v>128.69458128078819</c:v>
                      </c:pt>
                      <c:pt idx="37">
                        <c:v>128.43068261787474</c:v>
                      </c:pt>
                      <c:pt idx="38">
                        <c:v>129.43349753694579</c:v>
                      </c:pt>
                      <c:pt idx="39">
                        <c:v>129.40710767065445</c:v>
                      </c:pt>
                      <c:pt idx="40">
                        <c:v>129.94370161857847</c:v>
                      </c:pt>
                      <c:pt idx="41">
                        <c:v>130.46270232230825</c:v>
                      </c:pt>
                      <c:pt idx="42">
                        <c:v>131.87016185784657</c:v>
                      </c:pt>
                    </c:numCache>
                  </c:numRef>
                </c:val>
                <c:smooth val="0"/>
                <c:extLst xmlns:c15="http://schemas.microsoft.com/office/drawing/2012/chart">
                  <c:ext xmlns:c16="http://schemas.microsoft.com/office/drawing/2014/chart" uri="{C3380CC4-5D6E-409C-BE32-E72D297353CC}">
                    <c16:uniqueId val="{0000001E-A9DA-4C67-8C43-2AF5F89BC400}"/>
                  </c:ext>
                </c:extLst>
              </c15:ser>
            </c15:filteredLineSeries>
            <c15:filteredLineSeries>
              <c15:ser>
                <c:idx val="31"/>
                <c:order val="31"/>
                <c:tx>
                  <c:strRef>
                    <c:extLst xmlns:c15="http://schemas.microsoft.com/office/drawing/2012/chart">
                      <c:ext xmlns:c15="http://schemas.microsoft.com/office/drawing/2012/chart" uri="{02D57815-91ED-43cb-92C2-25804820EDAC}">
                        <c15:formulaRef>
                          <c15:sqref>'Sheet 1'!$BG$82</c15:sqref>
                        </c15:formulaRef>
                      </c:ext>
                    </c:extLst>
                    <c:strCache>
                      <c:ptCount val="1"/>
                      <c:pt idx="0">
                        <c:v>Switzerland</c:v>
                      </c:pt>
                    </c:strCache>
                  </c:strRef>
                </c:tx>
                <c:spPr>
                  <a:ln w="28575" cap="rnd">
                    <a:solidFill>
                      <a:schemeClr val="accent2">
                        <a:lumMod val="50000"/>
                      </a:schemeClr>
                    </a:solidFill>
                    <a:round/>
                  </a:ln>
                  <a:effectLst/>
                </c:spPr>
                <c:marker>
                  <c:symbol val="none"/>
                </c:marker>
                <c:cat>
                  <c:strRef>
                    <c:extLst xmlns:c15="http://schemas.microsoft.com/office/drawing/2012/chart">
                      <c:ext xmlns:c15="http://schemas.microsoft.com/office/drawing/2012/chart" uri="{02D57815-91ED-43cb-92C2-25804820EDAC}">
                        <c15:formulaRef>
                          <c15:sqref>'Sheet 1'!$BO$50:$DE$50</c15:sqref>
                        </c15:formulaRef>
                      </c:ext>
                    </c:extLst>
                    <c:strCache>
                      <c:ptCount val="43"/>
                      <c:pt idx="0">
                        <c:v>2021-08</c:v>
                      </c:pt>
                      <c:pt idx="1">
                        <c:v>2021-09</c:v>
                      </c:pt>
                      <c:pt idx="2">
                        <c:v>2021-10</c:v>
                      </c:pt>
                      <c:pt idx="3">
                        <c:v>2021-11</c:v>
                      </c:pt>
                      <c:pt idx="4">
                        <c:v>2021-12</c:v>
                      </c:pt>
                      <c:pt idx="5">
                        <c:v>2022-01</c:v>
                      </c:pt>
                      <c:pt idx="6">
                        <c:v>2022-02</c:v>
                      </c:pt>
                      <c:pt idx="7">
                        <c:v>2022-03</c:v>
                      </c:pt>
                      <c:pt idx="8">
                        <c:v>2022-04</c:v>
                      </c:pt>
                      <c:pt idx="9">
                        <c:v>2022-05</c:v>
                      </c:pt>
                      <c:pt idx="10">
                        <c:v>2022-06</c:v>
                      </c:pt>
                      <c:pt idx="11">
                        <c:v>2022-07</c:v>
                      </c:pt>
                      <c:pt idx="12">
                        <c:v>2022-08</c:v>
                      </c:pt>
                      <c:pt idx="13">
                        <c:v>2022-09</c:v>
                      </c:pt>
                      <c:pt idx="14">
                        <c:v>2022-10</c:v>
                      </c:pt>
                      <c:pt idx="15">
                        <c:v>2022-11</c:v>
                      </c:pt>
                      <c:pt idx="16">
                        <c:v>2022-12</c:v>
                      </c:pt>
                      <c:pt idx="17">
                        <c:v>2023-01</c:v>
                      </c:pt>
                      <c:pt idx="18">
                        <c:v>2023-02</c:v>
                      </c:pt>
                      <c:pt idx="19">
                        <c:v>2023-03</c:v>
                      </c:pt>
                      <c:pt idx="20">
                        <c:v>2023-04</c:v>
                      </c:pt>
                      <c:pt idx="21">
                        <c:v>2023-05</c:v>
                      </c:pt>
                      <c:pt idx="22">
                        <c:v>2023-06</c:v>
                      </c:pt>
                      <c:pt idx="23">
                        <c:v>2023-07</c:v>
                      </c:pt>
                      <c:pt idx="24">
                        <c:v>2023-08</c:v>
                      </c:pt>
                      <c:pt idx="25">
                        <c:v>2023-09</c:v>
                      </c:pt>
                      <c:pt idx="26">
                        <c:v>2023-10</c:v>
                      </c:pt>
                      <c:pt idx="27">
                        <c:v>2023-11</c:v>
                      </c:pt>
                      <c:pt idx="28">
                        <c:v>2023-12</c:v>
                      </c:pt>
                      <c:pt idx="29">
                        <c:v>2024-01</c:v>
                      </c:pt>
                      <c:pt idx="30">
                        <c:v>2024-02</c:v>
                      </c:pt>
                      <c:pt idx="31">
                        <c:v>2024-03</c:v>
                      </c:pt>
                      <c:pt idx="32">
                        <c:v>2024-04</c:v>
                      </c:pt>
                      <c:pt idx="33">
                        <c:v>2024-05</c:v>
                      </c:pt>
                      <c:pt idx="34">
                        <c:v>2024-06</c:v>
                      </c:pt>
                      <c:pt idx="35">
                        <c:v>2024-07</c:v>
                      </c:pt>
                      <c:pt idx="36">
                        <c:v>2024-08</c:v>
                      </c:pt>
                      <c:pt idx="37">
                        <c:v>2024-09</c:v>
                      </c:pt>
                      <c:pt idx="38">
                        <c:v>2024-10</c:v>
                      </c:pt>
                      <c:pt idx="39">
                        <c:v>2024-11</c:v>
                      </c:pt>
                      <c:pt idx="40">
                        <c:v>2024-12</c:v>
                      </c:pt>
                      <c:pt idx="41">
                        <c:v>2025-01</c:v>
                      </c:pt>
                      <c:pt idx="42">
                        <c:v>2025-02</c:v>
                      </c:pt>
                    </c:strCache>
                  </c:strRef>
                </c:cat>
                <c:val>
                  <c:numRef>
                    <c:extLst xmlns:c15="http://schemas.microsoft.com/office/drawing/2012/chart">
                      <c:ext xmlns:c15="http://schemas.microsoft.com/office/drawing/2012/chart" uri="{02D57815-91ED-43cb-92C2-25804820EDAC}">
                        <c15:formulaRef>
                          <c15:sqref>'Sheet 1'!$BO$82:$DE$82</c15:sqref>
                        </c15:formulaRef>
                      </c:ext>
                    </c:extLst>
                    <c:numCache>
                      <c:formatCode>0</c:formatCode>
                      <c:ptCount val="43"/>
                      <c:pt idx="0">
                        <c:v>101.64179104477613</c:v>
                      </c:pt>
                      <c:pt idx="1">
                        <c:v>101.16417910447761</c:v>
                      </c:pt>
                      <c:pt idx="2">
                        <c:v>100.23880597014924</c:v>
                      </c:pt>
                      <c:pt idx="3">
                        <c:v>99.46268656716417</c:v>
                      </c:pt>
                      <c:pt idx="4">
                        <c:v>99.00497512437812</c:v>
                      </c:pt>
                      <c:pt idx="5">
                        <c:v>98.477611940298502</c:v>
                      </c:pt>
                      <c:pt idx="6">
                        <c:v>98.825870646766163</c:v>
                      </c:pt>
                      <c:pt idx="7">
                        <c:v>99.402985074626869</c:v>
                      </c:pt>
                      <c:pt idx="8">
                        <c:v>99.671641791044777</c:v>
                      </c:pt>
                      <c:pt idx="9">
                        <c:v>101.42288557213932</c:v>
                      </c:pt>
                      <c:pt idx="10">
                        <c:v>102.63681592039802</c:v>
                      </c:pt>
                      <c:pt idx="11">
                        <c:v>103.044776119403</c:v>
                      </c:pt>
                      <c:pt idx="12">
                        <c:v>103.93034825870646</c:v>
                      </c:pt>
                      <c:pt idx="13">
                        <c:v>104.1094527363184</c:v>
                      </c:pt>
                      <c:pt idx="14">
                        <c:v>104.41791044776119</c:v>
                      </c:pt>
                      <c:pt idx="15">
                        <c:v>103.84079601990051</c:v>
                      </c:pt>
                      <c:pt idx="16">
                        <c:v>103.044776119403</c:v>
                      </c:pt>
                      <c:pt idx="17">
                        <c:v>104.22885572139305</c:v>
                      </c:pt>
                      <c:pt idx="18">
                        <c:v>105.39303482587066</c:v>
                      </c:pt>
                      <c:pt idx="19">
                        <c:v>106.18905472636814</c:v>
                      </c:pt>
                      <c:pt idx="20">
                        <c:v>105.23383084577117</c:v>
                      </c:pt>
                      <c:pt idx="21">
                        <c:v>106.98507462686567</c:v>
                      </c:pt>
                      <c:pt idx="22">
                        <c:v>108.16915422885572</c:v>
                      </c:pt>
                      <c:pt idx="23">
                        <c:v>108.76616915422885</c:v>
                      </c:pt>
                      <c:pt idx="24">
                        <c:v>108.58706467661692</c:v>
                      </c:pt>
                      <c:pt idx="25">
                        <c:v>108.11940298507463</c:v>
                      </c:pt>
                      <c:pt idx="26">
                        <c:v>107.91044776119404</c:v>
                      </c:pt>
                      <c:pt idx="27">
                        <c:v>107.31343283582089</c:v>
                      </c:pt>
                      <c:pt idx="28">
                        <c:v>106.49751243781094</c:v>
                      </c:pt>
                      <c:pt idx="29">
                        <c:v>106.69651741293534</c:v>
                      </c:pt>
                      <c:pt idx="30">
                        <c:v>106.13930348258707</c:v>
                      </c:pt>
                      <c:pt idx="31">
                        <c:v>105.50248756218905</c:v>
                      </c:pt>
                      <c:pt idx="32">
                        <c:v>105.9402985074627</c:v>
                      </c:pt>
                      <c:pt idx="33">
                        <c:v>107.18407960199005</c:v>
                      </c:pt>
                      <c:pt idx="34">
                        <c:v>107.67164179104478</c:v>
                      </c:pt>
                      <c:pt idx="35">
                        <c:v>108.82587064676616</c:v>
                      </c:pt>
                      <c:pt idx="36">
                        <c:v>108.39800995024875</c:v>
                      </c:pt>
                      <c:pt idx="37">
                        <c:v>108.36815920398008</c:v>
                      </c:pt>
                      <c:pt idx="38">
                        <c:v>107.49253731343285</c:v>
                      </c:pt>
                      <c:pt idx="39">
                        <c:v>106.21890547263682</c:v>
                      </c:pt>
                      <c:pt idx="40">
                        <c:v>105.03482587064677</c:v>
                      </c:pt>
                      <c:pt idx="41">
                        <c:v>105.08457711442787</c:v>
                      </c:pt>
                      <c:pt idx="42">
                        <c:v>104.87562189054727</c:v>
                      </c:pt>
                    </c:numCache>
                  </c:numRef>
                </c:val>
                <c:smooth val="0"/>
                <c:extLst xmlns:c15="http://schemas.microsoft.com/office/drawing/2012/chart">
                  <c:ext xmlns:c16="http://schemas.microsoft.com/office/drawing/2014/chart" uri="{C3380CC4-5D6E-409C-BE32-E72D297353CC}">
                    <c16:uniqueId val="{0000001F-A9DA-4C67-8C43-2AF5F89BC400}"/>
                  </c:ext>
                </c:extLst>
              </c15:ser>
            </c15:filteredLineSeries>
          </c:ext>
        </c:extLst>
      </c:lineChart>
      <c:catAx>
        <c:axId val="452416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v-SE"/>
          </a:p>
        </c:txPr>
        <c:crossAx val="452418768"/>
        <c:crosses val="autoZero"/>
        <c:auto val="1"/>
        <c:lblAlgn val="ctr"/>
        <c:lblOffset val="100"/>
        <c:noMultiLvlLbl val="0"/>
      </c:catAx>
      <c:valAx>
        <c:axId val="452418768"/>
        <c:scaling>
          <c:orientation val="minMax"/>
          <c:max val="135"/>
          <c:min val="95"/>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v-SE"/>
          </a:p>
        </c:txPr>
        <c:crossAx val="452416144"/>
        <c:crosses val="autoZero"/>
        <c:crossBetween val="between"/>
      </c:valAx>
      <c:spPr>
        <a:noFill/>
        <a:ln>
          <a:noFill/>
        </a:ln>
        <a:effectLst/>
      </c:spPr>
    </c:plotArea>
    <c:legend>
      <c:legendPos val="b"/>
      <c:layout>
        <c:manualLayout>
          <c:xMode val="edge"/>
          <c:yMode val="edge"/>
          <c:x val="0"/>
          <c:y val="0.82868365141365619"/>
          <c:w val="1"/>
          <c:h val="0.1713163485863437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b="0" i="0" baseline="0"/>
      </a:pPr>
      <a:endParaRPr lang="sv-SE"/>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'Ekonomisk utsatthet'!$X$39</c:f>
              <c:strCache>
                <c:ptCount val="1"/>
                <c:pt idx="0">
                  <c:v>allvarlig materiell och social fattigdom</c:v>
                </c:pt>
              </c:strCache>
            </c:strRef>
          </c:tx>
          <c:spPr>
            <a:solidFill>
              <a:schemeClr val="accent1"/>
            </a:solidFill>
            <a:ln>
              <a:noFill/>
            </a:ln>
            <a:effectLst/>
          </c:spPr>
          <c:invertIfNegative val="0"/>
          <c:cat>
            <c:numRef>
              <c:f>'Ekonomisk utsatthet'!$Y$38:$AB$38</c:f>
              <c:numCache>
                <c:formatCode>General</c:formatCode>
                <c:ptCount val="4"/>
                <c:pt idx="0">
                  <c:v>2021</c:v>
                </c:pt>
                <c:pt idx="1">
                  <c:v>2022</c:v>
                </c:pt>
                <c:pt idx="2">
                  <c:v>2023</c:v>
                </c:pt>
                <c:pt idx="3">
                  <c:v>2024</c:v>
                </c:pt>
              </c:numCache>
            </c:numRef>
          </c:cat>
          <c:val>
            <c:numRef>
              <c:f>'Ekonomisk utsatthet'!$Y$39:$AB$39</c:f>
              <c:numCache>
                <c:formatCode>0</c:formatCode>
                <c:ptCount val="4"/>
                <c:pt idx="0">
                  <c:v>150000</c:v>
                </c:pt>
                <c:pt idx="1">
                  <c:v>238000</c:v>
                </c:pt>
                <c:pt idx="2">
                  <c:v>266000</c:v>
                </c:pt>
                <c:pt idx="3">
                  <c:v>317000</c:v>
                </c:pt>
              </c:numCache>
            </c:numRef>
          </c:val>
          <c:extLst>
            <c:ext xmlns:c16="http://schemas.microsoft.com/office/drawing/2014/chart" uri="{C3380CC4-5D6E-409C-BE32-E72D297353CC}">
              <c16:uniqueId val="{00000000-2949-4005-8487-7638C9EBB6D8}"/>
            </c:ext>
          </c:extLst>
        </c:ser>
        <c:ser>
          <c:idx val="1"/>
          <c:order val="1"/>
          <c:tx>
            <c:strRef>
              <c:f>'Ekonomisk utsatthet'!$X$40</c:f>
              <c:strCache>
                <c:ptCount val="1"/>
                <c:pt idx="0">
                  <c:v>materiell och social fattigdom (utöver allvarlig materiall och socialfattigdom)</c:v>
                </c:pt>
              </c:strCache>
            </c:strRef>
          </c:tx>
          <c:spPr>
            <a:solidFill>
              <a:schemeClr val="accent2"/>
            </a:solidFill>
            <a:ln>
              <a:noFill/>
            </a:ln>
            <a:effectLst/>
          </c:spPr>
          <c:invertIfNegative val="0"/>
          <c:cat>
            <c:numRef>
              <c:f>'Ekonomisk utsatthet'!$Y$38:$AB$38</c:f>
              <c:numCache>
                <c:formatCode>General</c:formatCode>
                <c:ptCount val="4"/>
                <c:pt idx="0">
                  <c:v>2021</c:v>
                </c:pt>
                <c:pt idx="1">
                  <c:v>2022</c:v>
                </c:pt>
                <c:pt idx="2">
                  <c:v>2023</c:v>
                </c:pt>
                <c:pt idx="3">
                  <c:v>2024</c:v>
                </c:pt>
              </c:numCache>
            </c:numRef>
          </c:cat>
          <c:val>
            <c:numRef>
              <c:f>'Ekonomisk utsatthet'!$Y$40:$AB$40</c:f>
              <c:numCache>
                <c:formatCode>0</c:formatCode>
                <c:ptCount val="4"/>
                <c:pt idx="0">
                  <c:v>214000</c:v>
                </c:pt>
                <c:pt idx="1">
                  <c:v>254000</c:v>
                </c:pt>
                <c:pt idx="2">
                  <c:v>310000</c:v>
                </c:pt>
                <c:pt idx="3">
                  <c:v>381000</c:v>
                </c:pt>
              </c:numCache>
            </c:numRef>
          </c:val>
          <c:extLst>
            <c:ext xmlns:c16="http://schemas.microsoft.com/office/drawing/2014/chart" uri="{C3380CC4-5D6E-409C-BE32-E72D297353CC}">
              <c16:uniqueId val="{00000001-2949-4005-8487-7638C9EBB6D8}"/>
            </c:ext>
          </c:extLst>
        </c:ser>
        <c:dLbls>
          <c:showLegendKey val="0"/>
          <c:showVal val="0"/>
          <c:showCatName val="0"/>
          <c:showSerName val="0"/>
          <c:showPercent val="0"/>
          <c:showBubbleSize val="0"/>
        </c:dLbls>
        <c:gapWidth val="150"/>
        <c:overlap val="100"/>
        <c:axId val="699752920"/>
        <c:axId val="699761776"/>
      </c:barChart>
      <c:catAx>
        <c:axId val="699752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99761776"/>
        <c:crosses val="autoZero"/>
        <c:auto val="1"/>
        <c:lblAlgn val="ctr"/>
        <c:lblOffset val="100"/>
        <c:noMultiLvlLbl val="0"/>
      </c:catAx>
      <c:valAx>
        <c:axId val="699761776"/>
        <c:scaling>
          <c:orientation val="minMax"/>
        </c:scaling>
        <c:delete val="0"/>
        <c:axPos val="l"/>
        <c:majorGridlines>
          <c:spPr>
            <a:ln w="9525" cap="flat" cmpd="sng" algn="ctr">
              <a:solidFill>
                <a:schemeClr val="tx1">
                  <a:lumMod val="15000"/>
                  <a:lumOff val="85000"/>
                </a:schemeClr>
              </a:solidFill>
              <a:round/>
            </a:ln>
            <a:effectLst/>
          </c:spPr>
        </c:majorGridlines>
        <c:numFmt formatCode="_(* #,##0_);_(* \(#,##0\);_(* &quot;-&quot;_);_(@_)"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997529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3175" cap="flat" cmpd="sng" algn="ctr">
      <a:solidFill>
        <a:schemeClr val="tx1"/>
      </a:solidFill>
      <a:round/>
    </a:ln>
    <a:effectLst/>
  </c:spPr>
  <c:txPr>
    <a:bodyPr/>
    <a:lstStyle/>
    <a:p>
      <a:pPr>
        <a:defRPr/>
      </a:pPr>
      <a:endParaRPr lang="sv-SE"/>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Blad1!$A$3</c:f>
              <c:strCache>
                <c:ptCount val="1"/>
                <c:pt idx="0">
                  <c:v> Antal skuldsatta</c:v>
                </c:pt>
              </c:strCache>
            </c:strRef>
          </c:tx>
          <c:spPr>
            <a:solidFill>
              <a:schemeClr val="accent1"/>
            </a:solidFill>
            <a:ln>
              <a:noFill/>
            </a:ln>
            <a:effectLst/>
          </c:spPr>
          <c:invertIfNegative val="0"/>
          <c:cat>
            <c:numRef>
              <c:f>Blad1!$B$2:$M$2</c:f>
              <c:numCache>
                <c:formatCode>General</c:formatCode>
                <c:ptCount val="12"/>
                <c:pt idx="0">
                  <c:v>2013</c:v>
                </c:pt>
                <c:pt idx="1">
                  <c:v>2014</c:v>
                </c:pt>
                <c:pt idx="2">
                  <c:v>2015</c:v>
                </c:pt>
                <c:pt idx="3">
                  <c:v>2016</c:v>
                </c:pt>
                <c:pt idx="4">
                  <c:v>2017</c:v>
                </c:pt>
                <c:pt idx="5">
                  <c:v>2018</c:v>
                </c:pt>
                <c:pt idx="6">
                  <c:v>2019</c:v>
                </c:pt>
                <c:pt idx="7">
                  <c:v>2020</c:v>
                </c:pt>
                <c:pt idx="8">
                  <c:v>2021</c:v>
                </c:pt>
                <c:pt idx="9">
                  <c:v>2022</c:v>
                </c:pt>
                <c:pt idx="10">
                  <c:v>2023</c:v>
                </c:pt>
                <c:pt idx="11">
                  <c:v>2024</c:v>
                </c:pt>
              </c:numCache>
            </c:numRef>
          </c:cat>
          <c:val>
            <c:numRef>
              <c:f>Blad1!$B$3:$M$3</c:f>
              <c:numCache>
                <c:formatCode>_-* #\ ##0_-;\-* #\ ##0_-;_-* "-"??_-;_-@_-</c:formatCode>
                <c:ptCount val="12"/>
                <c:pt idx="0">
                  <c:v>434627</c:v>
                </c:pt>
                <c:pt idx="1">
                  <c:v>426046</c:v>
                </c:pt>
                <c:pt idx="2">
                  <c:v>427734</c:v>
                </c:pt>
                <c:pt idx="3">
                  <c:v>423184</c:v>
                </c:pt>
                <c:pt idx="4">
                  <c:v>417693</c:v>
                </c:pt>
                <c:pt idx="5">
                  <c:v>413912</c:v>
                </c:pt>
                <c:pt idx="6">
                  <c:v>397161</c:v>
                </c:pt>
                <c:pt idx="7">
                  <c:v>402205</c:v>
                </c:pt>
                <c:pt idx="8">
                  <c:v>391039</c:v>
                </c:pt>
                <c:pt idx="9">
                  <c:v>393781</c:v>
                </c:pt>
                <c:pt idx="10">
                  <c:v>417248</c:v>
                </c:pt>
                <c:pt idx="11">
                  <c:v>436996</c:v>
                </c:pt>
              </c:numCache>
            </c:numRef>
          </c:val>
          <c:extLst>
            <c:ext xmlns:c16="http://schemas.microsoft.com/office/drawing/2014/chart" uri="{C3380CC4-5D6E-409C-BE32-E72D297353CC}">
              <c16:uniqueId val="{00000000-45E4-4A36-844D-74D64894D723}"/>
            </c:ext>
          </c:extLst>
        </c:ser>
        <c:dLbls>
          <c:showLegendKey val="0"/>
          <c:showVal val="0"/>
          <c:showCatName val="0"/>
          <c:showSerName val="0"/>
          <c:showPercent val="0"/>
          <c:showBubbleSize val="0"/>
        </c:dLbls>
        <c:gapWidth val="219"/>
        <c:overlap val="-27"/>
        <c:axId val="796658320"/>
        <c:axId val="796658976"/>
      </c:barChart>
      <c:lineChart>
        <c:grouping val="standard"/>
        <c:varyColors val="0"/>
        <c:ser>
          <c:idx val="1"/>
          <c:order val="1"/>
          <c:tx>
            <c:strRef>
              <c:f>Blad1!$A$4</c:f>
              <c:strCache>
                <c:ptCount val="1"/>
                <c:pt idx="0">
                  <c:v>Skuldbelopp (mdkr)</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Blad1!$B$2:$M$2</c:f>
              <c:numCache>
                <c:formatCode>General</c:formatCode>
                <c:ptCount val="12"/>
                <c:pt idx="0">
                  <c:v>2013</c:v>
                </c:pt>
                <c:pt idx="1">
                  <c:v>2014</c:v>
                </c:pt>
                <c:pt idx="2">
                  <c:v>2015</c:v>
                </c:pt>
                <c:pt idx="3">
                  <c:v>2016</c:v>
                </c:pt>
                <c:pt idx="4">
                  <c:v>2017</c:v>
                </c:pt>
                <c:pt idx="5">
                  <c:v>2018</c:v>
                </c:pt>
                <c:pt idx="6">
                  <c:v>2019</c:v>
                </c:pt>
                <c:pt idx="7">
                  <c:v>2020</c:v>
                </c:pt>
                <c:pt idx="8">
                  <c:v>2021</c:v>
                </c:pt>
                <c:pt idx="9">
                  <c:v>2022</c:v>
                </c:pt>
                <c:pt idx="10">
                  <c:v>2023</c:v>
                </c:pt>
                <c:pt idx="11">
                  <c:v>2024</c:v>
                </c:pt>
              </c:numCache>
            </c:numRef>
          </c:cat>
          <c:val>
            <c:numRef>
              <c:f>Blad1!$B$4:$M$4</c:f>
              <c:numCache>
                <c:formatCode>_-* #\ ##0.0_-;\-* #\ ##0.0_-;_-* "-"??_-;_-@_-</c:formatCode>
                <c:ptCount val="12"/>
                <c:pt idx="0">
                  <c:v>70.313746774999998</c:v>
                </c:pt>
                <c:pt idx="1">
                  <c:v>70.752953043000005</c:v>
                </c:pt>
                <c:pt idx="2">
                  <c:v>72.398720871999998</c:v>
                </c:pt>
                <c:pt idx="3">
                  <c:v>72.390357631000001</c:v>
                </c:pt>
                <c:pt idx="4">
                  <c:v>78.732399189999995</c:v>
                </c:pt>
                <c:pt idx="5">
                  <c:v>81.513709489999997</c:v>
                </c:pt>
                <c:pt idx="6">
                  <c:v>82.664627113999998</c:v>
                </c:pt>
                <c:pt idx="7">
                  <c:v>87.300513494</c:v>
                </c:pt>
                <c:pt idx="8">
                  <c:v>94.430204657999994</c:v>
                </c:pt>
                <c:pt idx="9">
                  <c:v>101.450434664</c:v>
                </c:pt>
                <c:pt idx="10">
                  <c:v>119.099130007</c:v>
                </c:pt>
                <c:pt idx="11">
                  <c:v>138</c:v>
                </c:pt>
              </c:numCache>
            </c:numRef>
          </c:val>
          <c:smooth val="0"/>
          <c:extLst>
            <c:ext xmlns:c16="http://schemas.microsoft.com/office/drawing/2014/chart" uri="{C3380CC4-5D6E-409C-BE32-E72D297353CC}">
              <c16:uniqueId val="{00000001-45E4-4A36-844D-74D64894D723}"/>
            </c:ext>
          </c:extLst>
        </c:ser>
        <c:dLbls>
          <c:showLegendKey val="0"/>
          <c:showVal val="0"/>
          <c:showCatName val="0"/>
          <c:showSerName val="0"/>
          <c:showPercent val="0"/>
          <c:showBubbleSize val="0"/>
        </c:dLbls>
        <c:marker val="1"/>
        <c:smooth val="0"/>
        <c:axId val="583398824"/>
        <c:axId val="583398496"/>
      </c:lineChart>
      <c:catAx>
        <c:axId val="796658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796658976"/>
        <c:crosses val="autoZero"/>
        <c:auto val="1"/>
        <c:lblAlgn val="ctr"/>
        <c:lblOffset val="100"/>
        <c:noMultiLvlLbl val="0"/>
      </c:catAx>
      <c:valAx>
        <c:axId val="7966589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sv-SE" sz="900"/>
                  <a:t>Antal skuldsatta</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title>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796658320"/>
        <c:crosses val="autoZero"/>
        <c:crossBetween val="between"/>
      </c:valAx>
      <c:valAx>
        <c:axId val="583398496"/>
        <c:scaling>
          <c:orientation val="minMax"/>
          <c:max val="140"/>
        </c:scaling>
        <c:delete val="0"/>
        <c:axPos val="r"/>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sv-SE" sz="900"/>
                  <a:t>Totala skuldbeloppet (mdkr)</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title>
        <c:numFmt formatCode="#,##0" sourceLinked="0"/>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583398824"/>
        <c:crosses val="max"/>
        <c:crossBetween val="between"/>
      </c:valAx>
      <c:catAx>
        <c:axId val="583398824"/>
        <c:scaling>
          <c:orientation val="minMax"/>
        </c:scaling>
        <c:delete val="1"/>
        <c:axPos val="b"/>
        <c:numFmt formatCode="General" sourceLinked="1"/>
        <c:majorTickMark val="out"/>
        <c:minorTickMark val="none"/>
        <c:tickLblPos val="nextTo"/>
        <c:crossAx val="583398496"/>
        <c:crosses val="autoZero"/>
        <c:auto val="1"/>
        <c:lblAlgn val="ctr"/>
        <c:lblOffset val="100"/>
        <c:noMultiLvlLbl val="0"/>
      </c:catAx>
      <c:spPr>
        <a:noFill/>
        <a:ln>
          <a:noFill/>
        </a:ln>
        <a:effectLst/>
      </c:spPr>
    </c:plotArea>
    <c:legend>
      <c:legendPos val="b"/>
      <c:overlay val="0"/>
      <c:spPr>
        <a:noFill/>
        <a:ln w="3175">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3175" cap="flat" cmpd="sng" algn="ctr">
      <a:solidFill>
        <a:schemeClr val="tx1"/>
      </a:solidFill>
      <a:round/>
    </a:ln>
    <a:effectLst/>
  </c:spPr>
  <c:txPr>
    <a:bodyPr/>
    <a:lstStyle/>
    <a:p>
      <a:pPr>
        <a:defRPr sz="2000"/>
      </a:pPr>
      <a:endParaRPr lang="sv-S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Sheet1!$MD$8</c:f>
              <c:strCache>
                <c:ptCount val="1"/>
                <c:pt idx="0">
                  <c:v>Hushållens syn på Sveriges ekonomi</c:v>
                </c:pt>
              </c:strCache>
            </c:strRef>
          </c:tx>
          <c:spPr>
            <a:ln w="28575" cap="rnd">
              <a:solidFill>
                <a:schemeClr val="accent1"/>
              </a:solidFill>
              <a:round/>
            </a:ln>
            <a:effectLst/>
          </c:spPr>
          <c:marker>
            <c:symbol val="none"/>
          </c:marker>
          <c:cat>
            <c:numRef>
              <c:f>Sheet1!$ME$7:$SF$7</c:f>
              <c:numCache>
                <c:formatCode>m/d/yyyy</c:formatCode>
                <c:ptCount val="158"/>
                <c:pt idx="0">
                  <c:v>40909</c:v>
                </c:pt>
                <c:pt idx="1">
                  <c:v>40940</c:v>
                </c:pt>
                <c:pt idx="2">
                  <c:v>40969</c:v>
                </c:pt>
                <c:pt idx="3">
                  <c:v>41000</c:v>
                </c:pt>
                <c:pt idx="4">
                  <c:v>41030</c:v>
                </c:pt>
                <c:pt idx="5">
                  <c:v>41061</c:v>
                </c:pt>
                <c:pt idx="6">
                  <c:v>41091</c:v>
                </c:pt>
                <c:pt idx="7">
                  <c:v>41122</c:v>
                </c:pt>
                <c:pt idx="8">
                  <c:v>41153</c:v>
                </c:pt>
                <c:pt idx="9">
                  <c:v>41183</c:v>
                </c:pt>
                <c:pt idx="10">
                  <c:v>41214</c:v>
                </c:pt>
                <c:pt idx="11">
                  <c:v>41244</c:v>
                </c:pt>
                <c:pt idx="12">
                  <c:v>41275</c:v>
                </c:pt>
                <c:pt idx="13">
                  <c:v>41306</c:v>
                </c:pt>
                <c:pt idx="14">
                  <c:v>41334</c:v>
                </c:pt>
                <c:pt idx="15">
                  <c:v>41365</c:v>
                </c:pt>
                <c:pt idx="16">
                  <c:v>41395</c:v>
                </c:pt>
                <c:pt idx="17">
                  <c:v>41426</c:v>
                </c:pt>
                <c:pt idx="18">
                  <c:v>41456</c:v>
                </c:pt>
                <c:pt idx="19">
                  <c:v>41487</c:v>
                </c:pt>
                <c:pt idx="20">
                  <c:v>41518</c:v>
                </c:pt>
                <c:pt idx="21">
                  <c:v>41548</c:v>
                </c:pt>
                <c:pt idx="22">
                  <c:v>41579</c:v>
                </c:pt>
                <c:pt idx="23">
                  <c:v>41609</c:v>
                </c:pt>
                <c:pt idx="24">
                  <c:v>41640</c:v>
                </c:pt>
                <c:pt idx="25">
                  <c:v>41671</c:v>
                </c:pt>
                <c:pt idx="26">
                  <c:v>41699</c:v>
                </c:pt>
                <c:pt idx="27">
                  <c:v>41730</c:v>
                </c:pt>
                <c:pt idx="28">
                  <c:v>41760</c:v>
                </c:pt>
                <c:pt idx="29">
                  <c:v>41791</c:v>
                </c:pt>
                <c:pt idx="30">
                  <c:v>41821</c:v>
                </c:pt>
                <c:pt idx="31">
                  <c:v>41852</c:v>
                </c:pt>
                <c:pt idx="32">
                  <c:v>41883</c:v>
                </c:pt>
                <c:pt idx="33">
                  <c:v>41913</c:v>
                </c:pt>
                <c:pt idx="34">
                  <c:v>41944</c:v>
                </c:pt>
                <c:pt idx="35">
                  <c:v>41974</c:v>
                </c:pt>
                <c:pt idx="36">
                  <c:v>42005</c:v>
                </c:pt>
                <c:pt idx="37">
                  <c:v>42036</c:v>
                </c:pt>
                <c:pt idx="38">
                  <c:v>42064</c:v>
                </c:pt>
                <c:pt idx="39">
                  <c:v>42095</c:v>
                </c:pt>
                <c:pt idx="40">
                  <c:v>42125</c:v>
                </c:pt>
                <c:pt idx="41">
                  <c:v>42156</c:v>
                </c:pt>
                <c:pt idx="42">
                  <c:v>42186</c:v>
                </c:pt>
                <c:pt idx="43">
                  <c:v>42217</c:v>
                </c:pt>
                <c:pt idx="44">
                  <c:v>42248</c:v>
                </c:pt>
                <c:pt idx="45">
                  <c:v>42278</c:v>
                </c:pt>
                <c:pt idx="46">
                  <c:v>42309</c:v>
                </c:pt>
                <c:pt idx="47">
                  <c:v>42339</c:v>
                </c:pt>
                <c:pt idx="48">
                  <c:v>42370</c:v>
                </c:pt>
                <c:pt idx="49">
                  <c:v>42401</c:v>
                </c:pt>
                <c:pt idx="50">
                  <c:v>42430</c:v>
                </c:pt>
                <c:pt idx="51">
                  <c:v>42461</c:v>
                </c:pt>
                <c:pt idx="52">
                  <c:v>42491</c:v>
                </c:pt>
                <c:pt idx="53">
                  <c:v>42522</c:v>
                </c:pt>
                <c:pt idx="54">
                  <c:v>42552</c:v>
                </c:pt>
                <c:pt idx="55">
                  <c:v>42583</c:v>
                </c:pt>
                <c:pt idx="56">
                  <c:v>42614</c:v>
                </c:pt>
                <c:pt idx="57">
                  <c:v>42644</c:v>
                </c:pt>
                <c:pt idx="58">
                  <c:v>42675</c:v>
                </c:pt>
                <c:pt idx="59">
                  <c:v>42705</c:v>
                </c:pt>
                <c:pt idx="60">
                  <c:v>42736</c:v>
                </c:pt>
                <c:pt idx="61">
                  <c:v>42767</c:v>
                </c:pt>
                <c:pt idx="62">
                  <c:v>42795</c:v>
                </c:pt>
                <c:pt idx="63">
                  <c:v>42826</c:v>
                </c:pt>
                <c:pt idx="64">
                  <c:v>42856</c:v>
                </c:pt>
                <c:pt idx="65">
                  <c:v>42887</c:v>
                </c:pt>
                <c:pt idx="66">
                  <c:v>42917</c:v>
                </c:pt>
                <c:pt idx="67">
                  <c:v>42948</c:v>
                </c:pt>
                <c:pt idx="68">
                  <c:v>42979</c:v>
                </c:pt>
                <c:pt idx="69">
                  <c:v>43009</c:v>
                </c:pt>
                <c:pt idx="70">
                  <c:v>43040</c:v>
                </c:pt>
                <c:pt idx="71">
                  <c:v>43070</c:v>
                </c:pt>
                <c:pt idx="72">
                  <c:v>43101</c:v>
                </c:pt>
                <c:pt idx="73">
                  <c:v>43132</c:v>
                </c:pt>
                <c:pt idx="74">
                  <c:v>43160</c:v>
                </c:pt>
                <c:pt idx="75">
                  <c:v>43191</c:v>
                </c:pt>
                <c:pt idx="76">
                  <c:v>43221</c:v>
                </c:pt>
                <c:pt idx="77">
                  <c:v>43252</c:v>
                </c:pt>
                <c:pt idx="78">
                  <c:v>43282</c:v>
                </c:pt>
                <c:pt idx="79">
                  <c:v>43313</c:v>
                </c:pt>
                <c:pt idx="80">
                  <c:v>43344</c:v>
                </c:pt>
                <c:pt idx="81">
                  <c:v>43374</c:v>
                </c:pt>
                <c:pt idx="82">
                  <c:v>43405</c:v>
                </c:pt>
                <c:pt idx="83">
                  <c:v>43435</c:v>
                </c:pt>
                <c:pt idx="84">
                  <c:v>43466</c:v>
                </c:pt>
                <c:pt idx="85">
                  <c:v>43497</c:v>
                </c:pt>
                <c:pt idx="86">
                  <c:v>43525</c:v>
                </c:pt>
                <c:pt idx="87">
                  <c:v>43556</c:v>
                </c:pt>
                <c:pt idx="88">
                  <c:v>43586</c:v>
                </c:pt>
                <c:pt idx="89">
                  <c:v>43617</c:v>
                </c:pt>
                <c:pt idx="90">
                  <c:v>43647</c:v>
                </c:pt>
                <c:pt idx="91">
                  <c:v>43678</c:v>
                </c:pt>
                <c:pt idx="92">
                  <c:v>43709</c:v>
                </c:pt>
                <c:pt idx="93">
                  <c:v>43739</c:v>
                </c:pt>
                <c:pt idx="94">
                  <c:v>43770</c:v>
                </c:pt>
                <c:pt idx="95">
                  <c:v>43800</c:v>
                </c:pt>
                <c:pt idx="96">
                  <c:v>43831</c:v>
                </c:pt>
                <c:pt idx="97">
                  <c:v>43862</c:v>
                </c:pt>
                <c:pt idx="98">
                  <c:v>43891</c:v>
                </c:pt>
                <c:pt idx="99">
                  <c:v>43922</c:v>
                </c:pt>
                <c:pt idx="100">
                  <c:v>43952</c:v>
                </c:pt>
                <c:pt idx="101">
                  <c:v>43983</c:v>
                </c:pt>
                <c:pt idx="102">
                  <c:v>44013</c:v>
                </c:pt>
                <c:pt idx="103">
                  <c:v>44044</c:v>
                </c:pt>
                <c:pt idx="104">
                  <c:v>44075</c:v>
                </c:pt>
                <c:pt idx="105">
                  <c:v>44105</c:v>
                </c:pt>
                <c:pt idx="106">
                  <c:v>44136</c:v>
                </c:pt>
                <c:pt idx="107">
                  <c:v>44166</c:v>
                </c:pt>
                <c:pt idx="108">
                  <c:v>44197</c:v>
                </c:pt>
                <c:pt idx="109">
                  <c:v>44228</c:v>
                </c:pt>
                <c:pt idx="110">
                  <c:v>44256</c:v>
                </c:pt>
                <c:pt idx="111">
                  <c:v>44287</c:v>
                </c:pt>
                <c:pt idx="112">
                  <c:v>44317</c:v>
                </c:pt>
                <c:pt idx="113">
                  <c:v>44348</c:v>
                </c:pt>
                <c:pt idx="114">
                  <c:v>44378</c:v>
                </c:pt>
                <c:pt idx="115">
                  <c:v>44409</c:v>
                </c:pt>
                <c:pt idx="116">
                  <c:v>44440</c:v>
                </c:pt>
                <c:pt idx="117">
                  <c:v>44470</c:v>
                </c:pt>
                <c:pt idx="118">
                  <c:v>44501</c:v>
                </c:pt>
                <c:pt idx="119">
                  <c:v>44531</c:v>
                </c:pt>
                <c:pt idx="120">
                  <c:v>44562</c:v>
                </c:pt>
                <c:pt idx="121">
                  <c:v>44593</c:v>
                </c:pt>
                <c:pt idx="122">
                  <c:v>44621</c:v>
                </c:pt>
                <c:pt idx="123">
                  <c:v>44652</c:v>
                </c:pt>
                <c:pt idx="124">
                  <c:v>44682</c:v>
                </c:pt>
                <c:pt idx="125">
                  <c:v>44713</c:v>
                </c:pt>
                <c:pt idx="126">
                  <c:v>44743</c:v>
                </c:pt>
                <c:pt idx="127">
                  <c:v>44774</c:v>
                </c:pt>
                <c:pt idx="128">
                  <c:v>44805</c:v>
                </c:pt>
                <c:pt idx="129">
                  <c:v>44835</c:v>
                </c:pt>
                <c:pt idx="130">
                  <c:v>44866</c:v>
                </c:pt>
                <c:pt idx="131">
                  <c:v>44896</c:v>
                </c:pt>
                <c:pt idx="132">
                  <c:v>44927</c:v>
                </c:pt>
                <c:pt idx="133">
                  <c:v>44958</c:v>
                </c:pt>
                <c:pt idx="134">
                  <c:v>44986</c:v>
                </c:pt>
                <c:pt idx="135">
                  <c:v>45017</c:v>
                </c:pt>
                <c:pt idx="136">
                  <c:v>45047</c:v>
                </c:pt>
                <c:pt idx="137">
                  <c:v>45078</c:v>
                </c:pt>
                <c:pt idx="138">
                  <c:v>45108</c:v>
                </c:pt>
                <c:pt idx="139">
                  <c:v>45139</c:v>
                </c:pt>
                <c:pt idx="140">
                  <c:v>45170</c:v>
                </c:pt>
                <c:pt idx="141">
                  <c:v>45200</c:v>
                </c:pt>
                <c:pt idx="142">
                  <c:v>45231</c:v>
                </c:pt>
                <c:pt idx="143">
                  <c:v>45261</c:v>
                </c:pt>
                <c:pt idx="144">
                  <c:v>45292</c:v>
                </c:pt>
                <c:pt idx="145">
                  <c:v>45323</c:v>
                </c:pt>
                <c:pt idx="146">
                  <c:v>45352</c:v>
                </c:pt>
                <c:pt idx="147">
                  <c:v>45383</c:v>
                </c:pt>
                <c:pt idx="148">
                  <c:v>45413</c:v>
                </c:pt>
                <c:pt idx="149">
                  <c:v>45444</c:v>
                </c:pt>
                <c:pt idx="150">
                  <c:v>45474</c:v>
                </c:pt>
                <c:pt idx="151">
                  <c:v>45505</c:v>
                </c:pt>
                <c:pt idx="152">
                  <c:v>45536</c:v>
                </c:pt>
                <c:pt idx="153">
                  <c:v>45566</c:v>
                </c:pt>
                <c:pt idx="154">
                  <c:v>45597</c:v>
                </c:pt>
                <c:pt idx="155">
                  <c:v>45627</c:v>
                </c:pt>
                <c:pt idx="156">
                  <c:v>45658</c:v>
                </c:pt>
                <c:pt idx="157">
                  <c:v>45689</c:v>
                </c:pt>
              </c:numCache>
            </c:numRef>
          </c:cat>
          <c:val>
            <c:numRef>
              <c:f>Sheet1!$ME$8:$SF$8</c:f>
              <c:numCache>
                <c:formatCode>General</c:formatCode>
                <c:ptCount val="158"/>
                <c:pt idx="0">
                  <c:v>93.8</c:v>
                </c:pt>
                <c:pt idx="1">
                  <c:v>92.6</c:v>
                </c:pt>
                <c:pt idx="2">
                  <c:v>95</c:v>
                </c:pt>
                <c:pt idx="3">
                  <c:v>97.7</c:v>
                </c:pt>
                <c:pt idx="4">
                  <c:v>99.2</c:v>
                </c:pt>
                <c:pt idx="5">
                  <c:v>95.4</c:v>
                </c:pt>
                <c:pt idx="6">
                  <c:v>96</c:v>
                </c:pt>
                <c:pt idx="7">
                  <c:v>96.1</c:v>
                </c:pt>
                <c:pt idx="8">
                  <c:v>95.3</c:v>
                </c:pt>
                <c:pt idx="9">
                  <c:v>93.2</c:v>
                </c:pt>
                <c:pt idx="10">
                  <c:v>90.8</c:v>
                </c:pt>
                <c:pt idx="11">
                  <c:v>87.6</c:v>
                </c:pt>
                <c:pt idx="12">
                  <c:v>89.9</c:v>
                </c:pt>
                <c:pt idx="13">
                  <c:v>93.8</c:v>
                </c:pt>
                <c:pt idx="14">
                  <c:v>97.7</c:v>
                </c:pt>
                <c:pt idx="15">
                  <c:v>98.1</c:v>
                </c:pt>
                <c:pt idx="16">
                  <c:v>97</c:v>
                </c:pt>
                <c:pt idx="17">
                  <c:v>98</c:v>
                </c:pt>
                <c:pt idx="18">
                  <c:v>99.8</c:v>
                </c:pt>
                <c:pt idx="19">
                  <c:v>100.3</c:v>
                </c:pt>
                <c:pt idx="20">
                  <c:v>102</c:v>
                </c:pt>
                <c:pt idx="21">
                  <c:v>104</c:v>
                </c:pt>
                <c:pt idx="22">
                  <c:v>105.7</c:v>
                </c:pt>
                <c:pt idx="23">
                  <c:v>105.5</c:v>
                </c:pt>
                <c:pt idx="24">
                  <c:v>107.2</c:v>
                </c:pt>
                <c:pt idx="25">
                  <c:v>106.7</c:v>
                </c:pt>
                <c:pt idx="26">
                  <c:v>104.2</c:v>
                </c:pt>
                <c:pt idx="27">
                  <c:v>104.1</c:v>
                </c:pt>
                <c:pt idx="28">
                  <c:v>105.1</c:v>
                </c:pt>
                <c:pt idx="29">
                  <c:v>105.2</c:v>
                </c:pt>
                <c:pt idx="30">
                  <c:v>106</c:v>
                </c:pt>
                <c:pt idx="31">
                  <c:v>106.1</c:v>
                </c:pt>
                <c:pt idx="32">
                  <c:v>105.9</c:v>
                </c:pt>
                <c:pt idx="33">
                  <c:v>104.4</c:v>
                </c:pt>
                <c:pt idx="34">
                  <c:v>101.6</c:v>
                </c:pt>
                <c:pt idx="35">
                  <c:v>102</c:v>
                </c:pt>
                <c:pt idx="36">
                  <c:v>101.1</c:v>
                </c:pt>
                <c:pt idx="37">
                  <c:v>99.9</c:v>
                </c:pt>
                <c:pt idx="38">
                  <c:v>98.1</c:v>
                </c:pt>
                <c:pt idx="39">
                  <c:v>95.5</c:v>
                </c:pt>
                <c:pt idx="40">
                  <c:v>95.4</c:v>
                </c:pt>
                <c:pt idx="41">
                  <c:v>96.4</c:v>
                </c:pt>
                <c:pt idx="42">
                  <c:v>95.7</c:v>
                </c:pt>
                <c:pt idx="43">
                  <c:v>95.7</c:v>
                </c:pt>
                <c:pt idx="44">
                  <c:v>92.8</c:v>
                </c:pt>
                <c:pt idx="45">
                  <c:v>92.4</c:v>
                </c:pt>
                <c:pt idx="46">
                  <c:v>88.2</c:v>
                </c:pt>
                <c:pt idx="47">
                  <c:v>92.2</c:v>
                </c:pt>
                <c:pt idx="48">
                  <c:v>94.3</c:v>
                </c:pt>
                <c:pt idx="49">
                  <c:v>92.5</c:v>
                </c:pt>
                <c:pt idx="50">
                  <c:v>94.9</c:v>
                </c:pt>
                <c:pt idx="51">
                  <c:v>95.2</c:v>
                </c:pt>
                <c:pt idx="52">
                  <c:v>94.1</c:v>
                </c:pt>
                <c:pt idx="53">
                  <c:v>95.9</c:v>
                </c:pt>
                <c:pt idx="54">
                  <c:v>94.3</c:v>
                </c:pt>
                <c:pt idx="55">
                  <c:v>95.6</c:v>
                </c:pt>
                <c:pt idx="56">
                  <c:v>98.3</c:v>
                </c:pt>
                <c:pt idx="57">
                  <c:v>99.2</c:v>
                </c:pt>
                <c:pt idx="58">
                  <c:v>99.5</c:v>
                </c:pt>
                <c:pt idx="59">
                  <c:v>101.8</c:v>
                </c:pt>
                <c:pt idx="60">
                  <c:v>101.5</c:v>
                </c:pt>
                <c:pt idx="61">
                  <c:v>101.3</c:v>
                </c:pt>
                <c:pt idx="62">
                  <c:v>102.5</c:v>
                </c:pt>
                <c:pt idx="63">
                  <c:v>102.8</c:v>
                </c:pt>
                <c:pt idx="64">
                  <c:v>105.4</c:v>
                </c:pt>
                <c:pt idx="65">
                  <c:v>102.7</c:v>
                </c:pt>
                <c:pt idx="66">
                  <c:v>102.9</c:v>
                </c:pt>
                <c:pt idx="67">
                  <c:v>103.2</c:v>
                </c:pt>
                <c:pt idx="68">
                  <c:v>103.8</c:v>
                </c:pt>
                <c:pt idx="69">
                  <c:v>105.7</c:v>
                </c:pt>
                <c:pt idx="70">
                  <c:v>107.3</c:v>
                </c:pt>
                <c:pt idx="71">
                  <c:v>106.9</c:v>
                </c:pt>
                <c:pt idx="72">
                  <c:v>105.2</c:v>
                </c:pt>
                <c:pt idx="73">
                  <c:v>104.4</c:v>
                </c:pt>
                <c:pt idx="74">
                  <c:v>103.7</c:v>
                </c:pt>
                <c:pt idx="75">
                  <c:v>103.9</c:v>
                </c:pt>
                <c:pt idx="76">
                  <c:v>103.3</c:v>
                </c:pt>
                <c:pt idx="77">
                  <c:v>101.9</c:v>
                </c:pt>
                <c:pt idx="78">
                  <c:v>102.6</c:v>
                </c:pt>
                <c:pt idx="79">
                  <c:v>102.1</c:v>
                </c:pt>
                <c:pt idx="80">
                  <c:v>103.7</c:v>
                </c:pt>
                <c:pt idx="81">
                  <c:v>100.5</c:v>
                </c:pt>
                <c:pt idx="82">
                  <c:v>100.7</c:v>
                </c:pt>
                <c:pt idx="83">
                  <c:v>95.8</c:v>
                </c:pt>
                <c:pt idx="84">
                  <c:v>94</c:v>
                </c:pt>
                <c:pt idx="85">
                  <c:v>95.3</c:v>
                </c:pt>
                <c:pt idx="86">
                  <c:v>97.1</c:v>
                </c:pt>
                <c:pt idx="87">
                  <c:v>96.4</c:v>
                </c:pt>
                <c:pt idx="88">
                  <c:v>95.3</c:v>
                </c:pt>
                <c:pt idx="89">
                  <c:v>93.5</c:v>
                </c:pt>
                <c:pt idx="90">
                  <c:v>96.9</c:v>
                </c:pt>
                <c:pt idx="91">
                  <c:v>92.6</c:v>
                </c:pt>
                <c:pt idx="92">
                  <c:v>89.1</c:v>
                </c:pt>
                <c:pt idx="93">
                  <c:v>89</c:v>
                </c:pt>
                <c:pt idx="94">
                  <c:v>89.4</c:v>
                </c:pt>
                <c:pt idx="95">
                  <c:v>90</c:v>
                </c:pt>
                <c:pt idx="96">
                  <c:v>91.4</c:v>
                </c:pt>
                <c:pt idx="97">
                  <c:v>92.5</c:v>
                </c:pt>
                <c:pt idx="98">
                  <c:v>88.5</c:v>
                </c:pt>
                <c:pt idx="99">
                  <c:v>80</c:v>
                </c:pt>
                <c:pt idx="100">
                  <c:v>77.599999999999994</c:v>
                </c:pt>
                <c:pt idx="101">
                  <c:v>84.2</c:v>
                </c:pt>
                <c:pt idx="102">
                  <c:v>85.2</c:v>
                </c:pt>
                <c:pt idx="103">
                  <c:v>87.6</c:v>
                </c:pt>
                <c:pt idx="104">
                  <c:v>91</c:v>
                </c:pt>
                <c:pt idx="105">
                  <c:v>92.8</c:v>
                </c:pt>
                <c:pt idx="106">
                  <c:v>89.9</c:v>
                </c:pt>
                <c:pt idx="107">
                  <c:v>93.5</c:v>
                </c:pt>
                <c:pt idx="108">
                  <c:v>96.7</c:v>
                </c:pt>
                <c:pt idx="109">
                  <c:v>99.2</c:v>
                </c:pt>
                <c:pt idx="110">
                  <c:v>101.2</c:v>
                </c:pt>
                <c:pt idx="111">
                  <c:v>105.6</c:v>
                </c:pt>
                <c:pt idx="112">
                  <c:v>109</c:v>
                </c:pt>
                <c:pt idx="113">
                  <c:v>111.9</c:v>
                </c:pt>
                <c:pt idx="114">
                  <c:v>112</c:v>
                </c:pt>
                <c:pt idx="115">
                  <c:v>112.4</c:v>
                </c:pt>
                <c:pt idx="116">
                  <c:v>113.3</c:v>
                </c:pt>
                <c:pt idx="117">
                  <c:v>113</c:v>
                </c:pt>
                <c:pt idx="118">
                  <c:v>110.9</c:v>
                </c:pt>
                <c:pt idx="119">
                  <c:v>107.9</c:v>
                </c:pt>
                <c:pt idx="120">
                  <c:v>102.3</c:v>
                </c:pt>
                <c:pt idx="121">
                  <c:v>104.5</c:v>
                </c:pt>
                <c:pt idx="122">
                  <c:v>91.8</c:v>
                </c:pt>
                <c:pt idx="123">
                  <c:v>90.9</c:v>
                </c:pt>
                <c:pt idx="124">
                  <c:v>86.7</c:v>
                </c:pt>
                <c:pt idx="125">
                  <c:v>83.8</c:v>
                </c:pt>
                <c:pt idx="126">
                  <c:v>80.5</c:v>
                </c:pt>
                <c:pt idx="127">
                  <c:v>83.2</c:v>
                </c:pt>
                <c:pt idx="128">
                  <c:v>78.3</c:v>
                </c:pt>
                <c:pt idx="129">
                  <c:v>78.400000000000006</c:v>
                </c:pt>
                <c:pt idx="130">
                  <c:v>79.2</c:v>
                </c:pt>
                <c:pt idx="131">
                  <c:v>79.8</c:v>
                </c:pt>
                <c:pt idx="132">
                  <c:v>78.099999999999994</c:v>
                </c:pt>
                <c:pt idx="133">
                  <c:v>81.5</c:v>
                </c:pt>
                <c:pt idx="134">
                  <c:v>82.1</c:v>
                </c:pt>
                <c:pt idx="135">
                  <c:v>82.5</c:v>
                </c:pt>
                <c:pt idx="136">
                  <c:v>85.2</c:v>
                </c:pt>
                <c:pt idx="137">
                  <c:v>85.2</c:v>
                </c:pt>
                <c:pt idx="138">
                  <c:v>86</c:v>
                </c:pt>
                <c:pt idx="139">
                  <c:v>84.4</c:v>
                </c:pt>
                <c:pt idx="140">
                  <c:v>83.8</c:v>
                </c:pt>
                <c:pt idx="141">
                  <c:v>84.7</c:v>
                </c:pt>
                <c:pt idx="142">
                  <c:v>85.6</c:v>
                </c:pt>
                <c:pt idx="143">
                  <c:v>88.8</c:v>
                </c:pt>
                <c:pt idx="144">
                  <c:v>92.3</c:v>
                </c:pt>
                <c:pt idx="145">
                  <c:v>93.1</c:v>
                </c:pt>
                <c:pt idx="146">
                  <c:v>96.6</c:v>
                </c:pt>
                <c:pt idx="147">
                  <c:v>98.2</c:v>
                </c:pt>
                <c:pt idx="148">
                  <c:v>98.6</c:v>
                </c:pt>
                <c:pt idx="149">
                  <c:v>100.8</c:v>
                </c:pt>
                <c:pt idx="150">
                  <c:v>103</c:v>
                </c:pt>
                <c:pt idx="151">
                  <c:v>102.3</c:v>
                </c:pt>
                <c:pt idx="152">
                  <c:v>104.7</c:v>
                </c:pt>
                <c:pt idx="153">
                  <c:v>106.9</c:v>
                </c:pt>
                <c:pt idx="154">
                  <c:v>106.9</c:v>
                </c:pt>
                <c:pt idx="155">
                  <c:v>103.8</c:v>
                </c:pt>
                <c:pt idx="156">
                  <c:v>103.3</c:v>
                </c:pt>
                <c:pt idx="157">
                  <c:v>98.7</c:v>
                </c:pt>
              </c:numCache>
            </c:numRef>
          </c:val>
          <c:smooth val="0"/>
          <c:extLst>
            <c:ext xmlns:c16="http://schemas.microsoft.com/office/drawing/2014/chart" uri="{C3380CC4-5D6E-409C-BE32-E72D297353CC}">
              <c16:uniqueId val="{00000000-C275-419D-8D64-1AD50C64DD54}"/>
            </c:ext>
          </c:extLst>
        </c:ser>
        <c:ser>
          <c:idx val="1"/>
          <c:order val="1"/>
          <c:tx>
            <c:strRef>
              <c:f>Sheet1!$MD$9</c:f>
              <c:strCache>
                <c:ptCount val="1"/>
                <c:pt idx="0">
                  <c:v>Hushållens syn på den egna ekonomin</c:v>
                </c:pt>
              </c:strCache>
            </c:strRef>
          </c:tx>
          <c:spPr>
            <a:ln w="28575" cap="rnd">
              <a:solidFill>
                <a:schemeClr val="accent2"/>
              </a:solidFill>
              <a:round/>
            </a:ln>
            <a:effectLst/>
          </c:spPr>
          <c:marker>
            <c:symbol val="none"/>
          </c:marker>
          <c:cat>
            <c:numRef>
              <c:f>Sheet1!$ME$7:$SF$7</c:f>
              <c:numCache>
                <c:formatCode>m/d/yyyy</c:formatCode>
                <c:ptCount val="158"/>
                <c:pt idx="0">
                  <c:v>40909</c:v>
                </c:pt>
                <c:pt idx="1">
                  <c:v>40940</c:v>
                </c:pt>
                <c:pt idx="2">
                  <c:v>40969</c:v>
                </c:pt>
                <c:pt idx="3">
                  <c:v>41000</c:v>
                </c:pt>
                <c:pt idx="4">
                  <c:v>41030</c:v>
                </c:pt>
                <c:pt idx="5">
                  <c:v>41061</c:v>
                </c:pt>
                <c:pt idx="6">
                  <c:v>41091</c:v>
                </c:pt>
                <c:pt idx="7">
                  <c:v>41122</c:v>
                </c:pt>
                <c:pt idx="8">
                  <c:v>41153</c:v>
                </c:pt>
                <c:pt idx="9">
                  <c:v>41183</c:v>
                </c:pt>
                <c:pt idx="10">
                  <c:v>41214</c:v>
                </c:pt>
                <c:pt idx="11">
                  <c:v>41244</c:v>
                </c:pt>
                <c:pt idx="12">
                  <c:v>41275</c:v>
                </c:pt>
                <c:pt idx="13">
                  <c:v>41306</c:v>
                </c:pt>
                <c:pt idx="14">
                  <c:v>41334</c:v>
                </c:pt>
                <c:pt idx="15">
                  <c:v>41365</c:v>
                </c:pt>
                <c:pt idx="16">
                  <c:v>41395</c:v>
                </c:pt>
                <c:pt idx="17">
                  <c:v>41426</c:v>
                </c:pt>
                <c:pt idx="18">
                  <c:v>41456</c:v>
                </c:pt>
                <c:pt idx="19">
                  <c:v>41487</c:v>
                </c:pt>
                <c:pt idx="20">
                  <c:v>41518</c:v>
                </c:pt>
                <c:pt idx="21">
                  <c:v>41548</c:v>
                </c:pt>
                <c:pt idx="22">
                  <c:v>41579</c:v>
                </c:pt>
                <c:pt idx="23">
                  <c:v>41609</c:v>
                </c:pt>
                <c:pt idx="24">
                  <c:v>41640</c:v>
                </c:pt>
                <c:pt idx="25">
                  <c:v>41671</c:v>
                </c:pt>
                <c:pt idx="26">
                  <c:v>41699</c:v>
                </c:pt>
                <c:pt idx="27">
                  <c:v>41730</c:v>
                </c:pt>
                <c:pt idx="28">
                  <c:v>41760</c:v>
                </c:pt>
                <c:pt idx="29">
                  <c:v>41791</c:v>
                </c:pt>
                <c:pt idx="30">
                  <c:v>41821</c:v>
                </c:pt>
                <c:pt idx="31">
                  <c:v>41852</c:v>
                </c:pt>
                <c:pt idx="32">
                  <c:v>41883</c:v>
                </c:pt>
                <c:pt idx="33">
                  <c:v>41913</c:v>
                </c:pt>
                <c:pt idx="34">
                  <c:v>41944</c:v>
                </c:pt>
                <c:pt idx="35">
                  <c:v>41974</c:v>
                </c:pt>
                <c:pt idx="36">
                  <c:v>42005</c:v>
                </c:pt>
                <c:pt idx="37">
                  <c:v>42036</c:v>
                </c:pt>
                <c:pt idx="38">
                  <c:v>42064</c:v>
                </c:pt>
                <c:pt idx="39">
                  <c:v>42095</c:v>
                </c:pt>
                <c:pt idx="40">
                  <c:v>42125</c:v>
                </c:pt>
                <c:pt idx="41">
                  <c:v>42156</c:v>
                </c:pt>
                <c:pt idx="42">
                  <c:v>42186</c:v>
                </c:pt>
                <c:pt idx="43">
                  <c:v>42217</c:v>
                </c:pt>
                <c:pt idx="44">
                  <c:v>42248</c:v>
                </c:pt>
                <c:pt idx="45">
                  <c:v>42278</c:v>
                </c:pt>
                <c:pt idx="46">
                  <c:v>42309</c:v>
                </c:pt>
                <c:pt idx="47">
                  <c:v>42339</c:v>
                </c:pt>
                <c:pt idx="48">
                  <c:v>42370</c:v>
                </c:pt>
                <c:pt idx="49">
                  <c:v>42401</c:v>
                </c:pt>
                <c:pt idx="50">
                  <c:v>42430</c:v>
                </c:pt>
                <c:pt idx="51">
                  <c:v>42461</c:v>
                </c:pt>
                <c:pt idx="52">
                  <c:v>42491</c:v>
                </c:pt>
                <c:pt idx="53">
                  <c:v>42522</c:v>
                </c:pt>
                <c:pt idx="54">
                  <c:v>42552</c:v>
                </c:pt>
                <c:pt idx="55">
                  <c:v>42583</c:v>
                </c:pt>
                <c:pt idx="56">
                  <c:v>42614</c:v>
                </c:pt>
                <c:pt idx="57">
                  <c:v>42644</c:v>
                </c:pt>
                <c:pt idx="58">
                  <c:v>42675</c:v>
                </c:pt>
                <c:pt idx="59">
                  <c:v>42705</c:v>
                </c:pt>
                <c:pt idx="60">
                  <c:v>42736</c:v>
                </c:pt>
                <c:pt idx="61">
                  <c:v>42767</c:v>
                </c:pt>
                <c:pt idx="62">
                  <c:v>42795</c:v>
                </c:pt>
                <c:pt idx="63">
                  <c:v>42826</c:v>
                </c:pt>
                <c:pt idx="64">
                  <c:v>42856</c:v>
                </c:pt>
                <c:pt idx="65">
                  <c:v>42887</c:v>
                </c:pt>
                <c:pt idx="66">
                  <c:v>42917</c:v>
                </c:pt>
                <c:pt idx="67">
                  <c:v>42948</c:v>
                </c:pt>
                <c:pt idx="68">
                  <c:v>42979</c:v>
                </c:pt>
                <c:pt idx="69">
                  <c:v>43009</c:v>
                </c:pt>
                <c:pt idx="70">
                  <c:v>43040</c:v>
                </c:pt>
                <c:pt idx="71">
                  <c:v>43070</c:v>
                </c:pt>
                <c:pt idx="72">
                  <c:v>43101</c:v>
                </c:pt>
                <c:pt idx="73">
                  <c:v>43132</c:v>
                </c:pt>
                <c:pt idx="74">
                  <c:v>43160</c:v>
                </c:pt>
                <c:pt idx="75">
                  <c:v>43191</c:v>
                </c:pt>
                <c:pt idx="76">
                  <c:v>43221</c:v>
                </c:pt>
                <c:pt idx="77">
                  <c:v>43252</c:v>
                </c:pt>
                <c:pt idx="78">
                  <c:v>43282</c:v>
                </c:pt>
                <c:pt idx="79">
                  <c:v>43313</c:v>
                </c:pt>
                <c:pt idx="80">
                  <c:v>43344</c:v>
                </c:pt>
                <c:pt idx="81">
                  <c:v>43374</c:v>
                </c:pt>
                <c:pt idx="82">
                  <c:v>43405</c:v>
                </c:pt>
                <c:pt idx="83">
                  <c:v>43435</c:v>
                </c:pt>
                <c:pt idx="84">
                  <c:v>43466</c:v>
                </c:pt>
                <c:pt idx="85">
                  <c:v>43497</c:v>
                </c:pt>
                <c:pt idx="86">
                  <c:v>43525</c:v>
                </c:pt>
                <c:pt idx="87">
                  <c:v>43556</c:v>
                </c:pt>
                <c:pt idx="88">
                  <c:v>43586</c:v>
                </c:pt>
                <c:pt idx="89">
                  <c:v>43617</c:v>
                </c:pt>
                <c:pt idx="90">
                  <c:v>43647</c:v>
                </c:pt>
                <c:pt idx="91">
                  <c:v>43678</c:v>
                </c:pt>
                <c:pt idx="92">
                  <c:v>43709</c:v>
                </c:pt>
                <c:pt idx="93">
                  <c:v>43739</c:v>
                </c:pt>
                <c:pt idx="94">
                  <c:v>43770</c:v>
                </c:pt>
                <c:pt idx="95">
                  <c:v>43800</c:v>
                </c:pt>
                <c:pt idx="96">
                  <c:v>43831</c:v>
                </c:pt>
                <c:pt idx="97">
                  <c:v>43862</c:v>
                </c:pt>
                <c:pt idx="98">
                  <c:v>43891</c:v>
                </c:pt>
                <c:pt idx="99">
                  <c:v>43922</c:v>
                </c:pt>
                <c:pt idx="100">
                  <c:v>43952</c:v>
                </c:pt>
                <c:pt idx="101">
                  <c:v>43983</c:v>
                </c:pt>
                <c:pt idx="102">
                  <c:v>44013</c:v>
                </c:pt>
                <c:pt idx="103">
                  <c:v>44044</c:v>
                </c:pt>
                <c:pt idx="104">
                  <c:v>44075</c:v>
                </c:pt>
                <c:pt idx="105">
                  <c:v>44105</c:v>
                </c:pt>
                <c:pt idx="106">
                  <c:v>44136</c:v>
                </c:pt>
                <c:pt idx="107">
                  <c:v>44166</c:v>
                </c:pt>
                <c:pt idx="108">
                  <c:v>44197</c:v>
                </c:pt>
                <c:pt idx="109">
                  <c:v>44228</c:v>
                </c:pt>
                <c:pt idx="110">
                  <c:v>44256</c:v>
                </c:pt>
                <c:pt idx="111">
                  <c:v>44287</c:v>
                </c:pt>
                <c:pt idx="112">
                  <c:v>44317</c:v>
                </c:pt>
                <c:pt idx="113">
                  <c:v>44348</c:v>
                </c:pt>
                <c:pt idx="114">
                  <c:v>44378</c:v>
                </c:pt>
                <c:pt idx="115">
                  <c:v>44409</c:v>
                </c:pt>
                <c:pt idx="116">
                  <c:v>44440</c:v>
                </c:pt>
                <c:pt idx="117">
                  <c:v>44470</c:v>
                </c:pt>
                <c:pt idx="118">
                  <c:v>44501</c:v>
                </c:pt>
                <c:pt idx="119">
                  <c:v>44531</c:v>
                </c:pt>
                <c:pt idx="120">
                  <c:v>44562</c:v>
                </c:pt>
                <c:pt idx="121">
                  <c:v>44593</c:v>
                </c:pt>
                <c:pt idx="122">
                  <c:v>44621</c:v>
                </c:pt>
                <c:pt idx="123">
                  <c:v>44652</c:v>
                </c:pt>
                <c:pt idx="124">
                  <c:v>44682</c:v>
                </c:pt>
                <c:pt idx="125">
                  <c:v>44713</c:v>
                </c:pt>
                <c:pt idx="126">
                  <c:v>44743</c:v>
                </c:pt>
                <c:pt idx="127">
                  <c:v>44774</c:v>
                </c:pt>
                <c:pt idx="128">
                  <c:v>44805</c:v>
                </c:pt>
                <c:pt idx="129">
                  <c:v>44835</c:v>
                </c:pt>
                <c:pt idx="130">
                  <c:v>44866</c:v>
                </c:pt>
                <c:pt idx="131">
                  <c:v>44896</c:v>
                </c:pt>
                <c:pt idx="132">
                  <c:v>44927</c:v>
                </c:pt>
                <c:pt idx="133">
                  <c:v>44958</c:v>
                </c:pt>
                <c:pt idx="134">
                  <c:v>44986</c:v>
                </c:pt>
                <c:pt idx="135">
                  <c:v>45017</c:v>
                </c:pt>
                <c:pt idx="136">
                  <c:v>45047</c:v>
                </c:pt>
                <c:pt idx="137">
                  <c:v>45078</c:v>
                </c:pt>
                <c:pt idx="138">
                  <c:v>45108</c:v>
                </c:pt>
                <c:pt idx="139">
                  <c:v>45139</c:v>
                </c:pt>
                <c:pt idx="140">
                  <c:v>45170</c:v>
                </c:pt>
                <c:pt idx="141">
                  <c:v>45200</c:v>
                </c:pt>
                <c:pt idx="142">
                  <c:v>45231</c:v>
                </c:pt>
                <c:pt idx="143">
                  <c:v>45261</c:v>
                </c:pt>
                <c:pt idx="144">
                  <c:v>45292</c:v>
                </c:pt>
                <c:pt idx="145">
                  <c:v>45323</c:v>
                </c:pt>
                <c:pt idx="146">
                  <c:v>45352</c:v>
                </c:pt>
                <c:pt idx="147">
                  <c:v>45383</c:v>
                </c:pt>
                <c:pt idx="148">
                  <c:v>45413</c:v>
                </c:pt>
                <c:pt idx="149">
                  <c:v>45444</c:v>
                </c:pt>
                <c:pt idx="150">
                  <c:v>45474</c:v>
                </c:pt>
                <c:pt idx="151">
                  <c:v>45505</c:v>
                </c:pt>
                <c:pt idx="152">
                  <c:v>45536</c:v>
                </c:pt>
                <c:pt idx="153">
                  <c:v>45566</c:v>
                </c:pt>
                <c:pt idx="154">
                  <c:v>45597</c:v>
                </c:pt>
                <c:pt idx="155">
                  <c:v>45627</c:v>
                </c:pt>
                <c:pt idx="156">
                  <c:v>45658</c:v>
                </c:pt>
                <c:pt idx="157">
                  <c:v>45689</c:v>
                </c:pt>
              </c:numCache>
            </c:numRef>
          </c:cat>
          <c:val>
            <c:numRef>
              <c:f>Sheet1!$ME$9:$SF$9</c:f>
              <c:numCache>
                <c:formatCode>General</c:formatCode>
                <c:ptCount val="158"/>
                <c:pt idx="0">
                  <c:v>98.1</c:v>
                </c:pt>
                <c:pt idx="1">
                  <c:v>99.2</c:v>
                </c:pt>
                <c:pt idx="2">
                  <c:v>100.3</c:v>
                </c:pt>
                <c:pt idx="3">
                  <c:v>100.9</c:v>
                </c:pt>
                <c:pt idx="4">
                  <c:v>99.2</c:v>
                </c:pt>
                <c:pt idx="5">
                  <c:v>100.5</c:v>
                </c:pt>
                <c:pt idx="6">
                  <c:v>101.1</c:v>
                </c:pt>
                <c:pt idx="7">
                  <c:v>102.3</c:v>
                </c:pt>
                <c:pt idx="8">
                  <c:v>100.7</c:v>
                </c:pt>
                <c:pt idx="9">
                  <c:v>100.3</c:v>
                </c:pt>
                <c:pt idx="10">
                  <c:v>101.3</c:v>
                </c:pt>
                <c:pt idx="11">
                  <c:v>97.1</c:v>
                </c:pt>
                <c:pt idx="12">
                  <c:v>102.4</c:v>
                </c:pt>
                <c:pt idx="13">
                  <c:v>100.9</c:v>
                </c:pt>
                <c:pt idx="14">
                  <c:v>100.1</c:v>
                </c:pt>
                <c:pt idx="15">
                  <c:v>101.1</c:v>
                </c:pt>
                <c:pt idx="16">
                  <c:v>100.3</c:v>
                </c:pt>
                <c:pt idx="17">
                  <c:v>99.9</c:v>
                </c:pt>
                <c:pt idx="18">
                  <c:v>102.7</c:v>
                </c:pt>
                <c:pt idx="19">
                  <c:v>103.5</c:v>
                </c:pt>
                <c:pt idx="20">
                  <c:v>100</c:v>
                </c:pt>
                <c:pt idx="21">
                  <c:v>102.6</c:v>
                </c:pt>
                <c:pt idx="22">
                  <c:v>104.9</c:v>
                </c:pt>
                <c:pt idx="23">
                  <c:v>104.4</c:v>
                </c:pt>
                <c:pt idx="24">
                  <c:v>102</c:v>
                </c:pt>
                <c:pt idx="25">
                  <c:v>100.8</c:v>
                </c:pt>
                <c:pt idx="26">
                  <c:v>101.8</c:v>
                </c:pt>
                <c:pt idx="27">
                  <c:v>100.8</c:v>
                </c:pt>
                <c:pt idx="28">
                  <c:v>102.7</c:v>
                </c:pt>
                <c:pt idx="29">
                  <c:v>105.1</c:v>
                </c:pt>
                <c:pt idx="30">
                  <c:v>103.4</c:v>
                </c:pt>
                <c:pt idx="31">
                  <c:v>98.4</c:v>
                </c:pt>
                <c:pt idx="32">
                  <c:v>104.1</c:v>
                </c:pt>
                <c:pt idx="33">
                  <c:v>102.4</c:v>
                </c:pt>
                <c:pt idx="34">
                  <c:v>101.3</c:v>
                </c:pt>
                <c:pt idx="35">
                  <c:v>102.8</c:v>
                </c:pt>
                <c:pt idx="36">
                  <c:v>102.7</c:v>
                </c:pt>
                <c:pt idx="37">
                  <c:v>101.6</c:v>
                </c:pt>
                <c:pt idx="38">
                  <c:v>103.7</c:v>
                </c:pt>
                <c:pt idx="39">
                  <c:v>104.2</c:v>
                </c:pt>
                <c:pt idx="40">
                  <c:v>106.3</c:v>
                </c:pt>
                <c:pt idx="41">
                  <c:v>104.8</c:v>
                </c:pt>
                <c:pt idx="42">
                  <c:v>105</c:v>
                </c:pt>
                <c:pt idx="43">
                  <c:v>106.5</c:v>
                </c:pt>
                <c:pt idx="44">
                  <c:v>104.8</c:v>
                </c:pt>
                <c:pt idx="45">
                  <c:v>102.9</c:v>
                </c:pt>
                <c:pt idx="46">
                  <c:v>102.9</c:v>
                </c:pt>
                <c:pt idx="47">
                  <c:v>105.7</c:v>
                </c:pt>
                <c:pt idx="48">
                  <c:v>103.3</c:v>
                </c:pt>
                <c:pt idx="49">
                  <c:v>105.2</c:v>
                </c:pt>
                <c:pt idx="50">
                  <c:v>105</c:v>
                </c:pt>
                <c:pt idx="51">
                  <c:v>103.6</c:v>
                </c:pt>
                <c:pt idx="52">
                  <c:v>103.7</c:v>
                </c:pt>
                <c:pt idx="53">
                  <c:v>104.3</c:v>
                </c:pt>
                <c:pt idx="54">
                  <c:v>103.2</c:v>
                </c:pt>
                <c:pt idx="55">
                  <c:v>102.2</c:v>
                </c:pt>
                <c:pt idx="56">
                  <c:v>105.7</c:v>
                </c:pt>
                <c:pt idx="57">
                  <c:v>107.4</c:v>
                </c:pt>
                <c:pt idx="58">
                  <c:v>107.3</c:v>
                </c:pt>
                <c:pt idx="59">
                  <c:v>103.9</c:v>
                </c:pt>
                <c:pt idx="60">
                  <c:v>105.4</c:v>
                </c:pt>
                <c:pt idx="61">
                  <c:v>106.1</c:v>
                </c:pt>
                <c:pt idx="62">
                  <c:v>105.3</c:v>
                </c:pt>
                <c:pt idx="63">
                  <c:v>105.7</c:v>
                </c:pt>
                <c:pt idx="64">
                  <c:v>106.3</c:v>
                </c:pt>
                <c:pt idx="65">
                  <c:v>105.7</c:v>
                </c:pt>
                <c:pt idx="66">
                  <c:v>103.8</c:v>
                </c:pt>
                <c:pt idx="67">
                  <c:v>103.3</c:v>
                </c:pt>
                <c:pt idx="68">
                  <c:v>103</c:v>
                </c:pt>
                <c:pt idx="69">
                  <c:v>103.5</c:v>
                </c:pt>
                <c:pt idx="70">
                  <c:v>105.4</c:v>
                </c:pt>
                <c:pt idx="71">
                  <c:v>104.1</c:v>
                </c:pt>
                <c:pt idx="72">
                  <c:v>107</c:v>
                </c:pt>
                <c:pt idx="73">
                  <c:v>103.8</c:v>
                </c:pt>
                <c:pt idx="74">
                  <c:v>102.9</c:v>
                </c:pt>
                <c:pt idx="75">
                  <c:v>102.2</c:v>
                </c:pt>
                <c:pt idx="76">
                  <c:v>102.8</c:v>
                </c:pt>
                <c:pt idx="77">
                  <c:v>100.5</c:v>
                </c:pt>
                <c:pt idx="78">
                  <c:v>100</c:v>
                </c:pt>
                <c:pt idx="79">
                  <c:v>104.2</c:v>
                </c:pt>
                <c:pt idx="80">
                  <c:v>104.4</c:v>
                </c:pt>
                <c:pt idx="81">
                  <c:v>102.1</c:v>
                </c:pt>
                <c:pt idx="82">
                  <c:v>100.9</c:v>
                </c:pt>
                <c:pt idx="83">
                  <c:v>101.3</c:v>
                </c:pt>
                <c:pt idx="84">
                  <c:v>100.9</c:v>
                </c:pt>
                <c:pt idx="85">
                  <c:v>100.6</c:v>
                </c:pt>
                <c:pt idx="86">
                  <c:v>101.9</c:v>
                </c:pt>
                <c:pt idx="87">
                  <c:v>104.8</c:v>
                </c:pt>
                <c:pt idx="88">
                  <c:v>100</c:v>
                </c:pt>
                <c:pt idx="89">
                  <c:v>101.4</c:v>
                </c:pt>
                <c:pt idx="90">
                  <c:v>103</c:v>
                </c:pt>
                <c:pt idx="91">
                  <c:v>101.8</c:v>
                </c:pt>
                <c:pt idx="92">
                  <c:v>100.6</c:v>
                </c:pt>
                <c:pt idx="93">
                  <c:v>103.1</c:v>
                </c:pt>
                <c:pt idx="94">
                  <c:v>101.6</c:v>
                </c:pt>
                <c:pt idx="95">
                  <c:v>102.1</c:v>
                </c:pt>
                <c:pt idx="96">
                  <c:v>100.4</c:v>
                </c:pt>
                <c:pt idx="97">
                  <c:v>101.6</c:v>
                </c:pt>
                <c:pt idx="98">
                  <c:v>98.2</c:v>
                </c:pt>
                <c:pt idx="99">
                  <c:v>88.8</c:v>
                </c:pt>
                <c:pt idx="100">
                  <c:v>92.9</c:v>
                </c:pt>
                <c:pt idx="101">
                  <c:v>95.4</c:v>
                </c:pt>
                <c:pt idx="102">
                  <c:v>97.2</c:v>
                </c:pt>
                <c:pt idx="103">
                  <c:v>96.3</c:v>
                </c:pt>
                <c:pt idx="104">
                  <c:v>98.8</c:v>
                </c:pt>
                <c:pt idx="105">
                  <c:v>98.7</c:v>
                </c:pt>
                <c:pt idx="106">
                  <c:v>98.9</c:v>
                </c:pt>
                <c:pt idx="107">
                  <c:v>101.1</c:v>
                </c:pt>
                <c:pt idx="108">
                  <c:v>102.1</c:v>
                </c:pt>
                <c:pt idx="109">
                  <c:v>104.1</c:v>
                </c:pt>
                <c:pt idx="110">
                  <c:v>104</c:v>
                </c:pt>
                <c:pt idx="111">
                  <c:v>104.6</c:v>
                </c:pt>
                <c:pt idx="112">
                  <c:v>108.3</c:v>
                </c:pt>
                <c:pt idx="113">
                  <c:v>105.4</c:v>
                </c:pt>
                <c:pt idx="114">
                  <c:v>105.7</c:v>
                </c:pt>
                <c:pt idx="115">
                  <c:v>105.6</c:v>
                </c:pt>
                <c:pt idx="116">
                  <c:v>104.8</c:v>
                </c:pt>
                <c:pt idx="117">
                  <c:v>105.1</c:v>
                </c:pt>
                <c:pt idx="118">
                  <c:v>101.8</c:v>
                </c:pt>
                <c:pt idx="119">
                  <c:v>101.8</c:v>
                </c:pt>
                <c:pt idx="120">
                  <c:v>96.3</c:v>
                </c:pt>
                <c:pt idx="121">
                  <c:v>96.2</c:v>
                </c:pt>
                <c:pt idx="122">
                  <c:v>88.2</c:v>
                </c:pt>
                <c:pt idx="123">
                  <c:v>87.8</c:v>
                </c:pt>
                <c:pt idx="124">
                  <c:v>82.4</c:v>
                </c:pt>
                <c:pt idx="125">
                  <c:v>79.599999999999994</c:v>
                </c:pt>
                <c:pt idx="126">
                  <c:v>71.2</c:v>
                </c:pt>
                <c:pt idx="127">
                  <c:v>70.599999999999994</c:v>
                </c:pt>
                <c:pt idx="128">
                  <c:v>64.8</c:v>
                </c:pt>
                <c:pt idx="129">
                  <c:v>58.8</c:v>
                </c:pt>
                <c:pt idx="130">
                  <c:v>64.8</c:v>
                </c:pt>
                <c:pt idx="131">
                  <c:v>61.2</c:v>
                </c:pt>
                <c:pt idx="132">
                  <c:v>61.5</c:v>
                </c:pt>
                <c:pt idx="133">
                  <c:v>62.3</c:v>
                </c:pt>
                <c:pt idx="134">
                  <c:v>64.400000000000006</c:v>
                </c:pt>
                <c:pt idx="135">
                  <c:v>65</c:v>
                </c:pt>
                <c:pt idx="136">
                  <c:v>67.900000000000006</c:v>
                </c:pt>
                <c:pt idx="137">
                  <c:v>67.900000000000006</c:v>
                </c:pt>
                <c:pt idx="138">
                  <c:v>70.2</c:v>
                </c:pt>
                <c:pt idx="139">
                  <c:v>68.5</c:v>
                </c:pt>
                <c:pt idx="140">
                  <c:v>67.900000000000006</c:v>
                </c:pt>
                <c:pt idx="141">
                  <c:v>69.599999999999994</c:v>
                </c:pt>
                <c:pt idx="142">
                  <c:v>71.8</c:v>
                </c:pt>
                <c:pt idx="143">
                  <c:v>73.099999999999994</c:v>
                </c:pt>
                <c:pt idx="144">
                  <c:v>76.599999999999994</c:v>
                </c:pt>
                <c:pt idx="145">
                  <c:v>78.7</c:v>
                </c:pt>
                <c:pt idx="146">
                  <c:v>83.1</c:v>
                </c:pt>
                <c:pt idx="147">
                  <c:v>81.099999999999994</c:v>
                </c:pt>
                <c:pt idx="148">
                  <c:v>84.7</c:v>
                </c:pt>
                <c:pt idx="149">
                  <c:v>86.8</c:v>
                </c:pt>
                <c:pt idx="150">
                  <c:v>88.8</c:v>
                </c:pt>
                <c:pt idx="151">
                  <c:v>90.6</c:v>
                </c:pt>
                <c:pt idx="152">
                  <c:v>94.2</c:v>
                </c:pt>
                <c:pt idx="153">
                  <c:v>94.3</c:v>
                </c:pt>
                <c:pt idx="154">
                  <c:v>94.3</c:v>
                </c:pt>
                <c:pt idx="155">
                  <c:v>93.1</c:v>
                </c:pt>
                <c:pt idx="156">
                  <c:v>93.4</c:v>
                </c:pt>
                <c:pt idx="157">
                  <c:v>91.5</c:v>
                </c:pt>
              </c:numCache>
            </c:numRef>
          </c:val>
          <c:smooth val="0"/>
          <c:extLst>
            <c:ext xmlns:c16="http://schemas.microsoft.com/office/drawing/2014/chart" uri="{C3380CC4-5D6E-409C-BE32-E72D297353CC}">
              <c16:uniqueId val="{00000001-C275-419D-8D64-1AD50C64DD54}"/>
            </c:ext>
          </c:extLst>
        </c:ser>
        <c:dLbls>
          <c:showLegendKey val="0"/>
          <c:showVal val="0"/>
          <c:showCatName val="0"/>
          <c:showSerName val="0"/>
          <c:showPercent val="0"/>
          <c:showBubbleSize val="0"/>
        </c:dLbls>
        <c:smooth val="0"/>
        <c:axId val="1066076088"/>
        <c:axId val="1066076416"/>
      </c:lineChart>
      <c:dateAx>
        <c:axId val="1066076088"/>
        <c:scaling>
          <c:orientation val="minMax"/>
        </c:scaling>
        <c:delete val="0"/>
        <c:axPos val="b"/>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066076416"/>
        <c:crosses val="autoZero"/>
        <c:auto val="1"/>
        <c:lblOffset val="100"/>
        <c:baseTimeUnit val="months"/>
        <c:majorUnit val="1"/>
        <c:majorTimeUnit val="years"/>
      </c:dateAx>
      <c:valAx>
        <c:axId val="1066076416"/>
        <c:scaling>
          <c:orientation val="minMax"/>
          <c:min val="5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0660760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Blad1!$KD$38</c:f>
              <c:strCache>
                <c:ptCount val="1"/>
                <c:pt idx="0">
                  <c:v>Reallön index</c:v>
                </c:pt>
              </c:strCache>
            </c:strRef>
          </c:tx>
          <c:spPr>
            <a:ln w="28575" cap="rnd">
              <a:solidFill>
                <a:schemeClr val="accent1"/>
              </a:solidFill>
              <a:round/>
            </a:ln>
            <a:effectLst/>
          </c:spPr>
          <c:marker>
            <c:symbol val="none"/>
          </c:marker>
          <c:cat>
            <c:numRef>
              <c:f>Blad1!$KE$37:$LI$37</c:f>
              <c:numCache>
                <c:formatCode>m/d/yyyy</c:formatCode>
                <c:ptCount val="31"/>
                <c:pt idx="0">
                  <c:v>34335</c:v>
                </c:pt>
                <c:pt idx="1">
                  <c:v>34700</c:v>
                </c:pt>
                <c:pt idx="2">
                  <c:v>35065</c:v>
                </c:pt>
                <c:pt idx="3">
                  <c:v>35431</c:v>
                </c:pt>
                <c:pt idx="4">
                  <c:v>35796</c:v>
                </c:pt>
                <c:pt idx="5">
                  <c:v>36161</c:v>
                </c:pt>
                <c:pt idx="6">
                  <c:v>36526</c:v>
                </c:pt>
                <c:pt idx="7">
                  <c:v>36892</c:v>
                </c:pt>
                <c:pt idx="8">
                  <c:v>37257</c:v>
                </c:pt>
                <c:pt idx="9">
                  <c:v>37622</c:v>
                </c:pt>
                <c:pt idx="10">
                  <c:v>37987</c:v>
                </c:pt>
                <c:pt idx="11">
                  <c:v>38353</c:v>
                </c:pt>
                <c:pt idx="12">
                  <c:v>38718</c:v>
                </c:pt>
                <c:pt idx="13">
                  <c:v>39083</c:v>
                </c:pt>
                <c:pt idx="14">
                  <c:v>39448</c:v>
                </c:pt>
                <c:pt idx="15">
                  <c:v>39814</c:v>
                </c:pt>
                <c:pt idx="16">
                  <c:v>40179</c:v>
                </c:pt>
                <c:pt idx="17">
                  <c:v>40544</c:v>
                </c:pt>
                <c:pt idx="18">
                  <c:v>40909</c:v>
                </c:pt>
                <c:pt idx="19">
                  <c:v>41275</c:v>
                </c:pt>
                <c:pt idx="20">
                  <c:v>41640</c:v>
                </c:pt>
                <c:pt idx="21">
                  <c:v>42005</c:v>
                </c:pt>
                <c:pt idx="22">
                  <c:v>42370</c:v>
                </c:pt>
                <c:pt idx="23">
                  <c:v>42736</c:v>
                </c:pt>
                <c:pt idx="24">
                  <c:v>43101</c:v>
                </c:pt>
                <c:pt idx="25">
                  <c:v>43466</c:v>
                </c:pt>
                <c:pt idx="26">
                  <c:v>43831</c:v>
                </c:pt>
                <c:pt idx="27">
                  <c:v>44197</c:v>
                </c:pt>
                <c:pt idx="28">
                  <c:v>44562</c:v>
                </c:pt>
                <c:pt idx="29">
                  <c:v>44927</c:v>
                </c:pt>
                <c:pt idx="30">
                  <c:v>45292</c:v>
                </c:pt>
              </c:numCache>
            </c:numRef>
          </c:cat>
          <c:val>
            <c:numRef>
              <c:f>Blad1!$KE$38:$LI$38</c:f>
              <c:numCache>
                <c:formatCode>General</c:formatCode>
                <c:ptCount val="31"/>
                <c:pt idx="0">
                  <c:v>99.1</c:v>
                </c:pt>
                <c:pt idx="1">
                  <c:v>100</c:v>
                </c:pt>
                <c:pt idx="2">
                  <c:v>105.4281483892797</c:v>
                </c:pt>
                <c:pt idx="3">
                  <c:v>109.49700749138955</c:v>
                </c:pt>
                <c:pt idx="4">
                  <c:v>113.86270341769689</c:v>
                </c:pt>
                <c:pt idx="5">
                  <c:v>117.21232411107741</c:v>
                </c:pt>
                <c:pt idx="6">
                  <c:v>120.52044681849421</c:v>
                </c:pt>
                <c:pt idx="7">
                  <c:v>122.85937533847245</c:v>
                </c:pt>
                <c:pt idx="8">
                  <c:v>125.20423692798491</c:v>
                </c:pt>
                <c:pt idx="9">
                  <c:v>127.08044251535151</c:v>
                </c:pt>
                <c:pt idx="10">
                  <c:v>130.78403710526919</c:v>
                </c:pt>
                <c:pt idx="11">
                  <c:v>134.2464208386167</c:v>
                </c:pt>
                <c:pt idx="12">
                  <c:v>136.49527304844747</c:v>
                </c:pt>
                <c:pt idx="13">
                  <c:v>137.95958104692338</c:v>
                </c:pt>
                <c:pt idx="14">
                  <c:v>139.07976365578762</c:v>
                </c:pt>
                <c:pt idx="15">
                  <c:v>144.55400878631571</c:v>
                </c:pt>
                <c:pt idx="16">
                  <c:v>146.56683753142624</c:v>
                </c:pt>
                <c:pt idx="17">
                  <c:v>145.79346080017061</c:v>
                </c:pt>
                <c:pt idx="18">
                  <c:v>148.83772833820453</c:v>
                </c:pt>
                <c:pt idx="19">
                  <c:v>152.57547143490117</c:v>
                </c:pt>
                <c:pt idx="20">
                  <c:v>157.12901544922323</c:v>
                </c:pt>
                <c:pt idx="21">
                  <c:v>161.00478726965872</c:v>
                </c:pt>
                <c:pt idx="22">
                  <c:v>163.2787292691784</c:v>
                </c:pt>
                <c:pt idx="23">
                  <c:v>164.14219794935164</c:v>
                </c:pt>
                <c:pt idx="24">
                  <c:v>165.10806969487732</c:v>
                </c:pt>
                <c:pt idx="25">
                  <c:v>166.37057420734988</c:v>
                </c:pt>
                <c:pt idx="26">
                  <c:v>169.05248869495327</c:v>
                </c:pt>
                <c:pt idx="27">
                  <c:v>169.84933396885745</c:v>
                </c:pt>
                <c:pt idx="28">
                  <c:v>161.06849738146897</c:v>
                </c:pt>
                <c:pt idx="29">
                  <c:v>153.8119813277186</c:v>
                </c:pt>
                <c:pt idx="30">
                  <c:v>155.57818486532707</c:v>
                </c:pt>
              </c:numCache>
            </c:numRef>
          </c:val>
          <c:smooth val="0"/>
          <c:extLst>
            <c:ext xmlns:c16="http://schemas.microsoft.com/office/drawing/2014/chart" uri="{C3380CC4-5D6E-409C-BE32-E72D297353CC}">
              <c16:uniqueId val="{00000000-2703-4C3D-A913-D9575BFB1DE5}"/>
            </c:ext>
          </c:extLst>
        </c:ser>
        <c:dLbls>
          <c:showLegendKey val="0"/>
          <c:showVal val="0"/>
          <c:showCatName val="0"/>
          <c:showSerName val="0"/>
          <c:showPercent val="0"/>
          <c:showBubbleSize val="0"/>
        </c:dLbls>
        <c:smooth val="0"/>
        <c:axId val="753939568"/>
        <c:axId val="753939896"/>
      </c:lineChart>
      <c:dateAx>
        <c:axId val="753939568"/>
        <c:scaling>
          <c:orientation val="minMax"/>
        </c:scaling>
        <c:delete val="0"/>
        <c:axPos val="b"/>
        <c:numFmt formatCode="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753939896"/>
        <c:crosses val="autoZero"/>
        <c:auto val="1"/>
        <c:lblOffset val="100"/>
        <c:baseTimeUnit val="years"/>
      </c:dateAx>
      <c:valAx>
        <c:axId val="753939896"/>
        <c:scaling>
          <c:orientation val="minMax"/>
          <c:min val="9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7539395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Blad1!$C$3</c:f>
              <c:strCache>
                <c:ptCount val="1"/>
                <c:pt idx="0">
                  <c:v>Flerbostadshus</c:v>
                </c:pt>
              </c:strCache>
            </c:strRef>
          </c:tx>
          <c:spPr>
            <a:ln w="28575" cap="rnd">
              <a:solidFill>
                <a:schemeClr val="accent1"/>
              </a:solidFill>
              <a:round/>
            </a:ln>
            <a:effectLst/>
          </c:spPr>
          <c:marker>
            <c:symbol val="none"/>
          </c:marker>
          <c:cat>
            <c:numRef>
              <c:f>Blad1!$D$2:$AB$2</c:f>
              <c:numCache>
                <c:formatCode>m/d/yyyy</c:formatCode>
                <c:ptCount val="25"/>
                <c:pt idx="0">
                  <c:v>36526</c:v>
                </c:pt>
                <c:pt idx="1">
                  <c:v>36892</c:v>
                </c:pt>
                <c:pt idx="2">
                  <c:v>37257</c:v>
                </c:pt>
                <c:pt idx="3">
                  <c:v>37622</c:v>
                </c:pt>
                <c:pt idx="4">
                  <c:v>37987</c:v>
                </c:pt>
                <c:pt idx="5">
                  <c:v>38353</c:v>
                </c:pt>
                <c:pt idx="6">
                  <c:v>38718</c:v>
                </c:pt>
                <c:pt idx="7">
                  <c:v>39083</c:v>
                </c:pt>
                <c:pt idx="8">
                  <c:v>39448</c:v>
                </c:pt>
                <c:pt idx="9">
                  <c:v>39814</c:v>
                </c:pt>
                <c:pt idx="10">
                  <c:v>40179</c:v>
                </c:pt>
                <c:pt idx="11">
                  <c:v>40544</c:v>
                </c:pt>
                <c:pt idx="12">
                  <c:v>40909</c:v>
                </c:pt>
                <c:pt idx="13">
                  <c:v>41275</c:v>
                </c:pt>
                <c:pt idx="14">
                  <c:v>41640</c:v>
                </c:pt>
                <c:pt idx="15">
                  <c:v>42005</c:v>
                </c:pt>
                <c:pt idx="16">
                  <c:v>42370</c:v>
                </c:pt>
                <c:pt idx="17">
                  <c:v>42736</c:v>
                </c:pt>
                <c:pt idx="18">
                  <c:v>43101</c:v>
                </c:pt>
                <c:pt idx="19">
                  <c:v>43466</c:v>
                </c:pt>
                <c:pt idx="20">
                  <c:v>43831</c:v>
                </c:pt>
                <c:pt idx="21">
                  <c:v>44197</c:v>
                </c:pt>
                <c:pt idx="22">
                  <c:v>44562</c:v>
                </c:pt>
                <c:pt idx="23">
                  <c:v>44927</c:v>
                </c:pt>
                <c:pt idx="24">
                  <c:v>45292</c:v>
                </c:pt>
              </c:numCache>
            </c:numRef>
          </c:cat>
          <c:val>
            <c:numRef>
              <c:f>Blad1!$D$3:$AB$3</c:f>
              <c:numCache>
                <c:formatCode>#\ ##0_ ;\-#\ ##0\ </c:formatCode>
                <c:ptCount val="25"/>
                <c:pt idx="0">
                  <c:v>8597</c:v>
                </c:pt>
                <c:pt idx="1">
                  <c:v>12393</c:v>
                </c:pt>
                <c:pt idx="2">
                  <c:v>11705</c:v>
                </c:pt>
                <c:pt idx="3">
                  <c:v>12710</c:v>
                </c:pt>
                <c:pt idx="4">
                  <c:v>16883</c:v>
                </c:pt>
                <c:pt idx="5">
                  <c:v>19548</c:v>
                </c:pt>
                <c:pt idx="6">
                  <c:v>31481</c:v>
                </c:pt>
                <c:pt idx="7">
                  <c:v>13942</c:v>
                </c:pt>
                <c:pt idx="8">
                  <c:v>11105</c:v>
                </c:pt>
                <c:pt idx="9">
                  <c:v>9521</c:v>
                </c:pt>
                <c:pt idx="10">
                  <c:v>18143</c:v>
                </c:pt>
                <c:pt idx="11">
                  <c:v>18458</c:v>
                </c:pt>
                <c:pt idx="12">
                  <c:v>15874</c:v>
                </c:pt>
                <c:pt idx="13">
                  <c:v>23794</c:v>
                </c:pt>
                <c:pt idx="14">
                  <c:v>28103</c:v>
                </c:pt>
                <c:pt idx="15">
                  <c:v>37180</c:v>
                </c:pt>
                <c:pt idx="16">
                  <c:v>48437</c:v>
                </c:pt>
                <c:pt idx="17">
                  <c:v>51091</c:v>
                </c:pt>
                <c:pt idx="18">
                  <c:v>41836</c:v>
                </c:pt>
                <c:pt idx="19">
                  <c:v>38672</c:v>
                </c:pt>
                <c:pt idx="20">
                  <c:v>44690</c:v>
                </c:pt>
                <c:pt idx="21">
                  <c:v>54274</c:v>
                </c:pt>
                <c:pt idx="22">
                  <c:v>43460</c:v>
                </c:pt>
                <c:pt idx="23">
                  <c:v>22485</c:v>
                </c:pt>
                <c:pt idx="24">
                  <c:v>22600</c:v>
                </c:pt>
              </c:numCache>
            </c:numRef>
          </c:val>
          <c:smooth val="0"/>
          <c:extLst>
            <c:ext xmlns:c16="http://schemas.microsoft.com/office/drawing/2014/chart" uri="{C3380CC4-5D6E-409C-BE32-E72D297353CC}">
              <c16:uniqueId val="{00000000-574A-4F8A-8A34-5F85B912C9A7}"/>
            </c:ext>
          </c:extLst>
        </c:ser>
        <c:ser>
          <c:idx val="1"/>
          <c:order val="1"/>
          <c:tx>
            <c:strRef>
              <c:f>Blad1!$C$4</c:f>
              <c:strCache>
                <c:ptCount val="1"/>
                <c:pt idx="0">
                  <c:v>Småhus</c:v>
                </c:pt>
              </c:strCache>
            </c:strRef>
          </c:tx>
          <c:spPr>
            <a:ln w="28575" cap="rnd">
              <a:solidFill>
                <a:schemeClr val="accent2"/>
              </a:solidFill>
              <a:round/>
            </a:ln>
            <a:effectLst/>
          </c:spPr>
          <c:marker>
            <c:symbol val="none"/>
          </c:marker>
          <c:cat>
            <c:numRef>
              <c:f>Blad1!$D$2:$AB$2</c:f>
              <c:numCache>
                <c:formatCode>m/d/yyyy</c:formatCode>
                <c:ptCount val="25"/>
                <c:pt idx="0">
                  <c:v>36526</c:v>
                </c:pt>
                <c:pt idx="1">
                  <c:v>36892</c:v>
                </c:pt>
                <c:pt idx="2">
                  <c:v>37257</c:v>
                </c:pt>
                <c:pt idx="3">
                  <c:v>37622</c:v>
                </c:pt>
                <c:pt idx="4">
                  <c:v>37987</c:v>
                </c:pt>
                <c:pt idx="5">
                  <c:v>38353</c:v>
                </c:pt>
                <c:pt idx="6">
                  <c:v>38718</c:v>
                </c:pt>
                <c:pt idx="7">
                  <c:v>39083</c:v>
                </c:pt>
                <c:pt idx="8">
                  <c:v>39448</c:v>
                </c:pt>
                <c:pt idx="9">
                  <c:v>39814</c:v>
                </c:pt>
                <c:pt idx="10">
                  <c:v>40179</c:v>
                </c:pt>
                <c:pt idx="11">
                  <c:v>40544</c:v>
                </c:pt>
                <c:pt idx="12">
                  <c:v>40909</c:v>
                </c:pt>
                <c:pt idx="13">
                  <c:v>41275</c:v>
                </c:pt>
                <c:pt idx="14">
                  <c:v>41640</c:v>
                </c:pt>
                <c:pt idx="15">
                  <c:v>42005</c:v>
                </c:pt>
                <c:pt idx="16">
                  <c:v>42370</c:v>
                </c:pt>
                <c:pt idx="17">
                  <c:v>42736</c:v>
                </c:pt>
                <c:pt idx="18">
                  <c:v>43101</c:v>
                </c:pt>
                <c:pt idx="19">
                  <c:v>43466</c:v>
                </c:pt>
                <c:pt idx="20">
                  <c:v>43831</c:v>
                </c:pt>
                <c:pt idx="21">
                  <c:v>44197</c:v>
                </c:pt>
                <c:pt idx="22">
                  <c:v>44562</c:v>
                </c:pt>
                <c:pt idx="23">
                  <c:v>44927</c:v>
                </c:pt>
                <c:pt idx="24">
                  <c:v>45292</c:v>
                </c:pt>
              </c:numCache>
            </c:numRef>
          </c:cat>
          <c:val>
            <c:numRef>
              <c:f>Blad1!$D$4:$AB$4</c:f>
              <c:numCache>
                <c:formatCode>#\ ##0_ ;\-#\ ##0\ </c:formatCode>
                <c:ptCount val="25"/>
                <c:pt idx="0">
                  <c:v>8226</c:v>
                </c:pt>
                <c:pt idx="1">
                  <c:v>7008</c:v>
                </c:pt>
                <c:pt idx="2">
                  <c:v>7346</c:v>
                </c:pt>
                <c:pt idx="3">
                  <c:v>9342</c:v>
                </c:pt>
                <c:pt idx="4">
                  <c:v>10436</c:v>
                </c:pt>
                <c:pt idx="5">
                  <c:v>12239</c:v>
                </c:pt>
                <c:pt idx="6">
                  <c:v>13783</c:v>
                </c:pt>
                <c:pt idx="7">
                  <c:v>13604</c:v>
                </c:pt>
                <c:pt idx="8">
                  <c:v>10094</c:v>
                </c:pt>
                <c:pt idx="9">
                  <c:v>8427</c:v>
                </c:pt>
                <c:pt idx="10">
                  <c:v>9386</c:v>
                </c:pt>
                <c:pt idx="11">
                  <c:v>8226</c:v>
                </c:pt>
                <c:pt idx="12">
                  <c:v>5439</c:v>
                </c:pt>
                <c:pt idx="13">
                  <c:v>6679</c:v>
                </c:pt>
                <c:pt idx="14">
                  <c:v>8608</c:v>
                </c:pt>
                <c:pt idx="15">
                  <c:v>10957</c:v>
                </c:pt>
                <c:pt idx="16">
                  <c:v>12990</c:v>
                </c:pt>
                <c:pt idx="17">
                  <c:v>12869</c:v>
                </c:pt>
                <c:pt idx="18">
                  <c:v>11086</c:v>
                </c:pt>
                <c:pt idx="19">
                  <c:v>10883</c:v>
                </c:pt>
                <c:pt idx="20">
                  <c:v>11234</c:v>
                </c:pt>
                <c:pt idx="21">
                  <c:v>14146</c:v>
                </c:pt>
                <c:pt idx="22">
                  <c:v>12639</c:v>
                </c:pt>
                <c:pt idx="23">
                  <c:v>6332</c:v>
                </c:pt>
                <c:pt idx="24">
                  <c:v>5750</c:v>
                </c:pt>
              </c:numCache>
            </c:numRef>
          </c:val>
          <c:smooth val="0"/>
          <c:extLst>
            <c:ext xmlns:c16="http://schemas.microsoft.com/office/drawing/2014/chart" uri="{C3380CC4-5D6E-409C-BE32-E72D297353CC}">
              <c16:uniqueId val="{00000001-574A-4F8A-8A34-5F85B912C9A7}"/>
            </c:ext>
          </c:extLst>
        </c:ser>
        <c:dLbls>
          <c:showLegendKey val="0"/>
          <c:showVal val="0"/>
          <c:showCatName val="0"/>
          <c:showSerName val="0"/>
          <c:showPercent val="0"/>
          <c:showBubbleSize val="0"/>
        </c:dLbls>
        <c:smooth val="0"/>
        <c:axId val="778727040"/>
        <c:axId val="778724744"/>
      </c:lineChart>
      <c:dateAx>
        <c:axId val="778727040"/>
        <c:scaling>
          <c:orientation val="minMax"/>
        </c:scaling>
        <c:delete val="0"/>
        <c:axPos val="b"/>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778724744"/>
        <c:crosses val="autoZero"/>
        <c:auto val="1"/>
        <c:lblOffset val="100"/>
        <c:baseTimeUnit val="years"/>
        <c:majorUnit val="2"/>
        <c:majorTimeUnit val="years"/>
      </c:dateAx>
      <c:valAx>
        <c:axId val="778724744"/>
        <c:scaling>
          <c:orientation val="minMax"/>
        </c:scaling>
        <c:delete val="0"/>
        <c:axPos val="l"/>
        <c:majorGridlines>
          <c:spPr>
            <a:ln w="9525" cap="flat" cmpd="sng" algn="ctr">
              <a:solidFill>
                <a:schemeClr val="tx1">
                  <a:lumMod val="15000"/>
                  <a:lumOff val="85000"/>
                </a:schemeClr>
              </a:solidFill>
              <a:round/>
            </a:ln>
            <a:effectLst/>
          </c:spPr>
        </c:majorGridlines>
        <c:numFmt formatCode="#\ ##0_ ;\-#\ ##0\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7787270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Blad1!$B$41</c:f>
              <c:strCache>
                <c:ptCount val="1"/>
                <c:pt idx="0">
                  <c:v>arbetslöshet</c:v>
                </c:pt>
              </c:strCache>
            </c:strRef>
          </c:tx>
          <c:spPr>
            <a:ln w="28575" cap="rnd">
              <a:solidFill>
                <a:schemeClr val="accent1"/>
              </a:solidFill>
              <a:round/>
            </a:ln>
            <a:effectLst/>
          </c:spPr>
          <c:marker>
            <c:symbol val="none"/>
          </c:marker>
          <c:cat>
            <c:numRef>
              <c:f>Blad1!$C$40:$HX$40</c:f>
              <c:numCache>
                <c:formatCode>m/d/yyyy</c:formatCode>
                <c:ptCount val="230"/>
                <c:pt idx="0">
                  <c:v>38718</c:v>
                </c:pt>
                <c:pt idx="1">
                  <c:v>38749</c:v>
                </c:pt>
                <c:pt idx="2">
                  <c:v>38777</c:v>
                </c:pt>
                <c:pt idx="3">
                  <c:v>38808</c:v>
                </c:pt>
                <c:pt idx="4">
                  <c:v>38838</c:v>
                </c:pt>
                <c:pt idx="5">
                  <c:v>38869</c:v>
                </c:pt>
                <c:pt idx="6">
                  <c:v>38899</c:v>
                </c:pt>
                <c:pt idx="7">
                  <c:v>38930</c:v>
                </c:pt>
                <c:pt idx="8">
                  <c:v>38961</c:v>
                </c:pt>
                <c:pt idx="9">
                  <c:v>38991</c:v>
                </c:pt>
                <c:pt idx="10">
                  <c:v>39022</c:v>
                </c:pt>
                <c:pt idx="11">
                  <c:v>39052</c:v>
                </c:pt>
                <c:pt idx="12">
                  <c:v>39083</c:v>
                </c:pt>
                <c:pt idx="13">
                  <c:v>39114</c:v>
                </c:pt>
                <c:pt idx="14">
                  <c:v>39142</c:v>
                </c:pt>
                <c:pt idx="15">
                  <c:v>39173</c:v>
                </c:pt>
                <c:pt idx="16">
                  <c:v>39203</c:v>
                </c:pt>
                <c:pt idx="17">
                  <c:v>39234</c:v>
                </c:pt>
                <c:pt idx="18">
                  <c:v>39264</c:v>
                </c:pt>
                <c:pt idx="19">
                  <c:v>39295</c:v>
                </c:pt>
                <c:pt idx="20">
                  <c:v>39326</c:v>
                </c:pt>
                <c:pt idx="21">
                  <c:v>39356</c:v>
                </c:pt>
                <c:pt idx="22">
                  <c:v>39387</c:v>
                </c:pt>
                <c:pt idx="23">
                  <c:v>39417</c:v>
                </c:pt>
                <c:pt idx="24">
                  <c:v>39448</c:v>
                </c:pt>
                <c:pt idx="25">
                  <c:v>39479</c:v>
                </c:pt>
                <c:pt idx="26">
                  <c:v>39508</c:v>
                </c:pt>
                <c:pt idx="27">
                  <c:v>39539</c:v>
                </c:pt>
                <c:pt idx="28">
                  <c:v>39569</c:v>
                </c:pt>
                <c:pt idx="29">
                  <c:v>39600</c:v>
                </c:pt>
                <c:pt idx="30">
                  <c:v>39630</c:v>
                </c:pt>
                <c:pt idx="31">
                  <c:v>39661</c:v>
                </c:pt>
                <c:pt idx="32">
                  <c:v>39692</c:v>
                </c:pt>
                <c:pt idx="33">
                  <c:v>39722</c:v>
                </c:pt>
                <c:pt idx="34">
                  <c:v>39753</c:v>
                </c:pt>
                <c:pt idx="35">
                  <c:v>39783</c:v>
                </c:pt>
                <c:pt idx="36">
                  <c:v>39814</c:v>
                </c:pt>
                <c:pt idx="37">
                  <c:v>39845</c:v>
                </c:pt>
                <c:pt idx="38">
                  <c:v>39873</c:v>
                </c:pt>
                <c:pt idx="39">
                  <c:v>39904</c:v>
                </c:pt>
                <c:pt idx="40">
                  <c:v>39934</c:v>
                </c:pt>
                <c:pt idx="41">
                  <c:v>39965</c:v>
                </c:pt>
                <c:pt idx="42">
                  <c:v>39995</c:v>
                </c:pt>
                <c:pt idx="43">
                  <c:v>40026</c:v>
                </c:pt>
                <c:pt idx="44">
                  <c:v>40057</c:v>
                </c:pt>
                <c:pt idx="45">
                  <c:v>40087</c:v>
                </c:pt>
                <c:pt idx="46">
                  <c:v>40118</c:v>
                </c:pt>
                <c:pt idx="47">
                  <c:v>40148</c:v>
                </c:pt>
                <c:pt idx="48">
                  <c:v>40179</c:v>
                </c:pt>
                <c:pt idx="49">
                  <c:v>40210</c:v>
                </c:pt>
                <c:pt idx="50">
                  <c:v>40238</c:v>
                </c:pt>
                <c:pt idx="51">
                  <c:v>40269</c:v>
                </c:pt>
                <c:pt idx="52">
                  <c:v>40299</c:v>
                </c:pt>
                <c:pt idx="53">
                  <c:v>40330</c:v>
                </c:pt>
                <c:pt idx="54">
                  <c:v>40360</c:v>
                </c:pt>
                <c:pt idx="55">
                  <c:v>40391</c:v>
                </c:pt>
                <c:pt idx="56">
                  <c:v>40422</c:v>
                </c:pt>
                <c:pt idx="57">
                  <c:v>40452</c:v>
                </c:pt>
                <c:pt idx="58">
                  <c:v>40483</c:v>
                </c:pt>
                <c:pt idx="59">
                  <c:v>40513</c:v>
                </c:pt>
                <c:pt idx="60">
                  <c:v>40544</c:v>
                </c:pt>
                <c:pt idx="61">
                  <c:v>40575</c:v>
                </c:pt>
                <c:pt idx="62">
                  <c:v>40603</c:v>
                </c:pt>
                <c:pt idx="63">
                  <c:v>40634</c:v>
                </c:pt>
                <c:pt idx="64">
                  <c:v>40664</c:v>
                </c:pt>
                <c:pt idx="65">
                  <c:v>40695</c:v>
                </c:pt>
                <c:pt idx="66">
                  <c:v>40725</c:v>
                </c:pt>
                <c:pt idx="67">
                  <c:v>40756</c:v>
                </c:pt>
                <c:pt idx="68">
                  <c:v>40787</c:v>
                </c:pt>
                <c:pt idx="69">
                  <c:v>40817</c:v>
                </c:pt>
                <c:pt idx="70">
                  <c:v>40848</c:v>
                </c:pt>
                <c:pt idx="71">
                  <c:v>40878</c:v>
                </c:pt>
                <c:pt idx="72">
                  <c:v>40909</c:v>
                </c:pt>
                <c:pt idx="73">
                  <c:v>40940</c:v>
                </c:pt>
                <c:pt idx="74">
                  <c:v>40969</c:v>
                </c:pt>
                <c:pt idx="75">
                  <c:v>41000</c:v>
                </c:pt>
                <c:pt idx="76">
                  <c:v>41030</c:v>
                </c:pt>
                <c:pt idx="77">
                  <c:v>41061</c:v>
                </c:pt>
                <c:pt idx="78">
                  <c:v>41091</c:v>
                </c:pt>
                <c:pt idx="79">
                  <c:v>41122</c:v>
                </c:pt>
                <c:pt idx="80">
                  <c:v>41153</c:v>
                </c:pt>
                <c:pt idx="81">
                  <c:v>41183</c:v>
                </c:pt>
                <c:pt idx="82">
                  <c:v>41214</c:v>
                </c:pt>
                <c:pt idx="83">
                  <c:v>41244</c:v>
                </c:pt>
                <c:pt idx="84">
                  <c:v>41275</c:v>
                </c:pt>
                <c:pt idx="85">
                  <c:v>41306</c:v>
                </c:pt>
                <c:pt idx="86">
                  <c:v>41334</c:v>
                </c:pt>
                <c:pt idx="87">
                  <c:v>41365</c:v>
                </c:pt>
                <c:pt idx="88">
                  <c:v>41395</c:v>
                </c:pt>
                <c:pt idx="89">
                  <c:v>41426</c:v>
                </c:pt>
                <c:pt idx="90">
                  <c:v>41456</c:v>
                </c:pt>
                <c:pt idx="91">
                  <c:v>41487</c:v>
                </c:pt>
                <c:pt idx="92">
                  <c:v>41518</c:v>
                </c:pt>
                <c:pt idx="93">
                  <c:v>41548</c:v>
                </c:pt>
                <c:pt idx="94">
                  <c:v>41579</c:v>
                </c:pt>
                <c:pt idx="95">
                  <c:v>41609</c:v>
                </c:pt>
                <c:pt idx="96">
                  <c:v>41640</c:v>
                </c:pt>
                <c:pt idx="97">
                  <c:v>41671</c:v>
                </c:pt>
                <c:pt idx="98">
                  <c:v>41699</c:v>
                </c:pt>
                <c:pt idx="99">
                  <c:v>41730</c:v>
                </c:pt>
                <c:pt idx="100">
                  <c:v>41760</c:v>
                </c:pt>
                <c:pt idx="101">
                  <c:v>41791</c:v>
                </c:pt>
                <c:pt idx="102">
                  <c:v>41821</c:v>
                </c:pt>
                <c:pt idx="103">
                  <c:v>41852</c:v>
                </c:pt>
                <c:pt idx="104">
                  <c:v>41883</c:v>
                </c:pt>
                <c:pt idx="105">
                  <c:v>41913</c:v>
                </c:pt>
                <c:pt idx="106">
                  <c:v>41944</c:v>
                </c:pt>
                <c:pt idx="107">
                  <c:v>41974</c:v>
                </c:pt>
                <c:pt idx="108">
                  <c:v>42005</c:v>
                </c:pt>
                <c:pt idx="109">
                  <c:v>42036</c:v>
                </c:pt>
                <c:pt idx="110">
                  <c:v>42064</c:v>
                </c:pt>
                <c:pt idx="111">
                  <c:v>42095</c:v>
                </c:pt>
                <c:pt idx="112">
                  <c:v>42125</c:v>
                </c:pt>
                <c:pt idx="113">
                  <c:v>42156</c:v>
                </c:pt>
                <c:pt idx="114">
                  <c:v>42186</c:v>
                </c:pt>
                <c:pt idx="115">
                  <c:v>42217</c:v>
                </c:pt>
                <c:pt idx="116">
                  <c:v>42248</c:v>
                </c:pt>
                <c:pt idx="117">
                  <c:v>42278</c:v>
                </c:pt>
                <c:pt idx="118">
                  <c:v>42309</c:v>
                </c:pt>
                <c:pt idx="119">
                  <c:v>42339</c:v>
                </c:pt>
                <c:pt idx="120">
                  <c:v>42370</c:v>
                </c:pt>
                <c:pt idx="121">
                  <c:v>42401</c:v>
                </c:pt>
                <c:pt idx="122">
                  <c:v>42430</c:v>
                </c:pt>
                <c:pt idx="123">
                  <c:v>42461</c:v>
                </c:pt>
                <c:pt idx="124">
                  <c:v>42491</c:v>
                </c:pt>
                <c:pt idx="125">
                  <c:v>42522</c:v>
                </c:pt>
                <c:pt idx="126">
                  <c:v>42552</c:v>
                </c:pt>
                <c:pt idx="127">
                  <c:v>42583</c:v>
                </c:pt>
                <c:pt idx="128">
                  <c:v>42614</c:v>
                </c:pt>
                <c:pt idx="129">
                  <c:v>42644</c:v>
                </c:pt>
                <c:pt idx="130">
                  <c:v>42675</c:v>
                </c:pt>
                <c:pt idx="131">
                  <c:v>42705</c:v>
                </c:pt>
                <c:pt idx="132">
                  <c:v>42736</c:v>
                </c:pt>
                <c:pt idx="133">
                  <c:v>42767</c:v>
                </c:pt>
                <c:pt idx="134">
                  <c:v>42795</c:v>
                </c:pt>
                <c:pt idx="135">
                  <c:v>42826</c:v>
                </c:pt>
                <c:pt idx="136">
                  <c:v>42856</c:v>
                </c:pt>
                <c:pt idx="137">
                  <c:v>42887</c:v>
                </c:pt>
                <c:pt idx="138">
                  <c:v>42917</c:v>
                </c:pt>
                <c:pt idx="139">
                  <c:v>42948</c:v>
                </c:pt>
                <c:pt idx="140">
                  <c:v>42979</c:v>
                </c:pt>
                <c:pt idx="141">
                  <c:v>43009</c:v>
                </c:pt>
                <c:pt idx="142">
                  <c:v>43040</c:v>
                </c:pt>
                <c:pt idx="143">
                  <c:v>43070</c:v>
                </c:pt>
                <c:pt idx="144">
                  <c:v>43101</c:v>
                </c:pt>
                <c:pt idx="145">
                  <c:v>43132</c:v>
                </c:pt>
                <c:pt idx="146">
                  <c:v>43160</c:v>
                </c:pt>
                <c:pt idx="147">
                  <c:v>43191</c:v>
                </c:pt>
                <c:pt idx="148">
                  <c:v>43221</c:v>
                </c:pt>
                <c:pt idx="149">
                  <c:v>43252</c:v>
                </c:pt>
                <c:pt idx="150">
                  <c:v>43282</c:v>
                </c:pt>
                <c:pt idx="151">
                  <c:v>43313</c:v>
                </c:pt>
                <c:pt idx="152">
                  <c:v>43344</c:v>
                </c:pt>
                <c:pt idx="153">
                  <c:v>43374</c:v>
                </c:pt>
                <c:pt idx="154">
                  <c:v>43405</c:v>
                </c:pt>
                <c:pt idx="155">
                  <c:v>43435</c:v>
                </c:pt>
                <c:pt idx="156">
                  <c:v>43466</c:v>
                </c:pt>
                <c:pt idx="157">
                  <c:v>43497</c:v>
                </c:pt>
                <c:pt idx="158">
                  <c:v>43525</c:v>
                </c:pt>
                <c:pt idx="159">
                  <c:v>43556</c:v>
                </c:pt>
                <c:pt idx="160">
                  <c:v>43586</c:v>
                </c:pt>
                <c:pt idx="161">
                  <c:v>43617</c:v>
                </c:pt>
                <c:pt idx="162">
                  <c:v>43647</c:v>
                </c:pt>
                <c:pt idx="163">
                  <c:v>43678</c:v>
                </c:pt>
                <c:pt idx="164">
                  <c:v>43709</c:v>
                </c:pt>
                <c:pt idx="165">
                  <c:v>43739</c:v>
                </c:pt>
                <c:pt idx="166">
                  <c:v>43770</c:v>
                </c:pt>
                <c:pt idx="167">
                  <c:v>43800</c:v>
                </c:pt>
                <c:pt idx="168">
                  <c:v>43831</c:v>
                </c:pt>
                <c:pt idx="169">
                  <c:v>43862</c:v>
                </c:pt>
                <c:pt idx="170">
                  <c:v>43891</c:v>
                </c:pt>
                <c:pt idx="171">
                  <c:v>43922</c:v>
                </c:pt>
                <c:pt idx="172">
                  <c:v>43952</c:v>
                </c:pt>
                <c:pt idx="173">
                  <c:v>43983</c:v>
                </c:pt>
                <c:pt idx="174">
                  <c:v>44013</c:v>
                </c:pt>
                <c:pt idx="175">
                  <c:v>44044</c:v>
                </c:pt>
                <c:pt idx="176">
                  <c:v>44075</c:v>
                </c:pt>
                <c:pt idx="177">
                  <c:v>44105</c:v>
                </c:pt>
                <c:pt idx="178">
                  <c:v>44136</c:v>
                </c:pt>
                <c:pt idx="179">
                  <c:v>44166</c:v>
                </c:pt>
                <c:pt idx="180">
                  <c:v>44197</c:v>
                </c:pt>
                <c:pt idx="181">
                  <c:v>44228</c:v>
                </c:pt>
                <c:pt idx="182">
                  <c:v>44256</c:v>
                </c:pt>
                <c:pt idx="183">
                  <c:v>44287</c:v>
                </c:pt>
                <c:pt idx="184">
                  <c:v>44317</c:v>
                </c:pt>
                <c:pt idx="185">
                  <c:v>44348</c:v>
                </c:pt>
                <c:pt idx="186">
                  <c:v>44378</c:v>
                </c:pt>
                <c:pt idx="187">
                  <c:v>44409</c:v>
                </c:pt>
                <c:pt idx="188">
                  <c:v>44440</c:v>
                </c:pt>
                <c:pt idx="189">
                  <c:v>44470</c:v>
                </c:pt>
                <c:pt idx="190">
                  <c:v>44501</c:v>
                </c:pt>
                <c:pt idx="191">
                  <c:v>44531</c:v>
                </c:pt>
                <c:pt idx="192">
                  <c:v>44562</c:v>
                </c:pt>
                <c:pt idx="193">
                  <c:v>44593</c:v>
                </c:pt>
                <c:pt idx="194">
                  <c:v>44621</c:v>
                </c:pt>
                <c:pt idx="195">
                  <c:v>44652</c:v>
                </c:pt>
                <c:pt idx="196">
                  <c:v>44682</c:v>
                </c:pt>
                <c:pt idx="197">
                  <c:v>44713</c:v>
                </c:pt>
                <c:pt idx="198">
                  <c:v>44743</c:v>
                </c:pt>
                <c:pt idx="199">
                  <c:v>44774</c:v>
                </c:pt>
                <c:pt idx="200">
                  <c:v>44805</c:v>
                </c:pt>
                <c:pt idx="201">
                  <c:v>44835</c:v>
                </c:pt>
                <c:pt idx="202">
                  <c:v>44866</c:v>
                </c:pt>
                <c:pt idx="203">
                  <c:v>44896</c:v>
                </c:pt>
                <c:pt idx="204">
                  <c:v>44927</c:v>
                </c:pt>
                <c:pt idx="205">
                  <c:v>44958</c:v>
                </c:pt>
                <c:pt idx="206">
                  <c:v>44986</c:v>
                </c:pt>
                <c:pt idx="207">
                  <c:v>45017</c:v>
                </c:pt>
                <c:pt idx="208">
                  <c:v>45047</c:v>
                </c:pt>
                <c:pt idx="209">
                  <c:v>45078</c:v>
                </c:pt>
                <c:pt idx="210">
                  <c:v>45108</c:v>
                </c:pt>
                <c:pt idx="211">
                  <c:v>45139</c:v>
                </c:pt>
                <c:pt idx="212">
                  <c:v>45170</c:v>
                </c:pt>
                <c:pt idx="213">
                  <c:v>45200</c:v>
                </c:pt>
                <c:pt idx="214">
                  <c:v>45231</c:v>
                </c:pt>
                <c:pt idx="215">
                  <c:v>45261</c:v>
                </c:pt>
                <c:pt idx="216">
                  <c:v>45292</c:v>
                </c:pt>
                <c:pt idx="217">
                  <c:v>45323</c:v>
                </c:pt>
                <c:pt idx="218">
                  <c:v>45352</c:v>
                </c:pt>
                <c:pt idx="219">
                  <c:v>45383</c:v>
                </c:pt>
                <c:pt idx="220">
                  <c:v>45413</c:v>
                </c:pt>
                <c:pt idx="221">
                  <c:v>45444</c:v>
                </c:pt>
                <c:pt idx="222">
                  <c:v>45474</c:v>
                </c:pt>
                <c:pt idx="223">
                  <c:v>45505</c:v>
                </c:pt>
                <c:pt idx="224">
                  <c:v>45536</c:v>
                </c:pt>
                <c:pt idx="225">
                  <c:v>45566</c:v>
                </c:pt>
                <c:pt idx="226">
                  <c:v>45597</c:v>
                </c:pt>
                <c:pt idx="227">
                  <c:v>45627</c:v>
                </c:pt>
                <c:pt idx="228">
                  <c:v>45658</c:v>
                </c:pt>
                <c:pt idx="229">
                  <c:v>45689</c:v>
                </c:pt>
              </c:numCache>
            </c:numRef>
          </c:cat>
          <c:val>
            <c:numRef>
              <c:f>Blad1!$C$41:$HX$41</c:f>
              <c:numCache>
                <c:formatCode>General</c:formatCode>
                <c:ptCount val="230"/>
                <c:pt idx="0">
                  <c:v>7.68</c:v>
                </c:pt>
                <c:pt idx="1">
                  <c:v>7.61</c:v>
                </c:pt>
                <c:pt idx="2">
                  <c:v>7.54</c:v>
                </c:pt>
                <c:pt idx="3">
                  <c:v>7.45</c:v>
                </c:pt>
                <c:pt idx="4">
                  <c:v>7.36</c:v>
                </c:pt>
                <c:pt idx="5">
                  <c:v>7.26</c:v>
                </c:pt>
                <c:pt idx="6">
                  <c:v>7.14</c:v>
                </c:pt>
                <c:pt idx="7">
                  <c:v>7.03</c:v>
                </c:pt>
                <c:pt idx="8">
                  <c:v>6.91</c:v>
                </c:pt>
                <c:pt idx="9">
                  <c:v>6.8</c:v>
                </c:pt>
                <c:pt idx="10">
                  <c:v>6.69</c:v>
                </c:pt>
                <c:pt idx="11">
                  <c:v>6.58</c:v>
                </c:pt>
                <c:pt idx="12">
                  <c:v>6.49</c:v>
                </c:pt>
                <c:pt idx="13">
                  <c:v>6.41</c:v>
                </c:pt>
                <c:pt idx="14">
                  <c:v>6.34</c:v>
                </c:pt>
                <c:pt idx="15">
                  <c:v>6.28</c:v>
                </c:pt>
                <c:pt idx="16">
                  <c:v>6.24</c:v>
                </c:pt>
                <c:pt idx="17">
                  <c:v>6.2</c:v>
                </c:pt>
                <c:pt idx="18">
                  <c:v>6.17</c:v>
                </c:pt>
                <c:pt idx="19">
                  <c:v>6.15</c:v>
                </c:pt>
                <c:pt idx="20">
                  <c:v>6.12</c:v>
                </c:pt>
                <c:pt idx="21">
                  <c:v>6.09</c:v>
                </c:pt>
                <c:pt idx="22">
                  <c:v>6.06</c:v>
                </c:pt>
                <c:pt idx="23">
                  <c:v>6.02</c:v>
                </c:pt>
                <c:pt idx="24">
                  <c:v>6</c:v>
                </c:pt>
                <c:pt idx="25">
                  <c:v>5.98</c:v>
                </c:pt>
                <c:pt idx="26">
                  <c:v>5.97</c:v>
                </c:pt>
                <c:pt idx="27">
                  <c:v>5.98</c:v>
                </c:pt>
                <c:pt idx="28">
                  <c:v>6.01</c:v>
                </c:pt>
                <c:pt idx="29">
                  <c:v>6.08</c:v>
                </c:pt>
                <c:pt idx="30">
                  <c:v>6.17</c:v>
                </c:pt>
                <c:pt idx="31">
                  <c:v>6.3</c:v>
                </c:pt>
                <c:pt idx="32">
                  <c:v>6.45</c:v>
                </c:pt>
                <c:pt idx="33">
                  <c:v>6.63</c:v>
                </c:pt>
                <c:pt idx="34">
                  <c:v>6.83</c:v>
                </c:pt>
                <c:pt idx="35">
                  <c:v>7.05</c:v>
                </c:pt>
                <c:pt idx="36">
                  <c:v>7.29</c:v>
                </c:pt>
                <c:pt idx="37">
                  <c:v>7.53</c:v>
                </c:pt>
                <c:pt idx="38">
                  <c:v>7.76</c:v>
                </c:pt>
                <c:pt idx="39">
                  <c:v>7.99</c:v>
                </c:pt>
                <c:pt idx="40">
                  <c:v>8.2100000000000009</c:v>
                </c:pt>
                <c:pt idx="41">
                  <c:v>8.4</c:v>
                </c:pt>
                <c:pt idx="42">
                  <c:v>8.57</c:v>
                </c:pt>
                <c:pt idx="43">
                  <c:v>8.7100000000000009</c:v>
                </c:pt>
                <c:pt idx="44">
                  <c:v>8.83</c:v>
                </c:pt>
                <c:pt idx="45">
                  <c:v>8.93</c:v>
                </c:pt>
                <c:pt idx="46">
                  <c:v>9</c:v>
                </c:pt>
                <c:pt idx="47">
                  <c:v>9.0500000000000007</c:v>
                </c:pt>
                <c:pt idx="48">
                  <c:v>9.07</c:v>
                </c:pt>
                <c:pt idx="49">
                  <c:v>9.06</c:v>
                </c:pt>
                <c:pt idx="50">
                  <c:v>9.0299999999999994</c:v>
                </c:pt>
                <c:pt idx="51">
                  <c:v>8.98</c:v>
                </c:pt>
                <c:pt idx="52">
                  <c:v>8.9</c:v>
                </c:pt>
                <c:pt idx="53">
                  <c:v>8.81</c:v>
                </c:pt>
                <c:pt idx="54">
                  <c:v>8.6999999999999993</c:v>
                </c:pt>
                <c:pt idx="55">
                  <c:v>8.58</c:v>
                </c:pt>
                <c:pt idx="56">
                  <c:v>8.4499999999999993</c:v>
                </c:pt>
                <c:pt idx="57">
                  <c:v>8.34</c:v>
                </c:pt>
                <c:pt idx="58">
                  <c:v>8.23</c:v>
                </c:pt>
                <c:pt idx="59">
                  <c:v>8.14</c:v>
                </c:pt>
                <c:pt idx="60">
                  <c:v>8.06</c:v>
                </c:pt>
                <c:pt idx="61">
                  <c:v>7.99</c:v>
                </c:pt>
                <c:pt idx="62">
                  <c:v>7.94</c:v>
                </c:pt>
                <c:pt idx="63">
                  <c:v>7.9</c:v>
                </c:pt>
                <c:pt idx="64">
                  <c:v>7.87</c:v>
                </c:pt>
                <c:pt idx="65">
                  <c:v>7.85</c:v>
                </c:pt>
                <c:pt idx="66">
                  <c:v>7.83</c:v>
                </c:pt>
                <c:pt idx="67">
                  <c:v>7.82</c:v>
                </c:pt>
                <c:pt idx="68">
                  <c:v>7.81</c:v>
                </c:pt>
                <c:pt idx="69">
                  <c:v>7.8</c:v>
                </c:pt>
                <c:pt idx="70">
                  <c:v>7.79</c:v>
                </c:pt>
                <c:pt idx="71">
                  <c:v>7.79</c:v>
                </c:pt>
                <c:pt idx="72">
                  <c:v>7.8</c:v>
                </c:pt>
                <c:pt idx="73">
                  <c:v>7.82</c:v>
                </c:pt>
                <c:pt idx="74">
                  <c:v>7.86</c:v>
                </c:pt>
                <c:pt idx="75">
                  <c:v>7.91</c:v>
                </c:pt>
                <c:pt idx="76">
                  <c:v>7.97</c:v>
                </c:pt>
                <c:pt idx="77">
                  <c:v>8.0299999999999994</c:v>
                </c:pt>
                <c:pt idx="78">
                  <c:v>8.09</c:v>
                </c:pt>
                <c:pt idx="79">
                  <c:v>8.15</c:v>
                </c:pt>
                <c:pt idx="80">
                  <c:v>8.19</c:v>
                </c:pt>
                <c:pt idx="81">
                  <c:v>8.23</c:v>
                </c:pt>
                <c:pt idx="82">
                  <c:v>8.25</c:v>
                </c:pt>
                <c:pt idx="83">
                  <c:v>8.25</c:v>
                </c:pt>
                <c:pt idx="84">
                  <c:v>8.24</c:v>
                </c:pt>
                <c:pt idx="85">
                  <c:v>8.2200000000000006</c:v>
                </c:pt>
                <c:pt idx="86">
                  <c:v>8.19</c:v>
                </c:pt>
                <c:pt idx="87">
                  <c:v>8.16</c:v>
                </c:pt>
                <c:pt idx="88">
                  <c:v>8.14</c:v>
                </c:pt>
                <c:pt idx="89">
                  <c:v>8.1199999999999992</c:v>
                </c:pt>
                <c:pt idx="90">
                  <c:v>8.11</c:v>
                </c:pt>
                <c:pt idx="91">
                  <c:v>8.1</c:v>
                </c:pt>
                <c:pt idx="92">
                  <c:v>8.1</c:v>
                </c:pt>
                <c:pt idx="93">
                  <c:v>8.11</c:v>
                </c:pt>
                <c:pt idx="94">
                  <c:v>8.11</c:v>
                </c:pt>
                <c:pt idx="95">
                  <c:v>8.1199999999999992</c:v>
                </c:pt>
                <c:pt idx="96">
                  <c:v>8.1199999999999992</c:v>
                </c:pt>
                <c:pt idx="97">
                  <c:v>8.1199999999999992</c:v>
                </c:pt>
                <c:pt idx="98">
                  <c:v>8.11</c:v>
                </c:pt>
                <c:pt idx="99">
                  <c:v>8.1</c:v>
                </c:pt>
                <c:pt idx="100">
                  <c:v>8.08</c:v>
                </c:pt>
                <c:pt idx="101">
                  <c:v>8.06</c:v>
                </c:pt>
                <c:pt idx="102">
                  <c:v>8.0299999999999994</c:v>
                </c:pt>
                <c:pt idx="103">
                  <c:v>8.01</c:v>
                </c:pt>
                <c:pt idx="104">
                  <c:v>7.99</c:v>
                </c:pt>
                <c:pt idx="105">
                  <c:v>7.97</c:v>
                </c:pt>
                <c:pt idx="106">
                  <c:v>7.95</c:v>
                </c:pt>
                <c:pt idx="107">
                  <c:v>7.92</c:v>
                </c:pt>
                <c:pt idx="108">
                  <c:v>7.89</c:v>
                </c:pt>
                <c:pt idx="109">
                  <c:v>7.84</c:v>
                </c:pt>
                <c:pt idx="110">
                  <c:v>7.77</c:v>
                </c:pt>
                <c:pt idx="111">
                  <c:v>7.69</c:v>
                </c:pt>
                <c:pt idx="112">
                  <c:v>7.61</c:v>
                </c:pt>
                <c:pt idx="113">
                  <c:v>7.52</c:v>
                </c:pt>
                <c:pt idx="114">
                  <c:v>7.44</c:v>
                </c:pt>
                <c:pt idx="115">
                  <c:v>7.36</c:v>
                </c:pt>
                <c:pt idx="116">
                  <c:v>7.3</c:v>
                </c:pt>
                <c:pt idx="117">
                  <c:v>7.25</c:v>
                </c:pt>
                <c:pt idx="118">
                  <c:v>7.21</c:v>
                </c:pt>
                <c:pt idx="119">
                  <c:v>7.18</c:v>
                </c:pt>
                <c:pt idx="120">
                  <c:v>7.17</c:v>
                </c:pt>
                <c:pt idx="121">
                  <c:v>7.15</c:v>
                </c:pt>
                <c:pt idx="122">
                  <c:v>7.13</c:v>
                </c:pt>
                <c:pt idx="123">
                  <c:v>7.11</c:v>
                </c:pt>
                <c:pt idx="124">
                  <c:v>7.09</c:v>
                </c:pt>
                <c:pt idx="125">
                  <c:v>7.06</c:v>
                </c:pt>
                <c:pt idx="126">
                  <c:v>7.04</c:v>
                </c:pt>
                <c:pt idx="127">
                  <c:v>7.02</c:v>
                </c:pt>
                <c:pt idx="128">
                  <c:v>6.99</c:v>
                </c:pt>
                <c:pt idx="129">
                  <c:v>6.97</c:v>
                </c:pt>
                <c:pt idx="130">
                  <c:v>6.95</c:v>
                </c:pt>
                <c:pt idx="131">
                  <c:v>6.93</c:v>
                </c:pt>
                <c:pt idx="132">
                  <c:v>6.9</c:v>
                </c:pt>
                <c:pt idx="133">
                  <c:v>6.88</c:v>
                </c:pt>
                <c:pt idx="134">
                  <c:v>6.86</c:v>
                </c:pt>
                <c:pt idx="135">
                  <c:v>6.84</c:v>
                </c:pt>
                <c:pt idx="136">
                  <c:v>6.83</c:v>
                </c:pt>
                <c:pt idx="137">
                  <c:v>6.82</c:v>
                </c:pt>
                <c:pt idx="138">
                  <c:v>6.8</c:v>
                </c:pt>
                <c:pt idx="139">
                  <c:v>6.78</c:v>
                </c:pt>
                <c:pt idx="140">
                  <c:v>6.74</c:v>
                </c:pt>
                <c:pt idx="141">
                  <c:v>6.69</c:v>
                </c:pt>
                <c:pt idx="142">
                  <c:v>6.62</c:v>
                </c:pt>
                <c:pt idx="143">
                  <c:v>6.55</c:v>
                </c:pt>
                <c:pt idx="144">
                  <c:v>6.49</c:v>
                </c:pt>
                <c:pt idx="145">
                  <c:v>6.43</c:v>
                </c:pt>
                <c:pt idx="146">
                  <c:v>6.38</c:v>
                </c:pt>
                <c:pt idx="147">
                  <c:v>6.36</c:v>
                </c:pt>
                <c:pt idx="148">
                  <c:v>6.35</c:v>
                </c:pt>
                <c:pt idx="149">
                  <c:v>6.37</c:v>
                </c:pt>
                <c:pt idx="150">
                  <c:v>6.41</c:v>
                </c:pt>
                <c:pt idx="151">
                  <c:v>6.46</c:v>
                </c:pt>
                <c:pt idx="152">
                  <c:v>6.52</c:v>
                </c:pt>
                <c:pt idx="153">
                  <c:v>6.57</c:v>
                </c:pt>
                <c:pt idx="154">
                  <c:v>6.62</c:v>
                </c:pt>
                <c:pt idx="155">
                  <c:v>6.66</c:v>
                </c:pt>
                <c:pt idx="156">
                  <c:v>6.7</c:v>
                </c:pt>
                <c:pt idx="157">
                  <c:v>6.73</c:v>
                </c:pt>
                <c:pt idx="158">
                  <c:v>6.76</c:v>
                </c:pt>
                <c:pt idx="159">
                  <c:v>6.8</c:v>
                </c:pt>
                <c:pt idx="160">
                  <c:v>6.84</c:v>
                </c:pt>
                <c:pt idx="161">
                  <c:v>6.89</c:v>
                </c:pt>
                <c:pt idx="162">
                  <c:v>6.94</c:v>
                </c:pt>
                <c:pt idx="163">
                  <c:v>6.99</c:v>
                </c:pt>
                <c:pt idx="164">
                  <c:v>7.05</c:v>
                </c:pt>
                <c:pt idx="165">
                  <c:v>7.11</c:v>
                </c:pt>
                <c:pt idx="166">
                  <c:v>7.17</c:v>
                </c:pt>
                <c:pt idx="167">
                  <c:v>7.23</c:v>
                </c:pt>
                <c:pt idx="168">
                  <c:v>7.29</c:v>
                </c:pt>
                <c:pt idx="169">
                  <c:v>7.32</c:v>
                </c:pt>
                <c:pt idx="170">
                  <c:v>7.45</c:v>
                </c:pt>
                <c:pt idx="171">
                  <c:v>8.1199999999999992</c:v>
                </c:pt>
                <c:pt idx="172">
                  <c:v>8.08</c:v>
                </c:pt>
                <c:pt idx="173">
                  <c:v>9.3000000000000007</c:v>
                </c:pt>
                <c:pt idx="174">
                  <c:v>9.24</c:v>
                </c:pt>
                <c:pt idx="175">
                  <c:v>9.17</c:v>
                </c:pt>
                <c:pt idx="176">
                  <c:v>9.1199999999999992</c:v>
                </c:pt>
                <c:pt idx="177">
                  <c:v>9.08</c:v>
                </c:pt>
                <c:pt idx="178">
                  <c:v>9.06</c:v>
                </c:pt>
                <c:pt idx="179">
                  <c:v>9.07</c:v>
                </c:pt>
                <c:pt idx="180">
                  <c:v>9.08</c:v>
                </c:pt>
                <c:pt idx="181">
                  <c:v>9.11</c:v>
                </c:pt>
                <c:pt idx="182">
                  <c:v>9.14</c:v>
                </c:pt>
                <c:pt idx="183">
                  <c:v>9.15</c:v>
                </c:pt>
                <c:pt idx="184">
                  <c:v>9.1300000000000008</c:v>
                </c:pt>
                <c:pt idx="185">
                  <c:v>9.08</c:v>
                </c:pt>
                <c:pt idx="186">
                  <c:v>8.98</c:v>
                </c:pt>
                <c:pt idx="187">
                  <c:v>8.84</c:v>
                </c:pt>
                <c:pt idx="188">
                  <c:v>8.68</c:v>
                </c:pt>
                <c:pt idx="189">
                  <c:v>8.51</c:v>
                </c:pt>
                <c:pt idx="190">
                  <c:v>8.33</c:v>
                </c:pt>
                <c:pt idx="191">
                  <c:v>8.15</c:v>
                </c:pt>
                <c:pt idx="192">
                  <c:v>7.98</c:v>
                </c:pt>
                <c:pt idx="193">
                  <c:v>7.82</c:v>
                </c:pt>
                <c:pt idx="194">
                  <c:v>7.68</c:v>
                </c:pt>
                <c:pt idx="195">
                  <c:v>7.57</c:v>
                </c:pt>
                <c:pt idx="196">
                  <c:v>7.47</c:v>
                </c:pt>
                <c:pt idx="197">
                  <c:v>7.41</c:v>
                </c:pt>
                <c:pt idx="198">
                  <c:v>7.36</c:v>
                </c:pt>
                <c:pt idx="199">
                  <c:v>7.34</c:v>
                </c:pt>
                <c:pt idx="200">
                  <c:v>7.32</c:v>
                </c:pt>
                <c:pt idx="201">
                  <c:v>7.3</c:v>
                </c:pt>
                <c:pt idx="202">
                  <c:v>7.29</c:v>
                </c:pt>
                <c:pt idx="203">
                  <c:v>7.29</c:v>
                </c:pt>
                <c:pt idx="204">
                  <c:v>7.3</c:v>
                </c:pt>
                <c:pt idx="205">
                  <c:v>7.32</c:v>
                </c:pt>
                <c:pt idx="206">
                  <c:v>7.37</c:v>
                </c:pt>
                <c:pt idx="207">
                  <c:v>7.43</c:v>
                </c:pt>
                <c:pt idx="208">
                  <c:v>7.5</c:v>
                </c:pt>
                <c:pt idx="209">
                  <c:v>7.58</c:v>
                </c:pt>
                <c:pt idx="210">
                  <c:v>7.67</c:v>
                </c:pt>
                <c:pt idx="211">
                  <c:v>7.78</c:v>
                </c:pt>
                <c:pt idx="212">
                  <c:v>7.89</c:v>
                </c:pt>
                <c:pt idx="213">
                  <c:v>7.98</c:v>
                </c:pt>
                <c:pt idx="214">
                  <c:v>8.07</c:v>
                </c:pt>
                <c:pt idx="215">
                  <c:v>8.14</c:v>
                </c:pt>
                <c:pt idx="216">
                  <c:v>8.1999999999999993</c:v>
                </c:pt>
                <c:pt idx="217">
                  <c:v>8.24</c:v>
                </c:pt>
                <c:pt idx="218">
                  <c:v>8.26</c:v>
                </c:pt>
                <c:pt idx="219">
                  <c:v>8.2899999999999991</c:v>
                </c:pt>
                <c:pt idx="220">
                  <c:v>8.32</c:v>
                </c:pt>
                <c:pt idx="221">
                  <c:v>8.36</c:v>
                </c:pt>
                <c:pt idx="222">
                  <c:v>8.41</c:v>
                </c:pt>
                <c:pt idx="223">
                  <c:v>8.4700000000000006</c:v>
                </c:pt>
                <c:pt idx="224">
                  <c:v>8.5500000000000007</c:v>
                </c:pt>
                <c:pt idx="225">
                  <c:v>8.6300000000000008</c:v>
                </c:pt>
                <c:pt idx="226">
                  <c:v>8.7200000000000006</c:v>
                </c:pt>
                <c:pt idx="227">
                  <c:v>8.82</c:v>
                </c:pt>
                <c:pt idx="228">
                  <c:v>8.91</c:v>
                </c:pt>
                <c:pt idx="229">
                  <c:v>8.99</c:v>
                </c:pt>
              </c:numCache>
            </c:numRef>
          </c:val>
          <c:smooth val="0"/>
          <c:extLst>
            <c:ext xmlns:c16="http://schemas.microsoft.com/office/drawing/2014/chart" uri="{C3380CC4-5D6E-409C-BE32-E72D297353CC}">
              <c16:uniqueId val="{00000000-2E58-4E21-9737-B3939AF4529C}"/>
            </c:ext>
          </c:extLst>
        </c:ser>
        <c:dLbls>
          <c:showLegendKey val="0"/>
          <c:showVal val="0"/>
          <c:showCatName val="0"/>
          <c:showSerName val="0"/>
          <c:showPercent val="0"/>
          <c:showBubbleSize val="0"/>
        </c:dLbls>
        <c:smooth val="0"/>
        <c:axId val="810824000"/>
        <c:axId val="810818752"/>
      </c:lineChart>
      <c:dateAx>
        <c:axId val="810824000"/>
        <c:scaling>
          <c:orientation val="minMax"/>
        </c:scaling>
        <c:delete val="0"/>
        <c:axPos val="b"/>
        <c:numFmt formatCode="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810818752"/>
        <c:crosses val="autoZero"/>
        <c:auto val="1"/>
        <c:lblOffset val="100"/>
        <c:baseTimeUnit val="months"/>
        <c:majorUnit val="1"/>
        <c:majorTimeUnit val="years"/>
      </c:dateAx>
      <c:valAx>
        <c:axId val="810818752"/>
        <c:scaling>
          <c:orientation val="minMax"/>
          <c:min val="5"/>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810824000"/>
        <c:crosses val="autoZero"/>
        <c:crossBetween val="between"/>
        <c:majorUnit val="1"/>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Blad1!$B$3</c:f>
              <c:strCache>
                <c:ptCount val="1"/>
                <c:pt idx="0">
                  <c:v>EU-27</c:v>
                </c:pt>
              </c:strCache>
            </c:strRef>
          </c:tx>
          <c:spPr>
            <a:ln w="28575" cap="rnd">
              <a:solidFill>
                <a:schemeClr val="accent1"/>
              </a:solidFill>
              <a:round/>
            </a:ln>
            <a:effectLst/>
          </c:spPr>
          <c:marker>
            <c:symbol val="none"/>
          </c:marker>
          <c:cat>
            <c:numRef>
              <c:f>Blad1!$C$2:$AB$2</c:f>
              <c:numCache>
                <c:formatCode>m/d/yyyy</c:formatCode>
                <c:ptCount val="26"/>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pt idx="16">
                  <c:v>45413</c:v>
                </c:pt>
                <c:pt idx="17">
                  <c:v>45444</c:v>
                </c:pt>
                <c:pt idx="18">
                  <c:v>45474</c:v>
                </c:pt>
                <c:pt idx="19">
                  <c:v>45505</c:v>
                </c:pt>
                <c:pt idx="20">
                  <c:v>45536</c:v>
                </c:pt>
                <c:pt idx="21">
                  <c:v>45566</c:v>
                </c:pt>
                <c:pt idx="22">
                  <c:v>45597</c:v>
                </c:pt>
                <c:pt idx="23">
                  <c:v>45627</c:v>
                </c:pt>
                <c:pt idx="24">
                  <c:v>45658</c:v>
                </c:pt>
                <c:pt idx="25">
                  <c:v>45689</c:v>
                </c:pt>
              </c:numCache>
            </c:numRef>
          </c:cat>
          <c:val>
            <c:numRef>
              <c:f>Blad1!$C$3:$AB$3</c:f>
              <c:numCache>
                <c:formatCode>General</c:formatCode>
                <c:ptCount val="26"/>
                <c:pt idx="0">
                  <c:v>6.1</c:v>
                </c:pt>
                <c:pt idx="1">
                  <c:v>6.1</c:v>
                </c:pt>
                <c:pt idx="2">
                  <c:v>6</c:v>
                </c:pt>
                <c:pt idx="3">
                  <c:v>6</c:v>
                </c:pt>
                <c:pt idx="4">
                  <c:v>6</c:v>
                </c:pt>
                <c:pt idx="5">
                  <c:v>6</c:v>
                </c:pt>
                <c:pt idx="6">
                  <c:v>6</c:v>
                </c:pt>
                <c:pt idx="7">
                  <c:v>6</c:v>
                </c:pt>
                <c:pt idx="8">
                  <c:v>6.1</c:v>
                </c:pt>
                <c:pt idx="9">
                  <c:v>6.1</c:v>
                </c:pt>
                <c:pt idx="10">
                  <c:v>6.1</c:v>
                </c:pt>
                <c:pt idx="11">
                  <c:v>6</c:v>
                </c:pt>
                <c:pt idx="12">
                  <c:v>6.1</c:v>
                </c:pt>
                <c:pt idx="13">
                  <c:v>6.1</c:v>
                </c:pt>
                <c:pt idx="14">
                  <c:v>6</c:v>
                </c:pt>
                <c:pt idx="15">
                  <c:v>6</c:v>
                </c:pt>
                <c:pt idx="16">
                  <c:v>6</c:v>
                </c:pt>
                <c:pt idx="17">
                  <c:v>6</c:v>
                </c:pt>
                <c:pt idx="18">
                  <c:v>6</c:v>
                </c:pt>
                <c:pt idx="19">
                  <c:v>5.9</c:v>
                </c:pt>
                <c:pt idx="20">
                  <c:v>5.9</c:v>
                </c:pt>
                <c:pt idx="21">
                  <c:v>5.8</c:v>
                </c:pt>
                <c:pt idx="22">
                  <c:v>5.8</c:v>
                </c:pt>
                <c:pt idx="23">
                  <c:v>5.8</c:v>
                </c:pt>
                <c:pt idx="24">
                  <c:v>5.8</c:v>
                </c:pt>
              </c:numCache>
            </c:numRef>
          </c:val>
          <c:smooth val="0"/>
          <c:extLst>
            <c:ext xmlns:c16="http://schemas.microsoft.com/office/drawing/2014/chart" uri="{C3380CC4-5D6E-409C-BE32-E72D297353CC}">
              <c16:uniqueId val="{00000000-FAD9-4AC7-B79E-6B2FEE194DA1}"/>
            </c:ext>
          </c:extLst>
        </c:ser>
        <c:ser>
          <c:idx val="1"/>
          <c:order val="1"/>
          <c:tx>
            <c:strRef>
              <c:f>Blad1!$B$4</c:f>
              <c:strCache>
                <c:ptCount val="1"/>
                <c:pt idx="0">
                  <c:v>Sverige</c:v>
                </c:pt>
              </c:strCache>
            </c:strRef>
          </c:tx>
          <c:spPr>
            <a:ln w="28575" cap="rnd">
              <a:solidFill>
                <a:schemeClr val="accent2"/>
              </a:solidFill>
              <a:round/>
            </a:ln>
            <a:effectLst/>
          </c:spPr>
          <c:marker>
            <c:symbol val="none"/>
          </c:marker>
          <c:cat>
            <c:numRef>
              <c:f>Blad1!$C$2:$AB$2</c:f>
              <c:numCache>
                <c:formatCode>m/d/yyyy</c:formatCode>
                <c:ptCount val="26"/>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pt idx="16">
                  <c:v>45413</c:v>
                </c:pt>
                <c:pt idx="17">
                  <c:v>45444</c:v>
                </c:pt>
                <c:pt idx="18">
                  <c:v>45474</c:v>
                </c:pt>
                <c:pt idx="19">
                  <c:v>45505</c:v>
                </c:pt>
                <c:pt idx="20">
                  <c:v>45536</c:v>
                </c:pt>
                <c:pt idx="21">
                  <c:v>45566</c:v>
                </c:pt>
                <c:pt idx="22">
                  <c:v>45597</c:v>
                </c:pt>
                <c:pt idx="23">
                  <c:v>45627</c:v>
                </c:pt>
                <c:pt idx="24">
                  <c:v>45658</c:v>
                </c:pt>
                <c:pt idx="25">
                  <c:v>45689</c:v>
                </c:pt>
              </c:numCache>
            </c:numRef>
          </c:cat>
          <c:val>
            <c:numRef>
              <c:f>Blad1!$C$4:$AB$4</c:f>
              <c:numCache>
                <c:formatCode>General</c:formatCode>
                <c:ptCount val="26"/>
                <c:pt idx="0">
                  <c:v>7.1</c:v>
                </c:pt>
                <c:pt idx="1">
                  <c:v>7.7</c:v>
                </c:pt>
                <c:pt idx="2">
                  <c:v>7.1</c:v>
                </c:pt>
                <c:pt idx="3">
                  <c:v>7.1</c:v>
                </c:pt>
                <c:pt idx="4">
                  <c:v>7.3</c:v>
                </c:pt>
                <c:pt idx="5">
                  <c:v>8</c:v>
                </c:pt>
                <c:pt idx="6">
                  <c:v>7.1</c:v>
                </c:pt>
                <c:pt idx="7">
                  <c:v>8.1999999999999993</c:v>
                </c:pt>
                <c:pt idx="8">
                  <c:v>8.1</c:v>
                </c:pt>
                <c:pt idx="9">
                  <c:v>8</c:v>
                </c:pt>
                <c:pt idx="10">
                  <c:v>8.1</c:v>
                </c:pt>
                <c:pt idx="11">
                  <c:v>8.3000000000000007</c:v>
                </c:pt>
                <c:pt idx="12">
                  <c:v>7.9</c:v>
                </c:pt>
                <c:pt idx="13">
                  <c:v>8.1</c:v>
                </c:pt>
                <c:pt idx="14">
                  <c:v>8.6</c:v>
                </c:pt>
                <c:pt idx="15">
                  <c:v>8.4</c:v>
                </c:pt>
                <c:pt idx="16">
                  <c:v>8.1999999999999993</c:v>
                </c:pt>
                <c:pt idx="17">
                  <c:v>8.1999999999999993</c:v>
                </c:pt>
                <c:pt idx="18">
                  <c:v>8.6</c:v>
                </c:pt>
                <c:pt idx="19">
                  <c:v>8.3000000000000007</c:v>
                </c:pt>
                <c:pt idx="20">
                  <c:v>8.6999999999999993</c:v>
                </c:pt>
                <c:pt idx="21">
                  <c:v>8.4</c:v>
                </c:pt>
                <c:pt idx="22">
                  <c:v>8.4</c:v>
                </c:pt>
                <c:pt idx="23">
                  <c:v>8.6</c:v>
                </c:pt>
                <c:pt idx="24">
                  <c:v>9.6999999999999993</c:v>
                </c:pt>
                <c:pt idx="25">
                  <c:v>8.9</c:v>
                </c:pt>
              </c:numCache>
            </c:numRef>
          </c:val>
          <c:smooth val="0"/>
          <c:extLst>
            <c:ext xmlns:c16="http://schemas.microsoft.com/office/drawing/2014/chart" uri="{C3380CC4-5D6E-409C-BE32-E72D297353CC}">
              <c16:uniqueId val="{00000001-FAD9-4AC7-B79E-6B2FEE194DA1}"/>
            </c:ext>
          </c:extLst>
        </c:ser>
        <c:dLbls>
          <c:showLegendKey val="0"/>
          <c:showVal val="0"/>
          <c:showCatName val="0"/>
          <c:showSerName val="0"/>
          <c:showPercent val="0"/>
          <c:showBubbleSize val="0"/>
        </c:dLbls>
        <c:smooth val="0"/>
        <c:axId val="1085237416"/>
        <c:axId val="1085243648"/>
      </c:lineChart>
      <c:dateAx>
        <c:axId val="1085237416"/>
        <c:scaling>
          <c:orientation val="minMax"/>
        </c:scaling>
        <c:delete val="0"/>
        <c:axPos val="b"/>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085243648"/>
        <c:crosses val="autoZero"/>
        <c:auto val="1"/>
        <c:lblOffset val="100"/>
        <c:baseTimeUnit val="months"/>
        <c:majorUnit val="1"/>
        <c:majorTimeUnit val="years"/>
      </c:dateAx>
      <c:valAx>
        <c:axId val="1085243648"/>
        <c:scaling>
          <c:orientation val="minMax"/>
          <c:min val="5"/>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085237416"/>
        <c:crosses val="autoZero"/>
        <c:crossBetween val="between"/>
        <c:maj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PR0101F1!$G$12</c:f>
              <c:strCache>
                <c:ptCount val="1"/>
                <c:pt idx="0">
                  <c:v>KPIF</c:v>
                </c:pt>
              </c:strCache>
            </c:strRef>
          </c:tx>
          <c:spPr>
            <a:ln w="28575" cap="rnd">
              <a:solidFill>
                <a:schemeClr val="accent1"/>
              </a:solidFill>
              <a:round/>
            </a:ln>
            <a:effectLst/>
          </c:spPr>
          <c:marker>
            <c:symbol val="none"/>
          </c:marker>
          <c:cat>
            <c:numRef>
              <c:f>PR0101F1!$H$11:$BR$11</c:f>
              <c:numCache>
                <c:formatCode>m/d/yyyy</c:formatCode>
                <c:ptCount val="63"/>
                <c:pt idx="0">
                  <c:v>43831</c:v>
                </c:pt>
                <c:pt idx="1">
                  <c:v>43862</c:v>
                </c:pt>
                <c:pt idx="2">
                  <c:v>43891</c:v>
                </c:pt>
                <c:pt idx="3">
                  <c:v>43922</c:v>
                </c:pt>
                <c:pt idx="4">
                  <c:v>43952</c:v>
                </c:pt>
                <c:pt idx="5">
                  <c:v>43983</c:v>
                </c:pt>
                <c:pt idx="6">
                  <c:v>44013</c:v>
                </c:pt>
                <c:pt idx="7">
                  <c:v>44044</c:v>
                </c:pt>
                <c:pt idx="8">
                  <c:v>44075</c:v>
                </c:pt>
                <c:pt idx="9">
                  <c:v>44105</c:v>
                </c:pt>
                <c:pt idx="10">
                  <c:v>44136</c:v>
                </c:pt>
                <c:pt idx="11">
                  <c:v>44166</c:v>
                </c:pt>
                <c:pt idx="12">
                  <c:v>44197</c:v>
                </c:pt>
                <c:pt idx="13">
                  <c:v>44228</c:v>
                </c:pt>
                <c:pt idx="14">
                  <c:v>44256</c:v>
                </c:pt>
                <c:pt idx="15">
                  <c:v>44287</c:v>
                </c:pt>
                <c:pt idx="16">
                  <c:v>44317</c:v>
                </c:pt>
                <c:pt idx="17">
                  <c:v>44348</c:v>
                </c:pt>
                <c:pt idx="18">
                  <c:v>44378</c:v>
                </c:pt>
                <c:pt idx="19">
                  <c:v>44409</c:v>
                </c:pt>
                <c:pt idx="20">
                  <c:v>44440</c:v>
                </c:pt>
                <c:pt idx="21">
                  <c:v>44470</c:v>
                </c:pt>
                <c:pt idx="22">
                  <c:v>44501</c:v>
                </c:pt>
                <c:pt idx="23">
                  <c:v>44531</c:v>
                </c:pt>
                <c:pt idx="24">
                  <c:v>44562</c:v>
                </c:pt>
                <c:pt idx="25">
                  <c:v>44593</c:v>
                </c:pt>
                <c:pt idx="26">
                  <c:v>44621</c:v>
                </c:pt>
                <c:pt idx="27">
                  <c:v>44652</c:v>
                </c:pt>
                <c:pt idx="28">
                  <c:v>44682</c:v>
                </c:pt>
                <c:pt idx="29">
                  <c:v>44713</c:v>
                </c:pt>
                <c:pt idx="30">
                  <c:v>44743</c:v>
                </c:pt>
                <c:pt idx="31">
                  <c:v>44774</c:v>
                </c:pt>
                <c:pt idx="32">
                  <c:v>44805</c:v>
                </c:pt>
                <c:pt idx="33">
                  <c:v>44835</c:v>
                </c:pt>
                <c:pt idx="34">
                  <c:v>44866</c:v>
                </c:pt>
                <c:pt idx="35">
                  <c:v>44896</c:v>
                </c:pt>
                <c:pt idx="36">
                  <c:v>44927</c:v>
                </c:pt>
                <c:pt idx="37">
                  <c:v>44958</c:v>
                </c:pt>
                <c:pt idx="38">
                  <c:v>44986</c:v>
                </c:pt>
                <c:pt idx="39">
                  <c:v>45017</c:v>
                </c:pt>
                <c:pt idx="40">
                  <c:v>45047</c:v>
                </c:pt>
                <c:pt idx="41">
                  <c:v>45078</c:v>
                </c:pt>
                <c:pt idx="42">
                  <c:v>45108</c:v>
                </c:pt>
                <c:pt idx="43">
                  <c:v>45139</c:v>
                </c:pt>
                <c:pt idx="44">
                  <c:v>45170</c:v>
                </c:pt>
                <c:pt idx="45">
                  <c:v>45200</c:v>
                </c:pt>
                <c:pt idx="46">
                  <c:v>45231</c:v>
                </c:pt>
                <c:pt idx="47">
                  <c:v>45261</c:v>
                </c:pt>
                <c:pt idx="48">
                  <c:v>45292</c:v>
                </c:pt>
                <c:pt idx="49">
                  <c:v>45323</c:v>
                </c:pt>
                <c:pt idx="50">
                  <c:v>45352</c:v>
                </c:pt>
                <c:pt idx="51">
                  <c:v>45383</c:v>
                </c:pt>
                <c:pt idx="52">
                  <c:v>45413</c:v>
                </c:pt>
                <c:pt idx="53">
                  <c:v>45444</c:v>
                </c:pt>
                <c:pt idx="54">
                  <c:v>45474</c:v>
                </c:pt>
                <c:pt idx="55">
                  <c:v>45505</c:v>
                </c:pt>
                <c:pt idx="56">
                  <c:v>45536</c:v>
                </c:pt>
                <c:pt idx="57">
                  <c:v>45566</c:v>
                </c:pt>
                <c:pt idx="58">
                  <c:v>45597</c:v>
                </c:pt>
                <c:pt idx="59">
                  <c:v>45627</c:v>
                </c:pt>
                <c:pt idx="60">
                  <c:v>45658</c:v>
                </c:pt>
                <c:pt idx="61">
                  <c:v>45689</c:v>
                </c:pt>
                <c:pt idx="62">
                  <c:v>45717</c:v>
                </c:pt>
              </c:numCache>
            </c:numRef>
          </c:cat>
          <c:val>
            <c:numRef>
              <c:f>PR0101F1!$H$12:$BR$12</c:f>
              <c:numCache>
                <c:formatCode>General</c:formatCode>
                <c:ptCount val="63"/>
                <c:pt idx="0">
                  <c:v>1.2</c:v>
                </c:pt>
                <c:pt idx="1">
                  <c:v>1</c:v>
                </c:pt>
                <c:pt idx="2">
                  <c:v>0.6</c:v>
                </c:pt>
                <c:pt idx="3">
                  <c:v>-0.4</c:v>
                </c:pt>
                <c:pt idx="4">
                  <c:v>0</c:v>
                </c:pt>
                <c:pt idx="5">
                  <c:v>0.7</c:v>
                </c:pt>
                <c:pt idx="6">
                  <c:v>0.5</c:v>
                </c:pt>
                <c:pt idx="7">
                  <c:v>0.7</c:v>
                </c:pt>
                <c:pt idx="8">
                  <c:v>0.3</c:v>
                </c:pt>
                <c:pt idx="9">
                  <c:v>0.3</c:v>
                </c:pt>
                <c:pt idx="10">
                  <c:v>0.2</c:v>
                </c:pt>
                <c:pt idx="11">
                  <c:v>0.5</c:v>
                </c:pt>
                <c:pt idx="12">
                  <c:v>1.7</c:v>
                </c:pt>
                <c:pt idx="13">
                  <c:v>1.5</c:v>
                </c:pt>
                <c:pt idx="14">
                  <c:v>1.9</c:v>
                </c:pt>
                <c:pt idx="15">
                  <c:v>2.5</c:v>
                </c:pt>
                <c:pt idx="16">
                  <c:v>2.1</c:v>
                </c:pt>
                <c:pt idx="17">
                  <c:v>1.6</c:v>
                </c:pt>
                <c:pt idx="18">
                  <c:v>1.7</c:v>
                </c:pt>
                <c:pt idx="19">
                  <c:v>2.4</c:v>
                </c:pt>
                <c:pt idx="20">
                  <c:v>2.8</c:v>
                </c:pt>
                <c:pt idx="21">
                  <c:v>3.1</c:v>
                </c:pt>
                <c:pt idx="22">
                  <c:v>3.6</c:v>
                </c:pt>
                <c:pt idx="23">
                  <c:v>4.0999999999999996</c:v>
                </c:pt>
                <c:pt idx="24">
                  <c:v>3.9</c:v>
                </c:pt>
                <c:pt idx="25">
                  <c:v>4.5</c:v>
                </c:pt>
                <c:pt idx="26">
                  <c:v>6.1</c:v>
                </c:pt>
                <c:pt idx="27">
                  <c:v>6.4</c:v>
                </c:pt>
                <c:pt idx="28">
                  <c:v>7.2</c:v>
                </c:pt>
                <c:pt idx="29">
                  <c:v>8.5</c:v>
                </c:pt>
                <c:pt idx="30">
                  <c:v>8</c:v>
                </c:pt>
                <c:pt idx="31">
                  <c:v>9</c:v>
                </c:pt>
                <c:pt idx="32">
                  <c:v>9.6999999999999993</c:v>
                </c:pt>
                <c:pt idx="33">
                  <c:v>9.3000000000000007</c:v>
                </c:pt>
                <c:pt idx="34">
                  <c:v>9.5</c:v>
                </c:pt>
                <c:pt idx="35">
                  <c:v>10.199999999999999</c:v>
                </c:pt>
                <c:pt idx="36">
                  <c:v>9.3000000000000007</c:v>
                </c:pt>
                <c:pt idx="37">
                  <c:v>9.4</c:v>
                </c:pt>
                <c:pt idx="38">
                  <c:v>8</c:v>
                </c:pt>
                <c:pt idx="39">
                  <c:v>7.6</c:v>
                </c:pt>
                <c:pt idx="40">
                  <c:v>6.7</c:v>
                </c:pt>
                <c:pt idx="41">
                  <c:v>6.4</c:v>
                </c:pt>
                <c:pt idx="42">
                  <c:v>6.4</c:v>
                </c:pt>
                <c:pt idx="43">
                  <c:v>4.7</c:v>
                </c:pt>
                <c:pt idx="44">
                  <c:v>4</c:v>
                </c:pt>
                <c:pt idx="45">
                  <c:v>4.2</c:v>
                </c:pt>
                <c:pt idx="46">
                  <c:v>3.6</c:v>
                </c:pt>
                <c:pt idx="47">
                  <c:v>2.2999999999999998</c:v>
                </c:pt>
                <c:pt idx="48">
                  <c:v>3.3</c:v>
                </c:pt>
                <c:pt idx="49">
                  <c:v>2.5</c:v>
                </c:pt>
                <c:pt idx="50">
                  <c:v>2.2000000000000002</c:v>
                </c:pt>
                <c:pt idx="51">
                  <c:v>2.2999999999999998</c:v>
                </c:pt>
                <c:pt idx="52">
                  <c:v>2.2999999999999998</c:v>
                </c:pt>
                <c:pt idx="53">
                  <c:v>1.3</c:v>
                </c:pt>
                <c:pt idx="54">
                  <c:v>1.7</c:v>
                </c:pt>
                <c:pt idx="55">
                  <c:v>1.2</c:v>
                </c:pt>
                <c:pt idx="56">
                  <c:v>1.1000000000000001</c:v>
                </c:pt>
                <c:pt idx="57">
                  <c:v>1.5</c:v>
                </c:pt>
                <c:pt idx="58">
                  <c:v>1.8</c:v>
                </c:pt>
                <c:pt idx="59">
                  <c:v>1.5</c:v>
                </c:pt>
                <c:pt idx="60">
                  <c:v>2.2000000000000002</c:v>
                </c:pt>
                <c:pt idx="61">
                  <c:v>2.9</c:v>
                </c:pt>
                <c:pt idx="62">
                  <c:v>2.2999999999999998</c:v>
                </c:pt>
              </c:numCache>
            </c:numRef>
          </c:val>
          <c:smooth val="0"/>
          <c:extLst>
            <c:ext xmlns:c16="http://schemas.microsoft.com/office/drawing/2014/chart" uri="{C3380CC4-5D6E-409C-BE32-E72D297353CC}">
              <c16:uniqueId val="{00000000-6E66-4B00-BE07-742D0356D0CE}"/>
            </c:ext>
          </c:extLst>
        </c:ser>
        <c:ser>
          <c:idx val="1"/>
          <c:order val="1"/>
          <c:tx>
            <c:strRef>
              <c:f>PR0101F1!$G$13</c:f>
              <c:strCache>
                <c:ptCount val="1"/>
                <c:pt idx="0">
                  <c:v>KPIF (exkl. energi)</c:v>
                </c:pt>
              </c:strCache>
            </c:strRef>
          </c:tx>
          <c:spPr>
            <a:ln w="28575" cap="rnd">
              <a:solidFill>
                <a:schemeClr val="accent2"/>
              </a:solidFill>
              <a:round/>
            </a:ln>
            <a:effectLst/>
          </c:spPr>
          <c:marker>
            <c:symbol val="none"/>
          </c:marker>
          <c:cat>
            <c:numRef>
              <c:f>PR0101F1!$H$11:$BR$11</c:f>
              <c:numCache>
                <c:formatCode>m/d/yyyy</c:formatCode>
                <c:ptCount val="63"/>
                <c:pt idx="0">
                  <c:v>43831</c:v>
                </c:pt>
                <c:pt idx="1">
                  <c:v>43862</c:v>
                </c:pt>
                <c:pt idx="2">
                  <c:v>43891</c:v>
                </c:pt>
                <c:pt idx="3">
                  <c:v>43922</c:v>
                </c:pt>
                <c:pt idx="4">
                  <c:v>43952</c:v>
                </c:pt>
                <c:pt idx="5">
                  <c:v>43983</c:v>
                </c:pt>
                <c:pt idx="6">
                  <c:v>44013</c:v>
                </c:pt>
                <c:pt idx="7">
                  <c:v>44044</c:v>
                </c:pt>
                <c:pt idx="8">
                  <c:v>44075</c:v>
                </c:pt>
                <c:pt idx="9">
                  <c:v>44105</c:v>
                </c:pt>
                <c:pt idx="10">
                  <c:v>44136</c:v>
                </c:pt>
                <c:pt idx="11">
                  <c:v>44166</c:v>
                </c:pt>
                <c:pt idx="12">
                  <c:v>44197</c:v>
                </c:pt>
                <c:pt idx="13">
                  <c:v>44228</c:v>
                </c:pt>
                <c:pt idx="14">
                  <c:v>44256</c:v>
                </c:pt>
                <c:pt idx="15">
                  <c:v>44287</c:v>
                </c:pt>
                <c:pt idx="16">
                  <c:v>44317</c:v>
                </c:pt>
                <c:pt idx="17">
                  <c:v>44348</c:v>
                </c:pt>
                <c:pt idx="18">
                  <c:v>44378</c:v>
                </c:pt>
                <c:pt idx="19">
                  <c:v>44409</c:v>
                </c:pt>
                <c:pt idx="20">
                  <c:v>44440</c:v>
                </c:pt>
                <c:pt idx="21">
                  <c:v>44470</c:v>
                </c:pt>
                <c:pt idx="22">
                  <c:v>44501</c:v>
                </c:pt>
                <c:pt idx="23">
                  <c:v>44531</c:v>
                </c:pt>
                <c:pt idx="24">
                  <c:v>44562</c:v>
                </c:pt>
                <c:pt idx="25">
                  <c:v>44593</c:v>
                </c:pt>
                <c:pt idx="26">
                  <c:v>44621</c:v>
                </c:pt>
                <c:pt idx="27">
                  <c:v>44652</c:v>
                </c:pt>
                <c:pt idx="28">
                  <c:v>44682</c:v>
                </c:pt>
                <c:pt idx="29">
                  <c:v>44713</c:v>
                </c:pt>
                <c:pt idx="30">
                  <c:v>44743</c:v>
                </c:pt>
                <c:pt idx="31">
                  <c:v>44774</c:v>
                </c:pt>
                <c:pt idx="32">
                  <c:v>44805</c:v>
                </c:pt>
                <c:pt idx="33">
                  <c:v>44835</c:v>
                </c:pt>
                <c:pt idx="34">
                  <c:v>44866</c:v>
                </c:pt>
                <c:pt idx="35">
                  <c:v>44896</c:v>
                </c:pt>
                <c:pt idx="36">
                  <c:v>44927</c:v>
                </c:pt>
                <c:pt idx="37">
                  <c:v>44958</c:v>
                </c:pt>
                <c:pt idx="38">
                  <c:v>44986</c:v>
                </c:pt>
                <c:pt idx="39">
                  <c:v>45017</c:v>
                </c:pt>
                <c:pt idx="40">
                  <c:v>45047</c:v>
                </c:pt>
                <c:pt idx="41">
                  <c:v>45078</c:v>
                </c:pt>
                <c:pt idx="42">
                  <c:v>45108</c:v>
                </c:pt>
                <c:pt idx="43">
                  <c:v>45139</c:v>
                </c:pt>
                <c:pt idx="44">
                  <c:v>45170</c:v>
                </c:pt>
                <c:pt idx="45">
                  <c:v>45200</c:v>
                </c:pt>
                <c:pt idx="46">
                  <c:v>45231</c:v>
                </c:pt>
                <c:pt idx="47">
                  <c:v>45261</c:v>
                </c:pt>
                <c:pt idx="48">
                  <c:v>45292</c:v>
                </c:pt>
                <c:pt idx="49">
                  <c:v>45323</c:v>
                </c:pt>
                <c:pt idx="50">
                  <c:v>45352</c:v>
                </c:pt>
                <c:pt idx="51">
                  <c:v>45383</c:v>
                </c:pt>
                <c:pt idx="52">
                  <c:v>45413</c:v>
                </c:pt>
                <c:pt idx="53">
                  <c:v>45444</c:v>
                </c:pt>
                <c:pt idx="54">
                  <c:v>45474</c:v>
                </c:pt>
                <c:pt idx="55">
                  <c:v>45505</c:v>
                </c:pt>
                <c:pt idx="56">
                  <c:v>45536</c:v>
                </c:pt>
                <c:pt idx="57">
                  <c:v>45566</c:v>
                </c:pt>
                <c:pt idx="58">
                  <c:v>45597</c:v>
                </c:pt>
                <c:pt idx="59">
                  <c:v>45627</c:v>
                </c:pt>
                <c:pt idx="60">
                  <c:v>45658</c:v>
                </c:pt>
                <c:pt idx="61">
                  <c:v>45689</c:v>
                </c:pt>
                <c:pt idx="62">
                  <c:v>45717</c:v>
                </c:pt>
              </c:numCache>
            </c:numRef>
          </c:cat>
          <c:val>
            <c:numRef>
              <c:f>PR0101F1!$H$13:$BR$13</c:f>
              <c:numCache>
                <c:formatCode>0.0</c:formatCode>
                <c:ptCount val="63"/>
                <c:pt idx="0">
                  <c:v>1.6</c:v>
                </c:pt>
                <c:pt idx="1">
                  <c:v>1.6</c:v>
                </c:pt>
                <c:pt idx="2">
                  <c:v>1.5</c:v>
                </c:pt>
                <c:pt idx="3">
                  <c:v>1</c:v>
                </c:pt>
                <c:pt idx="4">
                  <c:v>1.2</c:v>
                </c:pt>
                <c:pt idx="5">
                  <c:v>1.3</c:v>
                </c:pt>
                <c:pt idx="6">
                  <c:v>1.5</c:v>
                </c:pt>
                <c:pt idx="7">
                  <c:v>1.4</c:v>
                </c:pt>
                <c:pt idx="8">
                  <c:v>0.9</c:v>
                </c:pt>
                <c:pt idx="9">
                  <c:v>1.1000000000000001</c:v>
                </c:pt>
                <c:pt idx="10">
                  <c:v>1.1000000000000001</c:v>
                </c:pt>
                <c:pt idx="11">
                  <c:v>1.2</c:v>
                </c:pt>
                <c:pt idx="12">
                  <c:v>1.8</c:v>
                </c:pt>
                <c:pt idx="13">
                  <c:v>1.2</c:v>
                </c:pt>
                <c:pt idx="14">
                  <c:v>1.4</c:v>
                </c:pt>
                <c:pt idx="15">
                  <c:v>1.7</c:v>
                </c:pt>
                <c:pt idx="16">
                  <c:v>1.2</c:v>
                </c:pt>
                <c:pt idx="17">
                  <c:v>0.9</c:v>
                </c:pt>
                <c:pt idx="18">
                  <c:v>0.5</c:v>
                </c:pt>
                <c:pt idx="19">
                  <c:v>1.4</c:v>
                </c:pt>
                <c:pt idx="20">
                  <c:v>1.5</c:v>
                </c:pt>
                <c:pt idx="21">
                  <c:v>1.8</c:v>
                </c:pt>
                <c:pt idx="22">
                  <c:v>1.9</c:v>
                </c:pt>
                <c:pt idx="23">
                  <c:v>1.7</c:v>
                </c:pt>
                <c:pt idx="24">
                  <c:v>2.5</c:v>
                </c:pt>
                <c:pt idx="25">
                  <c:v>3.4</c:v>
                </c:pt>
                <c:pt idx="26">
                  <c:v>4.0999999999999996</c:v>
                </c:pt>
                <c:pt idx="27">
                  <c:v>4.5</c:v>
                </c:pt>
                <c:pt idx="28">
                  <c:v>5.4</c:v>
                </c:pt>
                <c:pt idx="29">
                  <c:v>6.1</c:v>
                </c:pt>
                <c:pt idx="30">
                  <c:v>6.6</c:v>
                </c:pt>
                <c:pt idx="31">
                  <c:v>6.8</c:v>
                </c:pt>
                <c:pt idx="32">
                  <c:v>7.4</c:v>
                </c:pt>
                <c:pt idx="33">
                  <c:v>7.9</c:v>
                </c:pt>
                <c:pt idx="34">
                  <c:v>8</c:v>
                </c:pt>
                <c:pt idx="35">
                  <c:v>8.4</c:v>
                </c:pt>
                <c:pt idx="36">
                  <c:v>8.6999999999999993</c:v>
                </c:pt>
                <c:pt idx="37">
                  <c:v>9.3000000000000007</c:v>
                </c:pt>
                <c:pt idx="38">
                  <c:v>8.9</c:v>
                </c:pt>
                <c:pt idx="39">
                  <c:v>8.4</c:v>
                </c:pt>
                <c:pt idx="40">
                  <c:v>8.1999999999999993</c:v>
                </c:pt>
                <c:pt idx="41">
                  <c:v>8.1</c:v>
                </c:pt>
                <c:pt idx="42">
                  <c:v>8</c:v>
                </c:pt>
                <c:pt idx="43">
                  <c:v>7.2</c:v>
                </c:pt>
                <c:pt idx="44">
                  <c:v>6.9</c:v>
                </c:pt>
                <c:pt idx="45">
                  <c:v>6.1</c:v>
                </c:pt>
                <c:pt idx="46">
                  <c:v>5.4</c:v>
                </c:pt>
                <c:pt idx="47">
                  <c:v>5.3</c:v>
                </c:pt>
                <c:pt idx="48">
                  <c:v>4.4000000000000004</c:v>
                </c:pt>
                <c:pt idx="49">
                  <c:v>3.5</c:v>
                </c:pt>
                <c:pt idx="50">
                  <c:v>2.9</c:v>
                </c:pt>
                <c:pt idx="51">
                  <c:v>2.9</c:v>
                </c:pt>
                <c:pt idx="52">
                  <c:v>3</c:v>
                </c:pt>
                <c:pt idx="53">
                  <c:v>2.2999999999999998</c:v>
                </c:pt>
                <c:pt idx="54">
                  <c:v>2.2000000000000002</c:v>
                </c:pt>
                <c:pt idx="55">
                  <c:v>2.2000000000000002</c:v>
                </c:pt>
                <c:pt idx="56">
                  <c:v>2</c:v>
                </c:pt>
                <c:pt idx="57">
                  <c:v>2.1</c:v>
                </c:pt>
                <c:pt idx="58">
                  <c:v>2.4</c:v>
                </c:pt>
                <c:pt idx="59">
                  <c:v>2</c:v>
                </c:pt>
                <c:pt idx="60">
                  <c:v>2.7</c:v>
                </c:pt>
                <c:pt idx="61">
                  <c:v>3</c:v>
                </c:pt>
                <c:pt idx="62">
                  <c:v>3</c:v>
                </c:pt>
              </c:numCache>
            </c:numRef>
          </c:val>
          <c:smooth val="0"/>
          <c:extLst>
            <c:ext xmlns:c16="http://schemas.microsoft.com/office/drawing/2014/chart" uri="{C3380CC4-5D6E-409C-BE32-E72D297353CC}">
              <c16:uniqueId val="{00000001-6E66-4B00-BE07-742D0356D0CE}"/>
            </c:ext>
          </c:extLst>
        </c:ser>
        <c:dLbls>
          <c:showLegendKey val="0"/>
          <c:showVal val="0"/>
          <c:showCatName val="0"/>
          <c:showSerName val="0"/>
          <c:showPercent val="0"/>
          <c:showBubbleSize val="0"/>
        </c:dLbls>
        <c:smooth val="0"/>
        <c:axId val="480293856"/>
        <c:axId val="480285328"/>
      </c:lineChart>
      <c:dateAx>
        <c:axId val="480293856"/>
        <c:scaling>
          <c:orientation val="minMax"/>
        </c:scaling>
        <c:delete val="0"/>
        <c:axPos val="b"/>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80285328"/>
        <c:crosses val="autoZero"/>
        <c:auto val="1"/>
        <c:lblOffset val="100"/>
        <c:baseTimeUnit val="months"/>
        <c:majorUnit val="1"/>
        <c:majorTimeUnit val="years"/>
      </c:dateAx>
      <c:valAx>
        <c:axId val="4802853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802938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450989489247401E-2"/>
          <c:y val="4.2762454564892027E-2"/>
          <c:w val="0.90484516848682672"/>
          <c:h val="0.82532985172876483"/>
        </c:manualLayout>
      </c:layout>
      <c:lineChart>
        <c:grouping val="standard"/>
        <c:varyColors val="0"/>
        <c:ser>
          <c:idx val="0"/>
          <c:order val="0"/>
          <c:tx>
            <c:strRef>
              <c:f>'D56'!$G$26</c:f>
              <c:strCache>
                <c:ptCount val="1"/>
                <c:pt idx="0">
                  <c:v>Vinstandel</c:v>
                </c:pt>
              </c:strCache>
            </c:strRef>
          </c:tx>
          <c:spPr>
            <a:ln w="28575" cap="rnd">
              <a:solidFill>
                <a:schemeClr val="accent1"/>
              </a:solidFill>
              <a:round/>
            </a:ln>
            <a:effectLst/>
          </c:spPr>
          <c:marker>
            <c:symbol val="none"/>
          </c:marker>
          <c:cat>
            <c:numRef>
              <c:f>'D56'!$H$25:$AF$25</c:f>
              <c:numCache>
                <c:formatCode>m/d/yyyy</c:formatCode>
                <c:ptCount val="25"/>
                <c:pt idx="0">
                  <c:v>36526</c:v>
                </c:pt>
                <c:pt idx="1">
                  <c:v>36892</c:v>
                </c:pt>
                <c:pt idx="2">
                  <c:v>37257</c:v>
                </c:pt>
                <c:pt idx="3">
                  <c:v>37622</c:v>
                </c:pt>
                <c:pt idx="4">
                  <c:v>37987</c:v>
                </c:pt>
                <c:pt idx="5">
                  <c:v>38353</c:v>
                </c:pt>
                <c:pt idx="6">
                  <c:v>38718</c:v>
                </c:pt>
                <c:pt idx="7">
                  <c:v>39083</c:v>
                </c:pt>
                <c:pt idx="8">
                  <c:v>39448</c:v>
                </c:pt>
                <c:pt idx="9">
                  <c:v>39814</c:v>
                </c:pt>
                <c:pt idx="10">
                  <c:v>40179</c:v>
                </c:pt>
                <c:pt idx="11">
                  <c:v>40544</c:v>
                </c:pt>
                <c:pt idx="12">
                  <c:v>40909</c:v>
                </c:pt>
                <c:pt idx="13">
                  <c:v>41275</c:v>
                </c:pt>
                <c:pt idx="14">
                  <c:v>41640</c:v>
                </c:pt>
                <c:pt idx="15">
                  <c:v>42005</c:v>
                </c:pt>
                <c:pt idx="16">
                  <c:v>42370</c:v>
                </c:pt>
                <c:pt idx="17">
                  <c:v>42736</c:v>
                </c:pt>
                <c:pt idx="18">
                  <c:v>43101</c:v>
                </c:pt>
                <c:pt idx="19">
                  <c:v>43466</c:v>
                </c:pt>
                <c:pt idx="20">
                  <c:v>43831</c:v>
                </c:pt>
                <c:pt idx="21">
                  <c:v>44197</c:v>
                </c:pt>
                <c:pt idx="22">
                  <c:v>44562</c:v>
                </c:pt>
                <c:pt idx="23">
                  <c:v>44927</c:v>
                </c:pt>
                <c:pt idx="24">
                  <c:v>45292</c:v>
                </c:pt>
              </c:numCache>
            </c:numRef>
          </c:cat>
          <c:val>
            <c:numRef>
              <c:f>'D56'!$H$26:$AF$26</c:f>
              <c:numCache>
                <c:formatCode>General</c:formatCode>
                <c:ptCount val="25"/>
                <c:pt idx="0">
                  <c:v>34.640765922471751</c:v>
                </c:pt>
                <c:pt idx="1">
                  <c:v>32.851338283236352</c:v>
                </c:pt>
                <c:pt idx="2">
                  <c:v>33.296215663093598</c:v>
                </c:pt>
                <c:pt idx="3">
                  <c:v>34.063966491983997</c:v>
                </c:pt>
                <c:pt idx="4">
                  <c:v>35.502734230724982</c:v>
                </c:pt>
                <c:pt idx="5">
                  <c:v>35.301780293842327</c:v>
                </c:pt>
                <c:pt idx="6">
                  <c:v>37.088381635916299</c:v>
                </c:pt>
                <c:pt idx="7">
                  <c:v>35.85559105446336</c:v>
                </c:pt>
                <c:pt idx="8">
                  <c:v>33.829656997370392</c:v>
                </c:pt>
                <c:pt idx="9">
                  <c:v>32.13769311703652</c:v>
                </c:pt>
                <c:pt idx="10">
                  <c:v>35.566637829885565</c:v>
                </c:pt>
                <c:pt idx="11">
                  <c:v>35.154862744376281</c:v>
                </c:pt>
                <c:pt idx="12">
                  <c:v>32.449545867879586</c:v>
                </c:pt>
                <c:pt idx="13">
                  <c:v>32.023814085084318</c:v>
                </c:pt>
                <c:pt idx="14">
                  <c:v>32.552204426377457</c:v>
                </c:pt>
                <c:pt idx="15">
                  <c:v>34.846407723635309</c:v>
                </c:pt>
                <c:pt idx="16">
                  <c:v>33.838322907235401</c:v>
                </c:pt>
                <c:pt idx="17">
                  <c:v>33.168729179258087</c:v>
                </c:pt>
                <c:pt idx="18">
                  <c:v>32.502589458828353</c:v>
                </c:pt>
                <c:pt idx="19">
                  <c:v>33.945990035953223</c:v>
                </c:pt>
                <c:pt idx="20">
                  <c:v>34.847395340319167</c:v>
                </c:pt>
                <c:pt idx="21">
                  <c:v>36.547854918529509</c:v>
                </c:pt>
                <c:pt idx="22">
                  <c:v>36.539583998581854</c:v>
                </c:pt>
                <c:pt idx="23">
                  <c:v>36.305966452153598</c:v>
                </c:pt>
                <c:pt idx="24">
                  <c:v>36.287379988139314</c:v>
                </c:pt>
              </c:numCache>
            </c:numRef>
          </c:val>
          <c:smooth val="0"/>
          <c:extLst>
            <c:ext xmlns:c16="http://schemas.microsoft.com/office/drawing/2014/chart" uri="{C3380CC4-5D6E-409C-BE32-E72D297353CC}">
              <c16:uniqueId val="{00000000-5945-4BC1-84EF-E1C6CB5236E7}"/>
            </c:ext>
          </c:extLst>
        </c:ser>
        <c:dLbls>
          <c:showLegendKey val="0"/>
          <c:showVal val="0"/>
          <c:showCatName val="0"/>
          <c:showSerName val="0"/>
          <c:showPercent val="0"/>
          <c:showBubbleSize val="0"/>
        </c:dLbls>
        <c:smooth val="0"/>
        <c:axId val="898295496"/>
        <c:axId val="898295824"/>
      </c:lineChart>
      <c:dateAx>
        <c:axId val="898295496"/>
        <c:scaling>
          <c:orientation val="minMax"/>
        </c:scaling>
        <c:delete val="0"/>
        <c:axPos val="b"/>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898295824"/>
        <c:crosses val="autoZero"/>
        <c:auto val="1"/>
        <c:lblOffset val="100"/>
        <c:baseTimeUnit val="years"/>
      </c:dateAx>
      <c:valAx>
        <c:axId val="898295824"/>
        <c:scaling>
          <c:orientation val="minMax"/>
          <c:min val="31"/>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8982954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1"/>
          <c:order val="0"/>
          <c:tx>
            <c:v>Försvarsutgifter</c:v>
          </c:tx>
          <c:spPr>
            <a:solidFill>
              <a:schemeClr val="accent1">
                <a:lumMod val="75000"/>
              </a:schemeClr>
            </a:solidFill>
            <a:ln>
              <a:noFill/>
            </a:ln>
            <a:effectLst/>
          </c:spPr>
          <c:invertIfNegative val="0"/>
          <c:cat>
            <c:numRef>
              <c:f>Blad1!$J$29:$R$29</c:f>
              <c:numCache>
                <c:formatCode>General</c:formatCode>
                <c:ptCount val="9"/>
                <c:pt idx="0">
                  <c:v>2022</c:v>
                </c:pt>
                <c:pt idx="1">
                  <c:v>2023</c:v>
                </c:pt>
                <c:pt idx="2">
                  <c:v>2024</c:v>
                </c:pt>
                <c:pt idx="3">
                  <c:v>2025</c:v>
                </c:pt>
                <c:pt idx="4">
                  <c:v>2026</c:v>
                </c:pt>
                <c:pt idx="5">
                  <c:v>2027</c:v>
                </c:pt>
                <c:pt idx="6">
                  <c:v>2028</c:v>
                </c:pt>
                <c:pt idx="7">
                  <c:v>2029</c:v>
                </c:pt>
                <c:pt idx="8">
                  <c:v>2030</c:v>
                </c:pt>
              </c:numCache>
            </c:numRef>
          </c:cat>
          <c:val>
            <c:numRef>
              <c:f>Blad1!$J$30:$R$30</c:f>
              <c:numCache>
                <c:formatCode>General</c:formatCode>
                <c:ptCount val="9"/>
                <c:pt idx="0">
                  <c:v>74.8</c:v>
                </c:pt>
                <c:pt idx="1">
                  <c:v>91.6</c:v>
                </c:pt>
                <c:pt idx="2">
                  <c:v>125.5</c:v>
                </c:pt>
                <c:pt idx="3">
                  <c:v>142</c:v>
                </c:pt>
                <c:pt idx="4">
                  <c:v>144</c:v>
                </c:pt>
                <c:pt idx="5">
                  <c:v>156</c:v>
                </c:pt>
                <c:pt idx="6">
                  <c:v>173</c:v>
                </c:pt>
                <c:pt idx="7">
                  <c:v>176</c:v>
                </c:pt>
                <c:pt idx="8">
                  <c:v>186</c:v>
                </c:pt>
              </c:numCache>
            </c:numRef>
          </c:val>
          <c:extLst>
            <c:ext xmlns:c16="http://schemas.microsoft.com/office/drawing/2014/chart" uri="{C3380CC4-5D6E-409C-BE32-E72D297353CC}">
              <c16:uniqueId val="{00000000-9C0A-402C-B1FF-3CCCCBBEA1CC}"/>
            </c:ext>
          </c:extLst>
        </c:ser>
        <c:ser>
          <c:idx val="2"/>
          <c:order val="1"/>
          <c:spPr>
            <a:solidFill>
              <a:schemeClr val="accent1">
                <a:lumMod val="40000"/>
                <a:lumOff val="60000"/>
              </a:schemeClr>
            </a:solidFill>
            <a:ln>
              <a:noFill/>
            </a:ln>
            <a:effectLst/>
          </c:spPr>
          <c:invertIfNegative val="0"/>
          <c:cat>
            <c:numRef>
              <c:f>Blad1!$J$29:$R$29</c:f>
              <c:numCache>
                <c:formatCode>General</c:formatCode>
                <c:ptCount val="9"/>
                <c:pt idx="0">
                  <c:v>2022</c:v>
                </c:pt>
                <c:pt idx="1">
                  <c:v>2023</c:v>
                </c:pt>
                <c:pt idx="2">
                  <c:v>2024</c:v>
                </c:pt>
                <c:pt idx="3">
                  <c:v>2025</c:v>
                </c:pt>
                <c:pt idx="4">
                  <c:v>2026</c:v>
                </c:pt>
                <c:pt idx="5">
                  <c:v>2027</c:v>
                </c:pt>
                <c:pt idx="6">
                  <c:v>2028</c:v>
                </c:pt>
                <c:pt idx="7">
                  <c:v>2029</c:v>
                </c:pt>
                <c:pt idx="8">
                  <c:v>2030</c:v>
                </c:pt>
              </c:numCache>
            </c:numRef>
          </c:cat>
          <c:val>
            <c:numRef>
              <c:f>Blad1!$J$31:$R$31</c:f>
              <c:numCache>
                <c:formatCode>General</c:formatCode>
                <c:ptCount val="9"/>
                <c:pt idx="8" formatCode="0">
                  <c:v>64</c:v>
                </c:pt>
              </c:numCache>
            </c:numRef>
          </c:val>
          <c:extLst>
            <c:ext xmlns:c16="http://schemas.microsoft.com/office/drawing/2014/chart" uri="{C3380CC4-5D6E-409C-BE32-E72D297353CC}">
              <c16:uniqueId val="{00000001-9C0A-402C-B1FF-3CCCCBBEA1CC}"/>
            </c:ext>
          </c:extLst>
        </c:ser>
        <c:dLbls>
          <c:showLegendKey val="0"/>
          <c:showVal val="0"/>
          <c:showCatName val="0"/>
          <c:showSerName val="0"/>
          <c:showPercent val="0"/>
          <c:showBubbleSize val="0"/>
        </c:dLbls>
        <c:gapWidth val="219"/>
        <c:overlap val="100"/>
        <c:axId val="471628848"/>
        <c:axId val="471633112"/>
      </c:barChart>
      <c:lineChart>
        <c:grouping val="standard"/>
        <c:varyColors val="0"/>
        <c:ser>
          <c:idx val="3"/>
          <c:order val="2"/>
          <c:spPr>
            <a:ln w="28575" cap="rnd">
              <a:solidFill>
                <a:schemeClr val="tx1"/>
              </a:solidFill>
              <a:prstDash val="dash"/>
              <a:round/>
            </a:ln>
            <a:effectLst/>
          </c:spPr>
          <c:marker>
            <c:symbol val="circle"/>
            <c:size val="5"/>
            <c:spPr>
              <a:solidFill>
                <a:schemeClr val="tx1"/>
              </a:solidFill>
              <a:ln w="9525">
                <a:solidFill>
                  <a:schemeClr val="tx1"/>
                </a:solidFill>
                <a:prstDash val="dash"/>
              </a:ln>
              <a:effectLst/>
            </c:spPr>
          </c:marker>
          <c:cat>
            <c:numRef>
              <c:f>Blad1!$J$29:$R$29</c:f>
              <c:numCache>
                <c:formatCode>General</c:formatCode>
                <c:ptCount val="9"/>
                <c:pt idx="0">
                  <c:v>2022</c:v>
                </c:pt>
                <c:pt idx="1">
                  <c:v>2023</c:v>
                </c:pt>
                <c:pt idx="2">
                  <c:v>2024</c:v>
                </c:pt>
                <c:pt idx="3">
                  <c:v>2025</c:v>
                </c:pt>
                <c:pt idx="4">
                  <c:v>2026</c:v>
                </c:pt>
                <c:pt idx="5">
                  <c:v>2027</c:v>
                </c:pt>
                <c:pt idx="6">
                  <c:v>2028</c:v>
                </c:pt>
                <c:pt idx="7">
                  <c:v>2029</c:v>
                </c:pt>
                <c:pt idx="8">
                  <c:v>2030</c:v>
                </c:pt>
              </c:numCache>
            </c:numRef>
          </c:cat>
          <c:val>
            <c:numRef>
              <c:f>Blad1!$J$32:$R$32</c:f>
              <c:numCache>
                <c:formatCode>General</c:formatCode>
                <c:ptCount val="9"/>
                <c:pt idx="2">
                  <c:v>2.2000000000000002</c:v>
                </c:pt>
                <c:pt idx="3">
                  <c:v>2.4</c:v>
                </c:pt>
                <c:pt idx="4">
                  <c:v>2.4</c:v>
                </c:pt>
                <c:pt idx="5">
                  <c:v>2.5</c:v>
                </c:pt>
                <c:pt idx="6">
                  <c:v>2.6</c:v>
                </c:pt>
                <c:pt idx="7">
                  <c:v>2.6</c:v>
                </c:pt>
                <c:pt idx="8">
                  <c:v>3.5</c:v>
                </c:pt>
              </c:numCache>
            </c:numRef>
          </c:val>
          <c:smooth val="0"/>
          <c:extLst>
            <c:ext xmlns:c16="http://schemas.microsoft.com/office/drawing/2014/chart" uri="{C3380CC4-5D6E-409C-BE32-E72D297353CC}">
              <c16:uniqueId val="{00000002-9C0A-402C-B1FF-3CCCCBBEA1CC}"/>
            </c:ext>
          </c:extLst>
        </c:ser>
        <c:dLbls>
          <c:showLegendKey val="0"/>
          <c:showVal val="0"/>
          <c:showCatName val="0"/>
          <c:showSerName val="0"/>
          <c:showPercent val="0"/>
          <c:showBubbleSize val="0"/>
        </c:dLbls>
        <c:marker val="1"/>
        <c:smooth val="0"/>
        <c:axId val="698986296"/>
        <c:axId val="698986952"/>
      </c:lineChart>
      <c:catAx>
        <c:axId val="471628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71633112"/>
        <c:crosses val="autoZero"/>
        <c:auto val="1"/>
        <c:lblAlgn val="ctr"/>
        <c:lblOffset val="100"/>
        <c:noMultiLvlLbl val="0"/>
      </c:catAx>
      <c:valAx>
        <c:axId val="4716331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a:t>Miljarder kronor</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71628848"/>
        <c:crosses val="autoZero"/>
        <c:crossBetween val="between"/>
      </c:valAx>
      <c:valAx>
        <c:axId val="698986952"/>
        <c:scaling>
          <c:orientation val="minMax"/>
        </c:scaling>
        <c:delete val="0"/>
        <c:axPos val="r"/>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sv-SE"/>
                  <a:t>Procent av BNP</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98986296"/>
        <c:crosses val="max"/>
        <c:crossBetween val="between"/>
      </c:valAx>
      <c:catAx>
        <c:axId val="698986296"/>
        <c:scaling>
          <c:orientation val="minMax"/>
        </c:scaling>
        <c:delete val="1"/>
        <c:axPos val="b"/>
        <c:numFmt formatCode="General" sourceLinked="1"/>
        <c:majorTickMark val="out"/>
        <c:minorTickMark val="none"/>
        <c:tickLblPos val="nextTo"/>
        <c:crossAx val="698986952"/>
        <c:crosses val="autoZero"/>
        <c:auto val="1"/>
        <c:lblAlgn val="ctr"/>
        <c:lblOffset val="100"/>
        <c:noMultiLvlLbl val="0"/>
      </c:cat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b="0" i="0" baseline="0"/>
      </a:pPr>
      <a:endParaRPr lang="sv-S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1CF7332CC7E436BB70648784DB05DC4"/>
        <w:category>
          <w:name w:val="Allmänt"/>
          <w:gallery w:val="placeholder"/>
        </w:category>
        <w:types>
          <w:type w:val="bbPlcHdr"/>
        </w:types>
        <w:behaviors>
          <w:behavior w:val="content"/>
        </w:behaviors>
        <w:guid w:val="{FE2E3A66-45FB-49E2-A5B0-E66170560D75}"/>
      </w:docPartPr>
      <w:docPartBody>
        <w:p w:rsidR="00822663" w:rsidRDefault="00822663">
          <w:pPr>
            <w:pStyle w:val="51CF7332CC7E436BB70648784DB05DC4"/>
          </w:pPr>
          <w:r w:rsidRPr="005A0A93">
            <w:rPr>
              <w:rStyle w:val="Platshllartext"/>
            </w:rPr>
            <w:t>Förslag till riksdagsbeslut</w:t>
          </w:r>
        </w:p>
      </w:docPartBody>
    </w:docPart>
    <w:docPart>
      <w:docPartPr>
        <w:name w:val="074BA5AAFD204DAFB7580E8ED6202402"/>
        <w:category>
          <w:name w:val="Allmänt"/>
          <w:gallery w:val="placeholder"/>
        </w:category>
        <w:types>
          <w:type w:val="bbPlcHdr"/>
        </w:types>
        <w:behaviors>
          <w:behavior w:val="content"/>
        </w:behaviors>
        <w:guid w:val="{AD91FC43-04CF-4419-93AC-3DC4549A0CBC}"/>
      </w:docPartPr>
      <w:docPartBody>
        <w:p w:rsidR="00822663" w:rsidRDefault="00822663">
          <w:pPr>
            <w:pStyle w:val="074BA5AAFD204DAFB7580E8ED6202402"/>
          </w:pPr>
          <w:r w:rsidRPr="005A0A93">
            <w:rPr>
              <w:rStyle w:val="Platshllartext"/>
            </w:rPr>
            <w:t>Motivering</w:t>
          </w:r>
        </w:p>
      </w:docPartBody>
    </w:docPart>
    <w:docPart>
      <w:docPartPr>
        <w:name w:val="8F360A58DB21407EA6C13E03D0A5648D"/>
        <w:category>
          <w:name w:val="Allmänt"/>
          <w:gallery w:val="placeholder"/>
        </w:category>
        <w:types>
          <w:type w:val="bbPlcHdr"/>
        </w:types>
        <w:behaviors>
          <w:behavior w:val="content"/>
        </w:behaviors>
        <w:guid w:val="{2DE78B9A-579B-4648-9B4B-DB23641B38E1}"/>
      </w:docPartPr>
      <w:docPartBody>
        <w:p w:rsidR="00121E21" w:rsidRDefault="00121E21"/>
      </w:docPartBody>
    </w:docPart>
    <w:docPart>
      <w:docPartPr>
        <w:name w:val="2A83735578094CD5839CD6B3CA4F87BE"/>
        <w:category>
          <w:name w:val="Allmänt"/>
          <w:gallery w:val="placeholder"/>
        </w:category>
        <w:types>
          <w:type w:val="bbPlcHdr"/>
        </w:types>
        <w:behaviors>
          <w:behavior w:val="content"/>
        </w:behaviors>
        <w:guid w:val="{2C9DDA01-6057-4110-AE7A-0847FD5FE12B}"/>
      </w:docPartPr>
      <w:docPartBody>
        <w:p w:rsidR="00000000" w:rsidRDefault="007241B2">
          <w:r>
            <w:t>:3413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663"/>
    <w:rsid w:val="00015343"/>
    <w:rsid w:val="00021836"/>
    <w:rsid w:val="00090BE3"/>
    <w:rsid w:val="000E7E7E"/>
    <w:rsid w:val="00121E21"/>
    <w:rsid w:val="003261DF"/>
    <w:rsid w:val="005A6077"/>
    <w:rsid w:val="005B2AC2"/>
    <w:rsid w:val="007241B2"/>
    <w:rsid w:val="00802014"/>
    <w:rsid w:val="00822663"/>
    <w:rsid w:val="008A273E"/>
    <w:rsid w:val="009C0858"/>
    <w:rsid w:val="00A55B6C"/>
    <w:rsid w:val="00A57701"/>
    <w:rsid w:val="00AB5201"/>
    <w:rsid w:val="00B260B7"/>
    <w:rsid w:val="00BC57A0"/>
    <w:rsid w:val="00D569E0"/>
    <w:rsid w:val="00D76B9B"/>
    <w:rsid w:val="00D9710D"/>
    <w:rsid w:val="00D97CA8"/>
    <w:rsid w:val="00E939EB"/>
    <w:rsid w:val="00FD2650"/>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241B2"/>
    <w:rPr>
      <w:color w:val="F4B083" w:themeColor="accent2" w:themeTint="99"/>
    </w:rPr>
  </w:style>
  <w:style w:type="paragraph" w:customStyle="1" w:styleId="51CF7332CC7E436BB70648784DB05DC4">
    <w:name w:val="51CF7332CC7E436BB70648784DB05DC4"/>
  </w:style>
  <w:style w:type="paragraph" w:customStyle="1" w:styleId="074BA5AAFD204DAFB7580E8ED6202402">
    <w:name w:val="074BA5AAFD204DAFB7580E8ED62024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EE4386-D442-4355-B7E2-2C396F5BD65E}"/>
</file>

<file path=customXml/itemProps2.xml><?xml version="1.0" encoding="utf-8"?>
<ds:datastoreItem xmlns:ds="http://schemas.openxmlformats.org/officeDocument/2006/customXml" ds:itemID="{00F4CFE0-206E-40AE-9E25-97B5AEF36674}"/>
</file>

<file path=customXml/itemProps3.xml><?xml version="1.0" encoding="utf-8"?>
<ds:datastoreItem xmlns:ds="http://schemas.openxmlformats.org/officeDocument/2006/customXml" ds:itemID="{3DC64711-1C79-413E-8BD4-6C48FC3E20E0}"/>
</file>

<file path=docProps/app.xml><?xml version="1.0" encoding="utf-8"?>
<Properties xmlns="http://schemas.openxmlformats.org/officeDocument/2006/extended-properties" xmlns:vt="http://schemas.openxmlformats.org/officeDocument/2006/docPropsVTypes">
  <Template>Normal</Template>
  <TotalTime>368</TotalTime>
  <Pages>31</Pages>
  <Words>9482</Words>
  <Characters>56988</Characters>
  <Application>Microsoft Office Word</Application>
  <DocSecurity>0</DocSecurity>
  <Lines>982</Lines>
  <Paragraphs>330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V058 med anledning av prop  2024 25 100 2025 års ekonomiska vårproposition</vt:lpstr>
      <vt:lpstr>
      </vt:lpstr>
    </vt:vector>
  </TitlesOfParts>
  <Company>Sveriges riksdag</Company>
  <LinksUpToDate>false</LinksUpToDate>
  <CharactersWithSpaces>66140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