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9" w:type="dxa"/>
        <w:tblInd w:w="56" w:type="dxa"/>
        <w:tblCellMar>
          <w:left w:w="70" w:type="dxa"/>
          <w:right w:w="70" w:type="dxa"/>
        </w:tblCellMar>
        <w:tblLook w:val="0000" w:firstRow="0" w:lastRow="0" w:firstColumn="0" w:lastColumn="0" w:noHBand="0" w:noVBand="0"/>
      </w:tblPr>
      <w:tblGrid>
        <w:gridCol w:w="1821"/>
        <w:gridCol w:w="1842"/>
        <w:gridCol w:w="5389"/>
        <w:gridCol w:w="637"/>
      </w:tblGrid>
      <w:tr w:rsidR="00C940FA" w:rsidRPr="00750A24" w:rsidTr="00C940FA">
        <w:trPr>
          <w:trHeight w:val="360"/>
        </w:trPr>
        <w:tc>
          <w:tcPr>
            <w:tcW w:w="9689" w:type="dxa"/>
            <w:gridSpan w:val="4"/>
            <w:tcBorders>
              <w:top w:val="nil"/>
              <w:left w:val="nil"/>
              <w:bottom w:val="nil"/>
              <w:right w:val="nil"/>
            </w:tcBorders>
            <w:noWrap/>
            <w:vAlign w:val="bottom"/>
          </w:tcPr>
          <w:p w:rsidR="00C940FA" w:rsidRPr="00750A24" w:rsidRDefault="00C940FA">
            <w:pPr>
              <w:rPr>
                <w:rFonts w:ascii="Arial" w:hAnsi="Arial" w:cs="Arial"/>
                <w:b/>
                <w:bCs/>
                <w:sz w:val="28"/>
                <w:szCs w:val="28"/>
              </w:rPr>
            </w:pPr>
            <w:r w:rsidRPr="00750A24">
              <w:rPr>
                <w:rFonts w:ascii="Arial" w:hAnsi="Arial" w:cs="Arial"/>
                <w:b/>
                <w:bCs/>
                <w:sz w:val="28"/>
                <w:szCs w:val="28"/>
              </w:rPr>
              <w:t>Till JuU inkomna EU-dokument 14 feb - 29 feb 2012</w:t>
            </w:r>
          </w:p>
        </w:tc>
      </w:tr>
      <w:tr w:rsidR="00C940FA" w:rsidRPr="00750A24" w:rsidTr="00C940FA">
        <w:trPr>
          <w:trHeight w:val="255"/>
        </w:trPr>
        <w:tc>
          <w:tcPr>
            <w:tcW w:w="1821"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1842"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5389"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315"/>
        </w:trPr>
        <w:tc>
          <w:tcPr>
            <w:tcW w:w="9052" w:type="dxa"/>
            <w:gridSpan w:val="3"/>
            <w:tcBorders>
              <w:top w:val="single" w:sz="4" w:space="0" w:color="auto"/>
              <w:left w:val="single" w:sz="4" w:space="0" w:color="auto"/>
              <w:bottom w:val="nil"/>
              <w:right w:val="single" w:sz="4" w:space="0" w:color="auto"/>
            </w:tcBorders>
            <w:noWrap/>
            <w:vAlign w:val="bottom"/>
          </w:tcPr>
          <w:p w:rsidR="00C940FA" w:rsidRPr="00750A24" w:rsidRDefault="00C940FA">
            <w:pPr>
              <w:rPr>
                <w:rFonts w:ascii="Arial" w:hAnsi="Arial" w:cs="Arial"/>
                <w:sz w:val="20"/>
                <w:szCs w:val="20"/>
              </w:rPr>
            </w:pPr>
            <w:r w:rsidRPr="00750A24">
              <w:rPr>
                <w:rFonts w:ascii="Arial" w:hAnsi="Arial" w:cs="Arial"/>
                <w:b/>
                <w:bCs/>
              </w:rPr>
              <w:t>Dokument från EU-kommissionen (KOM, K, SWD)</w:t>
            </w:r>
            <w:r w:rsidRPr="00750A24">
              <w:rPr>
                <w:rFonts w:ascii="Arial" w:hAnsi="Arial" w:cs="Arial"/>
                <w:sz w:val="20"/>
                <w:szCs w:val="20"/>
              </w:rPr>
              <w:t> </w:t>
            </w:r>
          </w:p>
          <w:p w:rsidR="00C940FA" w:rsidRPr="00750A24" w:rsidRDefault="00C940FA">
            <w:pPr>
              <w:rPr>
                <w:rFonts w:ascii="Arial" w:hAnsi="Arial" w:cs="Arial"/>
                <w:sz w:val="20"/>
                <w:szCs w:val="20"/>
              </w:rPr>
            </w:pPr>
            <w:r w:rsidRPr="00750A24">
              <w:rPr>
                <w:rFonts w:ascii="Arial" w:hAnsi="Arial" w:cs="Arial"/>
                <w:sz w:val="20"/>
                <w:szCs w:val="20"/>
              </w:rPr>
              <w:t> </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Inlämnat</w:t>
            </w:r>
          </w:p>
        </w:tc>
        <w:tc>
          <w:tcPr>
            <w:tcW w:w="1842"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Beteckning</w:t>
            </w:r>
          </w:p>
        </w:tc>
        <w:tc>
          <w:tcPr>
            <w:tcW w:w="5389"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Rubrik</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1020"/>
        </w:trPr>
        <w:tc>
          <w:tcPr>
            <w:tcW w:w="1821" w:type="dxa"/>
            <w:tcBorders>
              <w:top w:val="single" w:sz="4" w:space="0" w:color="A9A9A9"/>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2012-02-29</w:t>
            </w:r>
          </w:p>
        </w:tc>
        <w:tc>
          <w:tcPr>
            <w:tcW w:w="1842"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K(2012) 1298</w:t>
            </w:r>
          </w:p>
        </w:tc>
        <w:tc>
          <w:tcPr>
            <w:tcW w:w="5389"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Kommissionens svar på utlåtande 2011/12:JuU2 Tillämpningen av EU:s straffrättsliga lagstiftning på frågor som rör frihetsberövande</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040"/>
        </w:trPr>
        <w:tc>
          <w:tcPr>
            <w:tcW w:w="1821" w:type="dxa"/>
            <w:tcBorders>
              <w:top w:val="nil"/>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2012-02-23</w:t>
            </w:r>
          </w:p>
        </w:tc>
        <w:tc>
          <w:tcPr>
            <w:tcW w:w="1842"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KOM(2012) 71</w:t>
            </w:r>
          </w:p>
        </w:tc>
        <w:tc>
          <w:tcPr>
            <w:tcW w:w="5389"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 xml:space="preserve">Rapport från kommissionen till Europaparlamentet, rådet och Europeiska ekonomiska och sociala kommittén om tillämpningen av direktiv 2003/8/EG om förbättring av möjligheterna till rättslig prövning i gränsöverskridande tvister genom fastställande av gemensamma minimiregler för rättshjälp i sådana tvister </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3315"/>
        </w:trPr>
        <w:tc>
          <w:tcPr>
            <w:tcW w:w="1821" w:type="dxa"/>
            <w:tcBorders>
              <w:top w:val="nil"/>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2012-02-23</w:t>
            </w:r>
          </w:p>
        </w:tc>
        <w:tc>
          <w:tcPr>
            <w:tcW w:w="1842"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SWD(2012) 20</w:t>
            </w:r>
          </w:p>
        </w:tc>
        <w:tc>
          <w:tcPr>
            <w:tcW w:w="5389"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Commission staff working paper On the application of Directive 2003/8/EC to improve access to justice in cross border disputes by establishing minimum common rules relating to legal aid for such disputes Accompanying the document Report from the Commission to the Council, the European Parliament and the European Economic and Social Committee on the application of Directive 2003/8/EC to improve access to justice in cross border disputes by establishing minimum common rules relating to legal aid for such dispute</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nil"/>
              <w:bottom w:val="nil"/>
              <w:right w:val="nil"/>
            </w:tcBorders>
            <w:vAlign w:val="center"/>
          </w:tcPr>
          <w:p w:rsidR="00C940FA" w:rsidRPr="00750A24" w:rsidRDefault="00C940FA">
            <w:pPr>
              <w:rPr>
                <w:rFonts w:ascii="Arial" w:hAnsi="Arial" w:cs="Arial"/>
                <w:sz w:val="20"/>
                <w:szCs w:val="20"/>
              </w:rPr>
            </w:pPr>
          </w:p>
        </w:tc>
        <w:tc>
          <w:tcPr>
            <w:tcW w:w="1842" w:type="dxa"/>
            <w:tcBorders>
              <w:top w:val="nil"/>
              <w:left w:val="nil"/>
              <w:bottom w:val="nil"/>
              <w:right w:val="nil"/>
            </w:tcBorders>
            <w:vAlign w:val="center"/>
          </w:tcPr>
          <w:p w:rsidR="00C940FA" w:rsidRPr="00750A24" w:rsidRDefault="00C940FA">
            <w:pPr>
              <w:rPr>
                <w:rFonts w:ascii="Arial" w:hAnsi="Arial" w:cs="Arial"/>
                <w:sz w:val="20"/>
                <w:szCs w:val="20"/>
              </w:rPr>
            </w:pPr>
          </w:p>
        </w:tc>
        <w:tc>
          <w:tcPr>
            <w:tcW w:w="5389" w:type="dxa"/>
            <w:tcBorders>
              <w:top w:val="nil"/>
              <w:left w:val="nil"/>
              <w:bottom w:val="nil"/>
              <w:right w:val="nil"/>
            </w:tcBorders>
            <w:vAlign w:val="center"/>
          </w:tcPr>
          <w:p w:rsidR="00C940FA" w:rsidRPr="00750A24" w:rsidRDefault="00C940FA">
            <w:pPr>
              <w:rPr>
                <w:rFonts w:ascii="Arial" w:hAnsi="Arial" w:cs="Arial"/>
                <w:sz w:val="20"/>
                <w:szCs w:val="20"/>
              </w:rPr>
            </w:pP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1842"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5389"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315"/>
        </w:trPr>
        <w:tc>
          <w:tcPr>
            <w:tcW w:w="9052" w:type="dxa"/>
            <w:gridSpan w:val="3"/>
            <w:tcBorders>
              <w:top w:val="single" w:sz="4" w:space="0" w:color="auto"/>
              <w:left w:val="single" w:sz="4" w:space="0" w:color="auto"/>
              <w:bottom w:val="single" w:sz="4" w:space="0" w:color="auto"/>
              <w:right w:val="single" w:sz="4" w:space="0" w:color="000000"/>
            </w:tcBorders>
            <w:noWrap/>
            <w:vAlign w:val="bottom"/>
          </w:tcPr>
          <w:p w:rsidR="00C940FA" w:rsidRPr="00750A24" w:rsidRDefault="00C940FA">
            <w:pPr>
              <w:rPr>
                <w:rFonts w:ascii="Arial" w:hAnsi="Arial" w:cs="Arial"/>
                <w:b/>
                <w:bCs/>
              </w:rPr>
            </w:pPr>
            <w:r w:rsidRPr="00750A24">
              <w:rPr>
                <w:rFonts w:ascii="Arial" w:hAnsi="Arial" w:cs="Arial"/>
                <w:b/>
                <w:bCs/>
              </w:rPr>
              <w:t>Fakta-pm från regeringen</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single" w:sz="4" w:space="0" w:color="auto"/>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Inlämnat</w:t>
            </w:r>
          </w:p>
        </w:tc>
        <w:tc>
          <w:tcPr>
            <w:tcW w:w="1842"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Beteckning</w:t>
            </w:r>
          </w:p>
        </w:tc>
        <w:tc>
          <w:tcPr>
            <w:tcW w:w="5389"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Rubrik</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510"/>
        </w:trPr>
        <w:tc>
          <w:tcPr>
            <w:tcW w:w="1821" w:type="dxa"/>
            <w:tcBorders>
              <w:top w:val="single" w:sz="4" w:space="0" w:color="A9A9A9"/>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2012-02-29</w:t>
            </w:r>
          </w:p>
        </w:tc>
        <w:tc>
          <w:tcPr>
            <w:tcW w:w="1842"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2011/12:FPM119</w:t>
            </w:r>
          </w:p>
        </w:tc>
        <w:tc>
          <w:tcPr>
            <w:tcW w:w="5389"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Direktiv om dataskydd på det brottsbekämpande området</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510"/>
        </w:trPr>
        <w:tc>
          <w:tcPr>
            <w:tcW w:w="1821" w:type="dxa"/>
            <w:tcBorders>
              <w:top w:val="nil"/>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2012-02-22</w:t>
            </w:r>
          </w:p>
        </w:tc>
        <w:tc>
          <w:tcPr>
            <w:tcW w:w="1842"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2011/12:FPM115</w:t>
            </w:r>
          </w:p>
        </w:tc>
        <w:tc>
          <w:tcPr>
            <w:tcW w:w="5389" w:type="dxa"/>
            <w:tcBorders>
              <w:top w:val="nil"/>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Mätning av brottslighet i EU: Statistisk handlingsplan 2011-2015</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nil"/>
              <w:bottom w:val="nil"/>
              <w:right w:val="nil"/>
            </w:tcBorders>
            <w:vAlign w:val="center"/>
          </w:tcPr>
          <w:p w:rsidR="00C940FA" w:rsidRPr="00750A24" w:rsidRDefault="00C940FA">
            <w:pPr>
              <w:rPr>
                <w:sz w:val="18"/>
                <w:szCs w:val="18"/>
              </w:rPr>
            </w:pPr>
          </w:p>
        </w:tc>
        <w:tc>
          <w:tcPr>
            <w:tcW w:w="1842" w:type="dxa"/>
            <w:tcBorders>
              <w:top w:val="nil"/>
              <w:left w:val="nil"/>
              <w:bottom w:val="nil"/>
              <w:right w:val="nil"/>
            </w:tcBorders>
            <w:vAlign w:val="center"/>
          </w:tcPr>
          <w:p w:rsidR="00C940FA" w:rsidRPr="00750A24" w:rsidRDefault="00C940FA">
            <w:pPr>
              <w:rPr>
                <w:sz w:val="18"/>
                <w:szCs w:val="18"/>
              </w:rPr>
            </w:pPr>
          </w:p>
        </w:tc>
        <w:tc>
          <w:tcPr>
            <w:tcW w:w="5389" w:type="dxa"/>
            <w:tcBorders>
              <w:top w:val="nil"/>
              <w:left w:val="nil"/>
              <w:bottom w:val="nil"/>
              <w:right w:val="nil"/>
            </w:tcBorders>
            <w:vAlign w:val="center"/>
          </w:tcPr>
          <w:p w:rsidR="00C940FA" w:rsidRPr="00750A24" w:rsidRDefault="00C940FA">
            <w:pPr>
              <w:rPr>
                <w:sz w:val="18"/>
                <w:szCs w:val="18"/>
              </w:rPr>
            </w:pP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315"/>
        </w:trPr>
        <w:tc>
          <w:tcPr>
            <w:tcW w:w="3663" w:type="dxa"/>
            <w:gridSpan w:val="2"/>
            <w:tcBorders>
              <w:top w:val="single" w:sz="4" w:space="0" w:color="auto"/>
              <w:left w:val="single" w:sz="4" w:space="0" w:color="auto"/>
              <w:bottom w:val="single" w:sz="4" w:space="0" w:color="auto"/>
              <w:right w:val="nil"/>
            </w:tcBorders>
            <w:noWrap/>
            <w:vAlign w:val="bottom"/>
          </w:tcPr>
          <w:p w:rsidR="00C940FA" w:rsidRPr="00750A24" w:rsidRDefault="00C940FA">
            <w:pPr>
              <w:rPr>
                <w:rFonts w:ascii="Arial" w:hAnsi="Arial" w:cs="Arial"/>
                <w:b/>
                <w:bCs/>
              </w:rPr>
            </w:pPr>
            <w:r w:rsidRPr="00750A24">
              <w:rPr>
                <w:rFonts w:ascii="Arial" w:hAnsi="Arial" w:cs="Arial"/>
                <w:b/>
                <w:bCs/>
              </w:rPr>
              <w:t>Ministerrådet</w:t>
            </w:r>
          </w:p>
        </w:tc>
        <w:tc>
          <w:tcPr>
            <w:tcW w:w="5389" w:type="dxa"/>
            <w:tcBorders>
              <w:top w:val="single" w:sz="4" w:space="0" w:color="auto"/>
              <w:left w:val="nil"/>
              <w:bottom w:val="single" w:sz="4" w:space="0" w:color="auto"/>
              <w:right w:val="single" w:sz="4" w:space="0" w:color="auto"/>
            </w:tcBorders>
            <w:noWrap/>
            <w:vAlign w:val="bottom"/>
          </w:tcPr>
          <w:p w:rsidR="00C940FA" w:rsidRPr="00750A24" w:rsidRDefault="00C940FA">
            <w:pPr>
              <w:rPr>
                <w:rFonts w:ascii="Arial" w:hAnsi="Arial" w:cs="Arial"/>
                <w:sz w:val="20"/>
                <w:szCs w:val="20"/>
              </w:rPr>
            </w:pPr>
            <w:r w:rsidRPr="00750A24">
              <w:rPr>
                <w:rFonts w:ascii="Arial" w:hAnsi="Arial" w:cs="Arial"/>
                <w:sz w:val="20"/>
                <w:szCs w:val="20"/>
              </w:rPr>
              <w:t> </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single" w:sz="4" w:space="0" w:color="auto"/>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Inlämnat</w:t>
            </w:r>
          </w:p>
        </w:tc>
        <w:tc>
          <w:tcPr>
            <w:tcW w:w="1842"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Beteckning</w:t>
            </w:r>
          </w:p>
        </w:tc>
        <w:tc>
          <w:tcPr>
            <w:tcW w:w="5389"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Rubrik</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1020"/>
        </w:trPr>
        <w:tc>
          <w:tcPr>
            <w:tcW w:w="1821" w:type="dxa"/>
            <w:tcBorders>
              <w:top w:val="single" w:sz="4" w:space="0" w:color="A9A9A9"/>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2012-02-21</w:t>
            </w:r>
          </w:p>
        </w:tc>
        <w:tc>
          <w:tcPr>
            <w:tcW w:w="1842"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CM 1723/12</w:t>
            </w:r>
          </w:p>
        </w:tc>
        <w:tc>
          <w:tcPr>
            <w:tcW w:w="5389"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Kallelse och preliminär dagordning 3151:a mötet i Europeiska unionens råd (rättsliga och inrikes frågor) torsdagen den 8 mars 2012</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1842"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5389" w:type="dxa"/>
            <w:tcBorders>
              <w:top w:val="nil"/>
              <w:left w:val="nil"/>
              <w:bottom w:val="nil"/>
              <w:right w:val="nil"/>
            </w:tcBorders>
            <w:noWrap/>
            <w:vAlign w:val="bottom"/>
          </w:tcPr>
          <w:p w:rsidR="00C940FA" w:rsidRPr="00750A24" w:rsidRDefault="00C940FA">
            <w:pPr>
              <w:rPr>
                <w:rFonts w:ascii="Arial" w:hAnsi="Arial" w:cs="Arial"/>
                <w:sz w:val="20"/>
                <w:szCs w:val="20"/>
              </w:rPr>
            </w:pP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315"/>
        </w:trPr>
        <w:tc>
          <w:tcPr>
            <w:tcW w:w="3663" w:type="dxa"/>
            <w:gridSpan w:val="2"/>
            <w:tcBorders>
              <w:top w:val="single" w:sz="4" w:space="0" w:color="auto"/>
              <w:left w:val="single" w:sz="4" w:space="0" w:color="auto"/>
              <w:bottom w:val="single" w:sz="4" w:space="0" w:color="auto"/>
              <w:right w:val="nil"/>
            </w:tcBorders>
            <w:noWrap/>
            <w:vAlign w:val="bottom"/>
          </w:tcPr>
          <w:p w:rsidR="00C940FA" w:rsidRPr="00750A24" w:rsidRDefault="00C940FA">
            <w:pPr>
              <w:rPr>
                <w:rFonts w:ascii="Arial" w:hAnsi="Arial" w:cs="Arial"/>
                <w:b/>
                <w:bCs/>
              </w:rPr>
            </w:pPr>
            <w:r w:rsidRPr="00750A24">
              <w:rPr>
                <w:rFonts w:ascii="Arial" w:hAnsi="Arial" w:cs="Arial"/>
                <w:b/>
                <w:bCs/>
              </w:rPr>
              <w:t>Övriga dokument</w:t>
            </w:r>
          </w:p>
        </w:tc>
        <w:tc>
          <w:tcPr>
            <w:tcW w:w="5389" w:type="dxa"/>
            <w:tcBorders>
              <w:top w:val="single" w:sz="4" w:space="0" w:color="auto"/>
              <w:left w:val="nil"/>
              <w:bottom w:val="single" w:sz="4" w:space="0" w:color="auto"/>
              <w:right w:val="single" w:sz="4" w:space="0" w:color="auto"/>
            </w:tcBorders>
            <w:noWrap/>
            <w:vAlign w:val="bottom"/>
          </w:tcPr>
          <w:p w:rsidR="00C940FA" w:rsidRPr="00750A24" w:rsidRDefault="00C940FA">
            <w:pPr>
              <w:rPr>
                <w:rFonts w:ascii="Arial" w:hAnsi="Arial" w:cs="Arial"/>
                <w:sz w:val="20"/>
                <w:szCs w:val="20"/>
              </w:rPr>
            </w:pPr>
            <w:r w:rsidRPr="00750A24">
              <w:rPr>
                <w:rFonts w:ascii="Arial" w:hAnsi="Arial" w:cs="Arial"/>
                <w:sz w:val="20"/>
                <w:szCs w:val="20"/>
              </w:rPr>
              <w:t> </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255"/>
        </w:trPr>
        <w:tc>
          <w:tcPr>
            <w:tcW w:w="1821" w:type="dxa"/>
            <w:tcBorders>
              <w:top w:val="nil"/>
              <w:left w:val="single" w:sz="4" w:space="0" w:color="auto"/>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Inlämnat</w:t>
            </w:r>
          </w:p>
        </w:tc>
        <w:tc>
          <w:tcPr>
            <w:tcW w:w="1842"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Beteckning</w:t>
            </w:r>
          </w:p>
        </w:tc>
        <w:tc>
          <w:tcPr>
            <w:tcW w:w="5389" w:type="dxa"/>
            <w:tcBorders>
              <w:top w:val="nil"/>
              <w:left w:val="nil"/>
              <w:bottom w:val="single" w:sz="4" w:space="0" w:color="auto"/>
              <w:right w:val="single" w:sz="4" w:space="0" w:color="auto"/>
            </w:tcBorders>
            <w:shd w:val="clear" w:color="auto" w:fill="A9A9A9"/>
            <w:noWrap/>
            <w:vAlign w:val="bottom"/>
          </w:tcPr>
          <w:p w:rsidR="00C940FA" w:rsidRPr="00750A24" w:rsidRDefault="00C940FA">
            <w:pPr>
              <w:rPr>
                <w:rFonts w:ascii="Arial" w:hAnsi="Arial" w:cs="Arial"/>
                <w:sz w:val="20"/>
                <w:szCs w:val="20"/>
              </w:rPr>
            </w:pPr>
            <w:r w:rsidRPr="00750A24">
              <w:rPr>
                <w:rFonts w:ascii="Arial" w:hAnsi="Arial" w:cs="Arial"/>
                <w:sz w:val="20"/>
                <w:szCs w:val="20"/>
              </w:rPr>
              <w:t>Rubrik</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r w:rsidR="00C940FA" w:rsidRPr="00750A24" w:rsidTr="00C940FA">
        <w:trPr>
          <w:trHeight w:val="1275"/>
        </w:trPr>
        <w:tc>
          <w:tcPr>
            <w:tcW w:w="1821" w:type="dxa"/>
            <w:tcBorders>
              <w:top w:val="single" w:sz="4" w:space="0" w:color="A9A9A9"/>
              <w:left w:val="single" w:sz="4" w:space="0" w:color="A9A9A9"/>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2012-02-22</w:t>
            </w:r>
          </w:p>
        </w:tc>
        <w:tc>
          <w:tcPr>
            <w:tcW w:w="1842"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Dokument antagna av Europaparlamentet 1-2 februari 2012</w:t>
            </w:r>
          </w:p>
        </w:tc>
        <w:tc>
          <w:tcPr>
            <w:tcW w:w="5389" w:type="dxa"/>
            <w:tcBorders>
              <w:top w:val="single" w:sz="4" w:space="0" w:color="A9A9A9"/>
              <w:left w:val="nil"/>
              <w:bottom w:val="single" w:sz="4" w:space="0" w:color="A9A9A9"/>
              <w:right w:val="single" w:sz="4" w:space="0" w:color="A9A9A9"/>
            </w:tcBorders>
            <w:vAlign w:val="center"/>
          </w:tcPr>
          <w:p w:rsidR="00C940FA" w:rsidRPr="00750A24" w:rsidRDefault="00C940FA">
            <w:pPr>
              <w:rPr>
                <w:rFonts w:ascii="Arial" w:hAnsi="Arial" w:cs="Arial"/>
                <w:sz w:val="20"/>
                <w:szCs w:val="20"/>
              </w:rPr>
            </w:pPr>
            <w:r w:rsidRPr="00750A24">
              <w:rPr>
                <w:rFonts w:ascii="Arial" w:hAnsi="Arial" w:cs="Arial"/>
                <w:sz w:val="20"/>
                <w:szCs w:val="20"/>
              </w:rPr>
              <w:t>Översändande av dokument antagna av Europaparlamentet under sammanträdesperioden den 1-2 februari 2012</w:t>
            </w:r>
          </w:p>
        </w:tc>
        <w:tc>
          <w:tcPr>
            <w:tcW w:w="637" w:type="dxa"/>
            <w:tcBorders>
              <w:top w:val="nil"/>
              <w:left w:val="nil"/>
              <w:bottom w:val="nil"/>
              <w:right w:val="nil"/>
            </w:tcBorders>
            <w:noWrap/>
            <w:vAlign w:val="bottom"/>
          </w:tcPr>
          <w:p w:rsidR="00C940FA" w:rsidRPr="00750A24" w:rsidRDefault="00C940FA">
            <w:pPr>
              <w:rPr>
                <w:rFonts w:ascii="Arial" w:hAnsi="Arial" w:cs="Arial"/>
                <w:sz w:val="20"/>
                <w:szCs w:val="20"/>
              </w:rPr>
            </w:pPr>
          </w:p>
        </w:tc>
      </w:tr>
    </w:tbl>
    <w:p w:rsidR="00E65F3A" w:rsidRPr="00750A24" w:rsidRDefault="00E65F3A" w:rsidP="00C940FA"/>
    <w:sectPr w:rsidR="00E65F3A" w:rsidRPr="00750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3A"/>
    <w:rsid w:val="00750A24"/>
    <w:rsid w:val="00C86C3F"/>
    <w:rsid w:val="00C940FA"/>
    <w:rsid w:val="00E65F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CD3ED-DB6D-4568-B372-C84E3328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5590">
      <w:bodyDiv w:val="1"/>
      <w:marLeft w:val="0"/>
      <w:marRight w:val="0"/>
      <w:marTop w:val="0"/>
      <w:marBottom w:val="0"/>
      <w:divBdr>
        <w:top w:val="none" w:sz="0" w:space="0" w:color="auto"/>
        <w:left w:val="none" w:sz="0" w:space="0" w:color="auto"/>
        <w:bottom w:val="none" w:sz="0" w:space="0" w:color="auto"/>
        <w:right w:val="none" w:sz="0" w:space="0" w:color="auto"/>
      </w:divBdr>
    </w:div>
    <w:div w:id="1636566657">
      <w:bodyDiv w:val="1"/>
      <w:marLeft w:val="0"/>
      <w:marRight w:val="0"/>
      <w:marTop w:val="0"/>
      <w:marBottom w:val="0"/>
      <w:divBdr>
        <w:top w:val="none" w:sz="0" w:space="0" w:color="auto"/>
        <w:left w:val="none" w:sz="0" w:space="0" w:color="auto"/>
        <w:bottom w:val="none" w:sz="0" w:space="0" w:color="auto"/>
        <w:right w:val="none" w:sz="0" w:space="0" w:color="auto"/>
      </w:divBdr>
    </w:div>
    <w:div w:id="19831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1599</Characters>
  <Application>Microsoft Office Word</Application>
  <DocSecurity>4</DocSecurity>
  <Lines>106</Lines>
  <Paragraphs>44</Paragraphs>
  <ScaleCrop>false</ScaleCrop>
  <HeadingPairs>
    <vt:vector size="2" baseType="variant">
      <vt:variant>
        <vt:lpstr>Rubrik</vt:lpstr>
      </vt:variant>
      <vt:variant>
        <vt:i4>1</vt:i4>
      </vt:variant>
    </vt:vector>
  </HeadingPairs>
  <TitlesOfParts>
    <vt:vector size="1" baseType="lpstr">
      <vt:lpstr>Till JuU inkomna EU-dokument 14 feb - 29 feb 2012</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JuU inkomna EU-dokument 14 feb - 29 feb 2012</dc:title>
  <dc:subject>Till JuU inkomna EU-dokument 14 feb - 29 feb 2012</dc:subject>
  <dc:creator>Riksdagen</dc:creator>
  <cp:keywords>Riksdagen</cp:keywords>
  <dc:description/>
  <cp:lastModifiedBy>Lars Brink</cp:lastModifiedBy>
  <cp:revision>2</cp:revision>
  <dcterms:created xsi:type="dcterms:W3CDTF">2025-12-17T21:46:00Z</dcterms:created>
  <dcterms:modified xsi:type="dcterms:W3CDTF">2025-12-17T21:46:00Z</dcterms:modified>
</cp:coreProperties>
</file>