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4D767D">
        <w:tblPrEx>
          <w:tblCellMar>
            <w:top w:w="0" w:type="dxa"/>
            <w:left w:w="0" w:type="dxa"/>
            <w:bottom w:w="0" w:type="dxa"/>
            <w:right w:w="0" w:type="dxa"/>
          </w:tblCellMar>
        </w:tblPrEx>
        <w:trPr>
          <w:gridAfter w:val="2"/>
          <w:wAfter w:w="1758" w:type="dxa"/>
          <w:cantSplit/>
          <w:trHeight w:val="1320"/>
        </w:trPr>
        <w:tc>
          <w:tcPr>
            <w:tcW w:w="5897" w:type="dxa"/>
          </w:tcPr>
          <w:p w:rsidR="00080EA2" w:rsidRPr="004D767D" w:rsidRDefault="00080EA2">
            <w:pPr>
              <w:pStyle w:val="HuvudRubrik"/>
            </w:pPr>
            <w:r w:rsidRPr="004D767D">
              <w:t>Regeringskansliet</w:t>
            </w:r>
          </w:p>
          <w:p w:rsidR="00080EA2" w:rsidRPr="004D767D" w:rsidRDefault="00080EA2">
            <w:pPr>
              <w:pStyle w:val="HuvudRubrik"/>
            </w:pPr>
            <w:r w:rsidRPr="004D767D">
              <w:t>Faktapromemoria  2007/08:FPM15</w:t>
            </w:r>
          </w:p>
        </w:tc>
      </w:tr>
      <w:tr w:rsidR="00000000" w:rsidRPr="004D767D">
        <w:tblPrEx>
          <w:tblCellMar>
            <w:top w:w="0" w:type="dxa"/>
            <w:left w:w="0" w:type="dxa"/>
            <w:bottom w:w="0" w:type="dxa"/>
            <w:right w:w="0" w:type="dxa"/>
          </w:tblCellMar>
        </w:tblPrEx>
        <w:trPr>
          <w:gridAfter w:val="2"/>
          <w:wAfter w:w="1758" w:type="dxa"/>
          <w:cantSplit/>
          <w:trHeight w:val="240"/>
        </w:trPr>
        <w:tc>
          <w:tcPr>
            <w:tcW w:w="5897" w:type="dxa"/>
          </w:tcPr>
          <w:p w:rsidR="00080EA2" w:rsidRPr="004D767D" w:rsidRDefault="00080EA2">
            <w:pPr>
              <w:pStyle w:val="HuvudRubrik"/>
              <w:rPr>
                <w:sz w:val="28"/>
              </w:rPr>
            </w:pPr>
            <w:r w:rsidRPr="004D767D">
              <w:t>Rådsbeslut om ett europeiskt migrationsnätverk</w:t>
            </w:r>
          </w:p>
        </w:tc>
      </w:tr>
      <w:tr w:rsidR="00000000" w:rsidRPr="004D767D">
        <w:tblPrEx>
          <w:tblCellMar>
            <w:top w:w="0" w:type="dxa"/>
            <w:left w:w="0" w:type="dxa"/>
            <w:bottom w:w="0" w:type="dxa"/>
            <w:right w:w="0" w:type="dxa"/>
          </w:tblCellMar>
        </w:tblPrEx>
        <w:trPr>
          <w:cantSplit/>
          <w:trHeight w:val="285"/>
        </w:trPr>
        <w:tc>
          <w:tcPr>
            <w:tcW w:w="7655" w:type="dxa"/>
            <w:gridSpan w:val="3"/>
          </w:tcPr>
          <w:p w:rsidR="00080EA2" w:rsidRPr="004D767D" w:rsidRDefault="00080EA2">
            <w:pPr>
              <w:pStyle w:val="Departement"/>
              <w:rPr>
                <w:sz w:val="28"/>
              </w:rPr>
            </w:pPr>
            <w:r w:rsidRPr="004D767D">
              <w:t>Justitiedepartementet</w:t>
            </w:r>
          </w:p>
        </w:tc>
      </w:tr>
      <w:tr w:rsidR="00000000" w:rsidRPr="004D767D">
        <w:tblPrEx>
          <w:tblCellMar>
            <w:top w:w="0" w:type="dxa"/>
            <w:left w:w="0" w:type="dxa"/>
            <w:bottom w:w="0" w:type="dxa"/>
            <w:right w:w="0" w:type="dxa"/>
          </w:tblCellMar>
        </w:tblPrEx>
        <w:trPr>
          <w:cantSplit/>
          <w:trHeight w:val="240"/>
        </w:trPr>
        <w:tc>
          <w:tcPr>
            <w:tcW w:w="7655" w:type="dxa"/>
            <w:gridSpan w:val="3"/>
          </w:tcPr>
          <w:p w:rsidR="00080EA2" w:rsidRPr="004D767D" w:rsidRDefault="00080EA2">
            <w:pPr>
              <w:pStyle w:val="Dokumentdatum"/>
            </w:pPr>
            <w:r w:rsidRPr="004D767D">
              <w:t>2007-10-29</w:t>
            </w:r>
          </w:p>
        </w:tc>
      </w:tr>
      <w:tr w:rsidR="00000000" w:rsidRPr="004D767D">
        <w:tblPrEx>
          <w:tblCellMar>
            <w:top w:w="0" w:type="dxa"/>
            <w:left w:w="0" w:type="dxa"/>
            <w:bottom w:w="0" w:type="dxa"/>
            <w:right w:w="0" w:type="dxa"/>
          </w:tblCellMar>
        </w:tblPrEx>
        <w:trPr>
          <w:cantSplit/>
          <w:trHeight w:val="726"/>
        </w:trPr>
        <w:tc>
          <w:tcPr>
            <w:tcW w:w="7655" w:type="dxa"/>
            <w:gridSpan w:val="3"/>
            <w:vAlign w:val="bottom"/>
          </w:tcPr>
          <w:p w:rsidR="00080EA2" w:rsidRPr="004D767D" w:rsidRDefault="00080EA2">
            <w:pPr>
              <w:pStyle w:val="Dokumentbeteckning"/>
            </w:pPr>
            <w:r w:rsidRPr="004D767D">
              <w:t>Dokumentbeteckning</w:t>
            </w:r>
          </w:p>
        </w:tc>
      </w:tr>
      <w:tr w:rsidR="00000000" w:rsidRPr="004D767D">
        <w:tblPrEx>
          <w:tblCellMar>
            <w:top w:w="0" w:type="dxa"/>
            <w:left w:w="0" w:type="dxa"/>
            <w:bottom w:w="0" w:type="dxa"/>
            <w:right w:w="0" w:type="dxa"/>
          </w:tblCellMar>
        </w:tblPrEx>
        <w:trPr>
          <w:gridAfter w:val="1"/>
          <w:wAfter w:w="1560" w:type="dxa"/>
          <w:trHeight w:val="120"/>
        </w:trPr>
        <w:tc>
          <w:tcPr>
            <w:tcW w:w="6095" w:type="dxa"/>
            <w:gridSpan w:val="2"/>
          </w:tcPr>
          <w:p w:rsidR="00080EA2" w:rsidRPr="004D767D" w:rsidRDefault="00080EA2">
            <w:bookmarkStart w:id="0" w:name="KomNr"/>
            <w:bookmarkEnd w:id="0"/>
            <w:r w:rsidRPr="004D767D">
              <w:t>KOM (2007) 466 slutlig</w:t>
            </w:r>
          </w:p>
        </w:tc>
      </w:tr>
      <w:tr w:rsidR="00000000" w:rsidRPr="004D767D">
        <w:tblPrEx>
          <w:tblCellMar>
            <w:top w:w="0" w:type="dxa"/>
            <w:left w:w="0" w:type="dxa"/>
            <w:bottom w:w="0" w:type="dxa"/>
            <w:right w:w="0" w:type="dxa"/>
          </w:tblCellMar>
        </w:tblPrEx>
        <w:trPr>
          <w:gridAfter w:val="1"/>
          <w:wAfter w:w="1560" w:type="dxa"/>
          <w:trHeight w:val="120"/>
        </w:trPr>
        <w:tc>
          <w:tcPr>
            <w:tcW w:w="6095" w:type="dxa"/>
            <w:gridSpan w:val="2"/>
          </w:tcPr>
          <w:p w:rsidR="00080EA2" w:rsidRPr="004D767D" w:rsidRDefault="00080EA2">
            <w:pPr>
              <w:pStyle w:val="Dokumentbeteckning-titel"/>
            </w:pPr>
            <w:r w:rsidRPr="004D767D">
              <w:t>Rådsbeslut om ett europeiskt migrationsnätverk</w:t>
            </w:r>
          </w:p>
        </w:tc>
      </w:tr>
      <w:tr w:rsidR="00000000" w:rsidRPr="004D767D">
        <w:tblPrEx>
          <w:tblCellMar>
            <w:top w:w="0" w:type="dxa"/>
            <w:left w:w="0" w:type="dxa"/>
            <w:bottom w:w="0" w:type="dxa"/>
            <w:right w:w="0" w:type="dxa"/>
          </w:tblCellMar>
        </w:tblPrEx>
        <w:trPr>
          <w:gridAfter w:val="1"/>
          <w:wAfter w:w="1560" w:type="dxa"/>
          <w:trHeight w:val="120"/>
        </w:trPr>
        <w:tc>
          <w:tcPr>
            <w:tcW w:w="6095" w:type="dxa"/>
            <w:gridSpan w:val="2"/>
          </w:tcPr>
          <w:p w:rsidR="00080EA2" w:rsidRPr="004D767D" w:rsidRDefault="00080EA2">
            <w:r w:rsidRPr="004D767D">
              <w:t>SEC(2007) 1062</w:t>
            </w:r>
          </w:p>
        </w:tc>
      </w:tr>
      <w:tr w:rsidR="00000000" w:rsidRPr="004D767D">
        <w:tblPrEx>
          <w:tblCellMar>
            <w:top w:w="0" w:type="dxa"/>
            <w:left w:w="0" w:type="dxa"/>
            <w:bottom w:w="0" w:type="dxa"/>
            <w:right w:w="0" w:type="dxa"/>
          </w:tblCellMar>
        </w:tblPrEx>
        <w:trPr>
          <w:gridAfter w:val="1"/>
          <w:wAfter w:w="1560" w:type="dxa"/>
          <w:trHeight w:val="120"/>
        </w:trPr>
        <w:tc>
          <w:tcPr>
            <w:tcW w:w="6095" w:type="dxa"/>
            <w:gridSpan w:val="2"/>
          </w:tcPr>
          <w:p w:rsidR="00080EA2" w:rsidRPr="004D767D" w:rsidRDefault="00080EA2">
            <w:pPr>
              <w:pStyle w:val="Dokumentbeteckning-titel"/>
            </w:pPr>
            <w:r w:rsidRPr="004D767D">
              <w:t xml:space="preserve"> </w:t>
            </w:r>
          </w:p>
        </w:tc>
      </w:tr>
    </w:tbl>
    <w:p w:rsidR="00080EA2" w:rsidRPr="004D767D" w:rsidRDefault="00080EA2"/>
    <w:p w:rsidR="00080EA2" w:rsidRPr="004D767D" w:rsidRDefault="00080EA2">
      <w:pPr>
        <w:pStyle w:val="Rubrik1"/>
        <w:numPr>
          <w:ilvl w:val="0"/>
          <w:numId w:val="0"/>
        </w:numPr>
        <w:jc w:val="both"/>
      </w:pPr>
      <w:r w:rsidRPr="004D767D">
        <w:t>Sammanfattning</w:t>
      </w:r>
    </w:p>
    <w:p w:rsidR="00080EA2" w:rsidRPr="004D767D" w:rsidRDefault="00080EA2">
      <w:r w:rsidRPr="004D767D">
        <w:t>Som svar på Europeiska rådets uppmaning vid mötet i Laeken i december 2001 att inrätta ett ”system för utbyte av information om asyl, migration och ursprungsländer” upprättade kommissionen ett europeiskt migrationsnätverk som ett pilotprojekt under en försöksperiod mellan 2002 och 2006.</w:t>
      </w:r>
    </w:p>
    <w:p w:rsidR="00080EA2" w:rsidRPr="004D767D" w:rsidRDefault="00080EA2"/>
    <w:p w:rsidR="00080EA2" w:rsidRPr="004D767D" w:rsidRDefault="00080EA2">
      <w:r w:rsidRPr="004D767D">
        <w:t xml:space="preserve">I syfte att formalisera migrationsnätverket presenterade kommissionen i augusti 2007 ett förslag till rådsbeslut om inrättande av ett europeiskt migrationsnätverk (KOM (2007)466 slutlig). Förslaget anger de viktigaste beståndsdelarna av migrationsnätverkets verksamhet, nämligen dess målsättning, arbetsuppgifter, struktur, system för informationsutbyte, finansieringssätt och förbindelser med andra organisationer. </w:t>
      </w:r>
    </w:p>
    <w:p w:rsidR="00080EA2" w:rsidRPr="004D767D" w:rsidRDefault="00080EA2"/>
    <w:p w:rsidR="00080EA2" w:rsidRPr="004D767D" w:rsidRDefault="00080EA2">
      <w:r w:rsidRPr="004D767D">
        <w:t>Regeringen ser positivt på förslaget att formalisera migrationsnätverket.</w:t>
      </w:r>
    </w:p>
    <w:p w:rsidR="00080EA2" w:rsidRPr="004D767D" w:rsidRDefault="00080EA2"/>
    <w:p w:rsidR="00080EA2" w:rsidRPr="004D767D" w:rsidRDefault="00080EA2">
      <w:r w:rsidRPr="004D767D">
        <w:t>Beslutet föreslås tillämpas från och med 1 januari 2008.</w:t>
      </w:r>
    </w:p>
    <w:p w:rsidR="00080EA2" w:rsidRPr="004D767D" w:rsidRDefault="00080EA2"/>
    <w:p w:rsidR="00080EA2" w:rsidRPr="004D767D" w:rsidRDefault="00080EA2">
      <w:pPr>
        <w:pStyle w:val="Rubrik1"/>
        <w:jc w:val="both"/>
      </w:pPr>
      <w:r w:rsidRPr="004D767D">
        <w:lastRenderedPageBreak/>
        <w:t>Förslaget</w:t>
      </w:r>
    </w:p>
    <w:p w:rsidR="00080EA2" w:rsidRPr="004D767D" w:rsidRDefault="00080EA2">
      <w:pPr>
        <w:pStyle w:val="Rubrik2"/>
        <w:numPr>
          <w:ilvl w:val="0"/>
          <w:numId w:val="0"/>
        </w:numPr>
        <w:jc w:val="both"/>
      </w:pPr>
      <w:r w:rsidRPr="004D767D">
        <w:t>1.1 Innehåll</w:t>
      </w:r>
    </w:p>
    <w:p w:rsidR="00080EA2" w:rsidRPr="004D767D" w:rsidRDefault="00080EA2">
      <w:pPr>
        <w:pStyle w:val="Rubrik3"/>
        <w:jc w:val="both"/>
      </w:pPr>
      <w:r w:rsidRPr="004D767D">
        <w:t>Inledning</w:t>
      </w:r>
    </w:p>
    <w:p w:rsidR="00080EA2" w:rsidRPr="004D767D" w:rsidRDefault="00080EA2">
      <w:r w:rsidRPr="004D767D">
        <w:t xml:space="preserve">Det europeiska migrationsnätverket upprättades som ett pilotprojekt 2002 efter en uppmaning från Europeiska rådet att skapa ett system för ”utbyte av information om asyl, migration och ursprungsländer”. Europeiska rådet uttryckte i slutsatserna från sitt möte i Thessaloniki i juni 2003 sin tillfredställelse över att nätverket hade upprättats och ville se över möjligheterna att skapa en permanent struktur. </w:t>
      </w:r>
    </w:p>
    <w:p w:rsidR="00080EA2" w:rsidRPr="004D767D" w:rsidRDefault="00080EA2">
      <w:r w:rsidRPr="004D767D">
        <w:t>Haagprogrammet som antogs av Europeiska rådet i november 2004 fastställde att en utveckling mot en gemensam asyl- och migrationspolitik bör ta sitt avstamp i en ”gemensam analys av alla aspekter av migrationsfenomenet” genom att stärka ”insamlingen, tillhandahållandet, utbytet och en effektiv användning av aktuell information och data om all relevant migrationsutveckling”.</w:t>
      </w:r>
    </w:p>
    <w:p w:rsidR="00080EA2" w:rsidRPr="004D767D" w:rsidRDefault="00080EA2">
      <w:r w:rsidRPr="004D767D">
        <w:t>I augusti 2007 presenterade kommissionen ett förslag till rådsbeslut om inrättande av ett europeiskt migrationsnätverk i syfte att formalisera nätverket. I förslaget fastställs nätverkets mål till ”att tillgodose behovet av information för gemenskapsinstitutionerna, medlemsstaternas myndigheter och institutioner samt allmänheten i frågor som rör migration och asyl genom att tillhandahålla aktuell, objektiv, tillförlitlig och jämförbar information om migration och asyl i syfte att stödja politikutformningen</w:t>
      </w:r>
      <w:r w:rsidRPr="004D767D">
        <w:t xml:space="preserve"> och beslutsfattandet i Europeiska unionen på dessa områden.”</w:t>
      </w:r>
    </w:p>
    <w:p w:rsidR="00080EA2" w:rsidRPr="004D767D" w:rsidRDefault="00080EA2">
      <w:pPr>
        <w:pStyle w:val="Rubrik3"/>
        <w:jc w:val="both"/>
      </w:pPr>
      <w:r w:rsidRPr="004D767D">
        <w:t>Europeiska migrationsnätverkets uppgifter</w:t>
      </w:r>
    </w:p>
    <w:p w:rsidR="00080EA2" w:rsidRPr="004D767D" w:rsidRDefault="00080EA2">
      <w:r w:rsidRPr="004D767D">
        <w:t xml:space="preserve">Europeiska migrationsnätverkets uppgifter föreslås vara att samla in, analysera och utbyta information om migration och asyl från olika källor och sprida den till berörda aktörer. Nätverket förväntas bidra till att utveckla metoder för att förbättra tillförlitligheten, objektiviteten och jämförbarheten när det gäller data på  asyl- och migrationsområdet på gemenskapsnivå. </w:t>
      </w:r>
    </w:p>
    <w:p w:rsidR="00080EA2" w:rsidRPr="004D767D" w:rsidRDefault="00080EA2">
      <w:pPr>
        <w:pStyle w:val="Rubrik4"/>
        <w:jc w:val="both"/>
      </w:pPr>
      <w:r w:rsidRPr="004D767D">
        <w:t>System för informationsutbyte</w:t>
      </w:r>
    </w:p>
    <w:p w:rsidR="00080EA2" w:rsidRPr="004D767D" w:rsidRDefault="00080EA2">
      <w:r w:rsidRPr="004D767D">
        <w:t>Europeiska migrationsnätverket föreslås bestå av ett internetbaserat system som, med undantag för eventuella konfidentiella uppgifter, ska hållas tillgängligt för beslutsfattare och allmänheten via en gemensam webbplats. Nationella kontaktpunkter föreslås tillhandahålla information om nationell och gemenskapslagstiftning, rättspraxis samt utarbetar och offentliggör egna landrapporter på webbplatsen. En förteckning över forskare och forskningsinstitut som arbetar inom asyl- och migrationsområdet ska göras t</w:t>
      </w:r>
      <w:r w:rsidRPr="004D767D">
        <w:t xml:space="preserve">illgänglig. </w:t>
      </w:r>
    </w:p>
    <w:p w:rsidR="00080EA2" w:rsidRPr="004D767D" w:rsidRDefault="00080EA2">
      <w:pPr>
        <w:pStyle w:val="Rubrik3"/>
        <w:jc w:val="both"/>
      </w:pPr>
      <w:r w:rsidRPr="004D767D">
        <w:t>Europeiska migrationsnätverkets struktur</w:t>
      </w:r>
    </w:p>
    <w:p w:rsidR="00080EA2" w:rsidRPr="004D767D" w:rsidRDefault="00080EA2">
      <w:r w:rsidRPr="004D767D">
        <w:t>Förslaget anger de nationella kontaktpunkterna och kommissionen som migrationsnätverkets huvudsakliga komponenter. Dessa föreslås emellertid understödjas av andra relevanta aktörer.</w:t>
      </w:r>
    </w:p>
    <w:p w:rsidR="00080EA2" w:rsidRPr="004D767D" w:rsidRDefault="00080EA2"/>
    <w:p w:rsidR="00080EA2" w:rsidRPr="004D767D" w:rsidRDefault="00080EA2">
      <w:r w:rsidRPr="004D767D">
        <w:t>För att uppfylla de mål som ställs på det europeiska migrationsnätverket ska varje medlemsstat enligt förslaget utse en nationell kontaktpunkt. De nationella kontaktpunkterna ska etablera ett nationellt nätverk inom det asyl- och migrationspolitiska området för att skapa en bred kunskapsbas. Kommissionen ska samordna de nationella kontaktpunkterna och sammankalla representanter för nätverket för att utbyta kunskap och erfarenheter om verksamheten samt bedöma framsteg i nätverkets arbete. Kommissionen godkän</w:t>
      </w:r>
      <w:r w:rsidRPr="004D767D">
        <w:t>ner nätverkets årliga verksamhetsprogram. Kommissionen ska även kontrollera att de nationella kontaktpunkterna uppfyller de kvalitetskrav som ställs på dem och beviljar anslag till de nationella kontaktpunkterna.</w:t>
      </w:r>
    </w:p>
    <w:p w:rsidR="00080EA2" w:rsidRPr="004D767D" w:rsidRDefault="00080EA2"/>
    <w:p w:rsidR="00080EA2" w:rsidRPr="004D767D" w:rsidRDefault="00080EA2">
      <w:r w:rsidRPr="004D767D">
        <w:t xml:space="preserve">Förslaget anger att en styrelse ska etableras bestående av representanter från samtliga medlemsstater, kommissionen (som bistås av två vetenskapliga experter) och Europaparlamentet. Styrelsen ska delta i utformandet av nätverkets årliga verksamhetsprogram och även bistå de nationella kontaktpunkterna med råd och stöd i deras verksamhet. </w:t>
      </w:r>
    </w:p>
    <w:p w:rsidR="00080EA2" w:rsidRPr="004D767D" w:rsidRDefault="00080EA2"/>
    <w:p w:rsidR="00080EA2" w:rsidRPr="004D767D" w:rsidRDefault="00080EA2">
      <w:r w:rsidRPr="004D767D">
        <w:t xml:space="preserve">Kommissionen föreslås utse en tjänsteleverantör som ska bistå med kompetens i de tekniska frågor som rör migrationsnätverket. Tjänsteleverantören ansvarar för att upprätta ett IT-system och en webbplats. </w:t>
      </w:r>
    </w:p>
    <w:p w:rsidR="00080EA2" w:rsidRPr="004D767D" w:rsidRDefault="00080EA2">
      <w:pPr>
        <w:pStyle w:val="Rubrik4"/>
        <w:jc w:val="both"/>
      </w:pPr>
      <w:r w:rsidRPr="004D767D">
        <w:t xml:space="preserve">Europeiska migrationsnätverkets särdrag </w:t>
      </w:r>
    </w:p>
    <w:p w:rsidR="00080EA2" w:rsidRPr="004D767D" w:rsidRDefault="00080EA2">
      <w:r w:rsidRPr="004D767D">
        <w:t xml:space="preserve">I förslaget betonas att migrationsnätverket ska tillföra ett mervärde i förhållande till andra instrument för informationsutbyte på asyl- och migrationsområdet. Migrationsnätverkets särdrag i förhållande till övriga strukturer är framförallt nätverkets bredd vad gäller arbetsuppgifter, tonvikten på analys, samt den breda spridningen av resultat och kopplingen till den akademiska världen. </w:t>
      </w:r>
    </w:p>
    <w:p w:rsidR="00080EA2" w:rsidRPr="004D767D" w:rsidRDefault="00080EA2">
      <w:pPr>
        <w:pStyle w:val="Rubrik3"/>
        <w:jc w:val="both"/>
      </w:pPr>
      <w:r w:rsidRPr="004D767D">
        <w:t>Finansieringsöversikt</w:t>
      </w:r>
    </w:p>
    <w:p w:rsidR="00080EA2" w:rsidRPr="004D767D" w:rsidRDefault="00080EA2"/>
    <w:p w:rsidR="00080EA2" w:rsidRPr="004D767D" w:rsidRDefault="00080EA2">
      <w:r w:rsidRPr="004D767D">
        <w:t>Kommissionen föreslår att migrationsnätverket ska samfinansieras av medlemsstaterna och gemenskapens budget. Den del av nätverket som ska täckas av gemenskapens budget (upp till 80 procent av de nationella kontaktpunkternas verksamhet) ska bekostas genom anslag i Europeiska unionens allmänna budget. Kommissionen tillämpar gemenskapsstödet i enlighet med rådets förordning (EG, Euroatom) nr 1605/2002 av den 25 juni 2002. De sex första åren uppgår anslagen till 56,7 miljoner euro.</w:t>
      </w:r>
    </w:p>
    <w:p w:rsidR="00080EA2" w:rsidRPr="004D767D" w:rsidRDefault="00080EA2"/>
    <w:p w:rsidR="00080EA2" w:rsidRPr="004D767D" w:rsidRDefault="00080EA2"/>
    <w:p w:rsidR="00080EA2" w:rsidRPr="004D767D" w:rsidRDefault="00080EA2">
      <w:r w:rsidRPr="004D767D">
        <w:t>1.1.7 Tidsram</w:t>
      </w:r>
    </w:p>
    <w:p w:rsidR="00080EA2" w:rsidRPr="004D767D" w:rsidRDefault="00080EA2"/>
    <w:p w:rsidR="00080EA2" w:rsidRPr="004D767D" w:rsidRDefault="00080EA2">
      <w:r w:rsidRPr="004D767D">
        <w:t xml:space="preserve">Beslutet  föreslås träda i kraft den 1 januari 2008. </w:t>
      </w:r>
    </w:p>
    <w:p w:rsidR="00080EA2" w:rsidRPr="004D767D" w:rsidRDefault="00080EA2">
      <w:pPr>
        <w:pStyle w:val="Rubrik2"/>
        <w:jc w:val="both"/>
      </w:pPr>
      <w:r w:rsidRPr="004D767D">
        <w:t>Gällande svenska regler och förslagets effekt på dessa</w:t>
      </w:r>
    </w:p>
    <w:p w:rsidR="00080EA2" w:rsidRPr="004D767D" w:rsidRDefault="00080EA2">
      <w:pPr>
        <w:autoSpaceDE w:val="0"/>
        <w:autoSpaceDN w:val="0"/>
        <w:adjustRightInd w:val="0"/>
        <w:spacing w:before="0" w:line="240" w:lineRule="atLeast"/>
        <w:jc w:val="left"/>
        <w:rPr>
          <w:color w:val="000000"/>
          <w:sz w:val="18"/>
          <w:szCs w:val="18"/>
          <w:lang w:eastAsia="en-US"/>
        </w:rPr>
      </w:pPr>
    </w:p>
    <w:p w:rsidR="00080EA2" w:rsidRPr="004D767D" w:rsidRDefault="00080EA2">
      <w:pPr>
        <w:autoSpaceDE w:val="0"/>
        <w:autoSpaceDN w:val="0"/>
        <w:adjustRightInd w:val="0"/>
        <w:spacing w:before="0" w:line="240" w:lineRule="atLeast"/>
        <w:jc w:val="left"/>
        <w:rPr>
          <w:color w:val="000000"/>
          <w:szCs w:val="19"/>
          <w:lang w:eastAsia="en-US"/>
        </w:rPr>
      </w:pPr>
      <w:r w:rsidRPr="004D767D">
        <w:rPr>
          <w:color w:val="000000"/>
          <w:szCs w:val="19"/>
          <w:lang w:eastAsia="en-US"/>
        </w:rPr>
        <w:t>Lagen om den officiella statistiken (2001:99) och förordningen om den officiella statistiken (2001:100) anger bl.a. att officiell statistik ska finnas för allmän information, utredningsverksamhet och forskning. Förslaget får ingen effekt på lagen eller förordningen</w:t>
      </w:r>
      <w:r w:rsidRPr="004D767D">
        <w:rPr>
          <w:rFonts w:ascii="Helv" w:hAnsi="Helv" w:cs="Helv"/>
          <w:color w:val="000000"/>
          <w:szCs w:val="19"/>
          <w:lang w:eastAsia="en-US"/>
        </w:rPr>
        <w:t xml:space="preserve">. </w:t>
      </w:r>
    </w:p>
    <w:p w:rsidR="00080EA2" w:rsidRPr="004D767D" w:rsidRDefault="00080EA2">
      <w:pPr>
        <w:pStyle w:val="Rubrik2"/>
        <w:jc w:val="both"/>
      </w:pPr>
      <w:r w:rsidRPr="004D767D">
        <w:t>Budgetära konsekvenser</w:t>
      </w:r>
    </w:p>
    <w:p w:rsidR="00080EA2" w:rsidRPr="004D767D" w:rsidRDefault="00080EA2"/>
    <w:p w:rsidR="00080EA2" w:rsidRPr="004D767D" w:rsidRDefault="00080EA2">
      <w:r w:rsidRPr="004D767D">
        <w:t>För medlemsstaterna beräknas den gemensamma kostnaden för de sex första åren uppgå till 10,8 miljoner euro. Det är oklart hur stor kostnaden kommer att bli för Sverige.</w:t>
      </w:r>
    </w:p>
    <w:p w:rsidR="00080EA2" w:rsidRPr="004D767D" w:rsidRDefault="00080EA2">
      <w:pPr>
        <w:pStyle w:val="Rubrik1"/>
        <w:jc w:val="both"/>
      </w:pPr>
      <w:r w:rsidRPr="004D767D">
        <w:t>Ståndpunkter</w:t>
      </w:r>
    </w:p>
    <w:p w:rsidR="00080EA2" w:rsidRPr="004D767D" w:rsidRDefault="00080EA2">
      <w:pPr>
        <w:pStyle w:val="Rubrik2"/>
        <w:jc w:val="both"/>
      </w:pPr>
      <w:r w:rsidRPr="004D767D">
        <w:t>Svensk ståndpunkt</w:t>
      </w:r>
    </w:p>
    <w:p w:rsidR="00080EA2" w:rsidRPr="004D767D" w:rsidRDefault="00080EA2">
      <w:r w:rsidRPr="004D767D">
        <w:t xml:space="preserve">Regeringen eftersträvar en ökad harmonisering av asyl- och migrationspolitiken inom Europeiska unionen. För att underlätta beslutsfattandet är tillförlitliga och jämförbara uppgifter inom detta område viktiga. För regeringen har ett förbättrat utbyte av statistik och gemensam analys inom Europeiska unionen inom asyl och migrationsområdet varit en viktig fråga. Regeringen välkomnar således förslaget till rådsbeslut och stödjer huvudsyftet med förslaget att formalisera nätverket. Regeringen </w:t>
      </w:r>
      <w:r w:rsidRPr="004D767D">
        <w:rPr>
          <w:color w:val="000000"/>
        </w:rPr>
        <w:t xml:space="preserve">efterfrågar en högre grad av medfinansiering från medlemsstaterna och förordar att en effektiv utvärdering av nätverket ska göras. </w:t>
      </w:r>
    </w:p>
    <w:p w:rsidR="00080EA2" w:rsidRPr="004D767D" w:rsidRDefault="00080EA2">
      <w:pPr>
        <w:pStyle w:val="Rubrik2"/>
        <w:jc w:val="both"/>
      </w:pPr>
      <w:r w:rsidRPr="004D767D">
        <w:t>Medlemsstaternas ståndpunkter</w:t>
      </w:r>
    </w:p>
    <w:p w:rsidR="00080EA2" w:rsidRPr="004D767D" w:rsidRDefault="00080EA2"/>
    <w:p w:rsidR="00080EA2" w:rsidRPr="004D767D" w:rsidRDefault="00080EA2">
      <w:r w:rsidRPr="004D767D">
        <w:t xml:space="preserve">En grönbok om det europeiska migrationsnätverkets framtid presenterades 2005 (KOM (2005) 606 final). Av de inkomna svaren framgick att syftet och inriktningen på det europeiska migrationsnätverket har ett brett stöd bland medlemsstaterna. </w:t>
      </w:r>
    </w:p>
    <w:p w:rsidR="00080EA2" w:rsidRPr="004D767D" w:rsidRDefault="00080EA2">
      <w:pPr>
        <w:pStyle w:val="Rubrik2"/>
      </w:pPr>
      <w:r w:rsidRPr="004D767D">
        <w:t>Institutionernas ståndpunkter</w:t>
      </w:r>
    </w:p>
    <w:p w:rsidR="00080EA2" w:rsidRPr="004D767D" w:rsidRDefault="00080EA2"/>
    <w:p w:rsidR="00080EA2" w:rsidRPr="004D767D" w:rsidRDefault="00080EA2">
      <w:pPr>
        <w:pStyle w:val="Rubrik2"/>
        <w:jc w:val="both"/>
      </w:pPr>
      <w:r w:rsidRPr="004D767D">
        <w:t>Remissinstansernas ståndpunkter</w:t>
      </w:r>
    </w:p>
    <w:p w:rsidR="00080EA2" w:rsidRPr="004D767D" w:rsidRDefault="00080EA2">
      <w:r w:rsidRPr="004D767D">
        <w:t xml:space="preserve">Förslaget har skickats till berörda instanser. Remissinstanserna har varit positiva till att EMN formaliseras. </w:t>
      </w:r>
    </w:p>
    <w:p w:rsidR="00080EA2" w:rsidRPr="004D767D" w:rsidRDefault="00080EA2">
      <w:pPr>
        <w:pStyle w:val="Rubrik1"/>
        <w:jc w:val="both"/>
      </w:pPr>
      <w:r w:rsidRPr="004D767D">
        <w:t>Övrigt</w:t>
      </w:r>
    </w:p>
    <w:p w:rsidR="00080EA2" w:rsidRPr="004D767D" w:rsidRDefault="00080EA2">
      <w:pPr>
        <w:pStyle w:val="Rubrik2"/>
        <w:jc w:val="both"/>
      </w:pPr>
      <w:r w:rsidRPr="004D767D">
        <w:t>Fortsatt behandling av ärendet</w:t>
      </w:r>
    </w:p>
    <w:p w:rsidR="00080EA2" w:rsidRPr="004D767D" w:rsidRDefault="00080EA2">
      <w:r w:rsidRPr="004D767D">
        <w:t>Förslaget behandlas i arbetsgruppen för migration och återvändande under hösten 2007. Rådsbeslut avses fattas före årsskiftet.</w:t>
      </w:r>
    </w:p>
    <w:p w:rsidR="00080EA2" w:rsidRPr="004D767D" w:rsidRDefault="00080EA2">
      <w:pPr>
        <w:pStyle w:val="Rubrik2"/>
        <w:jc w:val="both"/>
      </w:pPr>
      <w:r w:rsidRPr="004D767D">
        <w:t>Rättslig grund och beslutsförfarande</w:t>
      </w:r>
    </w:p>
    <w:p w:rsidR="00080EA2" w:rsidRPr="004D767D" w:rsidRDefault="00080EA2">
      <w:r w:rsidRPr="004D767D">
        <w:t>Artikel 66 i EG-fördraget utgör rättslig grund. Beslut fattas med kvalificerad majoritet rådet efter hörande av Europaparlamentet.</w:t>
      </w:r>
    </w:p>
    <w:p w:rsidR="00080EA2" w:rsidRPr="004D767D" w:rsidRDefault="00080EA2">
      <w:pPr>
        <w:pStyle w:val="Rubrik2"/>
      </w:pPr>
      <w:r w:rsidRPr="004D767D">
        <w:t>Fackuttryck/termer</w:t>
      </w:r>
    </w:p>
    <w:p w:rsidR="00080EA2" w:rsidRPr="004D767D" w:rsidRDefault="00080EA2"/>
    <w:sectPr w:rsidR="00080EA2" w:rsidRPr="004D767D">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0EA2" w:rsidRPr="004D767D" w:rsidRDefault="00080EA2">
      <w:r w:rsidRPr="004D767D">
        <w:separator/>
      </w:r>
    </w:p>
  </w:endnote>
  <w:endnote w:type="continuationSeparator" w:id="0">
    <w:p w:rsidR="00080EA2" w:rsidRPr="004D767D" w:rsidRDefault="00080EA2">
      <w:r w:rsidRPr="004D767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EA2" w:rsidRPr="004D767D" w:rsidRDefault="00080EA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EA2" w:rsidRPr="004D767D" w:rsidRDefault="00080EA2">
    <w:pPr>
      <w:pStyle w:val="SidfotH"/>
      <w:framePr w:wrap="around"/>
    </w:pPr>
    <w:r w:rsidRPr="004D767D">
      <w:t>2</w:t>
    </w:r>
  </w:p>
  <w:p w:rsidR="00080EA2" w:rsidRPr="004D767D" w:rsidRDefault="00080EA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EA2" w:rsidRPr="004D767D" w:rsidRDefault="00080EA2">
    <w:pPr>
      <w:pStyle w:val="SidfotH"/>
      <w:framePr w:wrap="around"/>
    </w:pPr>
    <w:r w:rsidRPr="004D767D">
      <w:t>1</w:t>
    </w:r>
  </w:p>
  <w:p w:rsidR="00080EA2" w:rsidRPr="004D767D" w:rsidRDefault="00080E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0EA2" w:rsidRPr="004D767D" w:rsidRDefault="00080EA2">
      <w:r w:rsidRPr="004D767D">
        <w:separator/>
      </w:r>
    </w:p>
  </w:footnote>
  <w:footnote w:type="continuationSeparator" w:id="0">
    <w:p w:rsidR="00080EA2" w:rsidRPr="004D767D" w:rsidRDefault="00080EA2">
      <w:r w:rsidRPr="004D767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EA2" w:rsidRPr="004D767D" w:rsidRDefault="00080EA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EA2" w:rsidRPr="004D767D" w:rsidRDefault="00080EA2">
    <w:pPr>
      <w:pStyle w:val="Kantrubrik"/>
      <w:framePr w:h="1157" w:hRule="exact" w:wrap="around" w:y="738"/>
    </w:pPr>
    <w:r w:rsidRPr="004D767D">
      <w:t>2007/08XX:FPM15</w:t>
    </w:r>
  </w:p>
  <w:p w:rsidR="00080EA2" w:rsidRPr="004D767D" w:rsidRDefault="00080EA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EA2" w:rsidRPr="004D767D" w:rsidRDefault="004D767D">
    <w:pPr>
      <w:pStyle w:val="Sidhuvud"/>
    </w:pPr>
    <w:r w:rsidRPr="004D767D">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8592501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80EA2" w:rsidRDefault="00080EA2">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5786"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080EA2" w:rsidRDefault="00080EA2">
                    <w:pPr>
                      <w:pStyle w:val="Logo"/>
                    </w:pPr>
                    <w:r>
                      <w:object w:dxaOrig="840" w:dyaOrig="1545">
                        <v:shape id="_x0000_i1025" type="#_x0000_t75" style="width:42pt;height:77.15pt" filled="t">
                          <v:imagedata r:id="rId1" o:title=""/>
                        </v:shape>
                        <o:OLEObject Type="Embed" ProgID="Word.Picture.8" ShapeID="_x0000_i1025" DrawAspect="Content" ObjectID="_1827495786"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943148615">
    <w:abstractNumId w:val="4"/>
  </w:num>
  <w:num w:numId="2" w16cid:durableId="920061567">
    <w:abstractNumId w:val="1"/>
  </w:num>
  <w:num w:numId="3" w16cid:durableId="1967275636">
    <w:abstractNumId w:val="2"/>
  </w:num>
  <w:num w:numId="4" w16cid:durableId="914895933">
    <w:abstractNumId w:val="3"/>
  </w:num>
  <w:num w:numId="5" w16cid:durableId="1038899725">
    <w:abstractNumId w:val="5"/>
  </w:num>
  <w:num w:numId="6" w16cid:durableId="2019381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10-29"/>
    <w:docVar w:name="Ar" w:val="2006/07"/>
    <w:docVar w:name="Dep" w:val="Justitiedepartementet"/>
    <w:docVar w:name="DepWeb" w:val="Justitiedepartementet"/>
    <w:docVar w:name="GDB1" w:val="KOM (2007) 466 slutlig"/>
    <w:docVar w:name="GDB10" w:val=" "/>
    <w:docVar w:name="GDB11" w:val=" "/>
    <w:docVar w:name="GDB12" w:val=" "/>
    <w:docVar w:name="GDB13" w:val=" "/>
    <w:docVar w:name="GDB2" w:val="SEC(2007) 1062"/>
    <w:docVar w:name="GDB3" w:val=" "/>
    <w:docVar w:name="GDB4" w:val=" "/>
    <w:docVar w:name="GDB5" w:val=" "/>
    <w:docVar w:name="GDB6" w:val=" "/>
    <w:docVar w:name="GDB7" w:val=" "/>
    <w:docVar w:name="GDB8" w:val=" "/>
    <w:docVar w:name="GDB9" w:val=" "/>
    <w:docVar w:name="GDT1" w:val="Rådsbeslut om ett europeiskt migrationsnätverk"/>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7) 466 slutlig, SEC(2007) 1062"/>
    <w:docVar w:name="Nr" w:val="15"/>
    <w:docVar w:name="RD_APPVERSION" w:val="3.00"/>
    <w:docVar w:name="Rub" w:val="Rådsbeslut om ett europeiskt migrationsnätverk"/>
    <w:docVar w:name="UppDat" w:val="2007-10-29"/>
    <w:docVar w:name="Utsk" w:val="Socialförsäkringsutskottet"/>
  </w:docVars>
  <w:rsids>
    <w:rsidRoot w:val="00E466F8"/>
    <w:rsid w:val="00080EA2"/>
    <w:rsid w:val="004D767D"/>
    <w:rsid w:val="00E466F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E54A177-1026-4E56-9F17-1B28F5E3E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l1120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1001</Words>
  <Characters>6942</Characters>
  <Application>Microsoft Office Word</Application>
  <DocSecurity>4</DocSecurity>
  <Lines>154</Lines>
  <Paragraphs>60</Paragraphs>
  <ScaleCrop>false</ScaleCrop>
  <HeadingPairs>
    <vt:vector size="2" baseType="variant">
      <vt:variant>
        <vt:lpstr>Rubrik</vt:lpstr>
      </vt:variant>
      <vt:variant>
        <vt:i4>1</vt:i4>
      </vt:variant>
    </vt:vector>
  </HeadingPairs>
  <TitlesOfParts>
    <vt:vector size="1" baseType="lpstr">
      <vt:lpstr>FPM_200708__15</vt:lpstr>
    </vt:vector>
  </TitlesOfParts>
  <Company>RD-DTSL</Company>
  <LinksUpToDate>false</LinksUpToDate>
  <CharactersWithSpaces>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FPM_200708__15</dc:title>
  <dc:subject>FPM_200708__15</dc:subject>
  <dc:creator>Riksdagen</dc:creator>
  <cp:keywords>Riksdagen</cp:keywords>
  <dc:description>KP2004-version.  Ändringarna påverkar enbart användningen inom Riksdagen. 050429 nya departement DTSL.</dc:description>
  <cp:lastModifiedBy>Lars Brink</cp:lastModifiedBy>
  <cp:revision>2</cp:revision>
  <cp:lastPrinted>2007-10-30T08:38:00Z</cp:lastPrinted>
  <dcterms:created xsi:type="dcterms:W3CDTF">2025-12-17T11:59:00Z</dcterms:created>
  <dcterms:modified xsi:type="dcterms:W3CDTF">2025-12-17T11:59:00Z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15</vt:lpwstr>
  </property>
  <property fmtid="{D5CDD505-2E9C-101B-9397-08002B2CF9AE}" pid="4" name="GDB1">
    <vt:lpwstr>KOM (2007) 466 slutlig</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Rådsbeslut om ett europeiskt migrationsnätverk</vt:lpwstr>
  </property>
  <property fmtid="{D5CDD505-2E9C-101B-9397-08002B2CF9AE}" pid="8" name="UppDat">
    <vt:lpwstr>2007-10-29</vt:lpwstr>
  </property>
  <property fmtid="{D5CDD505-2E9C-101B-9397-08002B2CF9AE}" pid="9" name="AnkDat">
    <vt:lpwstr>2007-10-29</vt:lpwstr>
  </property>
  <property fmtid="{D5CDD505-2E9C-101B-9397-08002B2CF9AE}" pid="10" name="Utsk">
    <vt:lpwstr>Socialförsäkringsutskottet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ml1120aa</vt:lpwstr>
  </property>
  <property fmtid="{D5CDD505-2E9C-101B-9397-08002B2CF9AE}" pid="14" name="GDB2">
    <vt:lpwstr>SEC(2007) 1062</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2;0;0;443</vt:lpwstr>
  </property>
  <property fmtid="{D5CDD505-2E9C-101B-9397-08002B2CF9AE}" pid="41" name="Sprak">
    <vt:lpwstr>Svenska</vt:lpwstr>
  </property>
  <property fmtid="{D5CDD505-2E9C-101B-9397-08002B2CF9AE}" pid="42" name="DokID">
    <vt:i4>80</vt:i4>
  </property>
</Properties>
</file>