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A6284" w:rsidRPr="006A6284" w:rsidRDefault="006A6284">
      <w:pPr>
        <w:pStyle w:val="Frslagsrubrik"/>
      </w:pPr>
      <w:r w:rsidRPr="006A6284">
        <w:t>Förslag till riksdagsbeslut</w:t>
      </w:r>
    </w:p>
    <w:p w:rsidR="006A6284" w:rsidRPr="006A6284" w:rsidRDefault="006A6284">
      <w:pPr>
        <w:pStyle w:val="Hemstlatt"/>
        <w:numPr>
          <w:ilvl w:val="0"/>
          <w:numId w:val="1"/>
        </w:numPr>
      </w:pPr>
      <w:r w:rsidRPr="006A6284">
        <w:t>Riksdagen anvisar med följande ändringar i förhållande till regeringens förslag anslagen under utgiftsområde 23 Areella näringar, landsbygd och livsmedel enligt uppstäl</w:t>
      </w:r>
      <w:r w:rsidRPr="006A6284">
        <w:t>l</w:t>
      </w:r>
      <w:r w:rsidRPr="006A6284">
        <w:t>ning:</w:t>
      </w:r>
    </w:p>
    <w:tbl>
      <w:tblPr>
        <w:tblW w:w="5954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5"/>
        <w:gridCol w:w="1560"/>
        <w:gridCol w:w="2040"/>
        <w:gridCol w:w="1619"/>
      </w:tblGrid>
      <w:tr w:rsidR="00000000" w:rsidRPr="006A6284"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6A6284" w:rsidRPr="006A6284" w:rsidRDefault="006A6284">
            <w:pPr>
              <w:spacing w:before="60" w:line="200" w:lineRule="exact"/>
              <w:rPr>
                <w:b/>
                <w:sz w:val="16"/>
                <w:szCs w:val="16"/>
              </w:rPr>
            </w:pPr>
            <w:r w:rsidRPr="006A6284">
              <w:rPr>
                <w:b/>
                <w:sz w:val="16"/>
                <w:szCs w:val="16"/>
              </w:rPr>
              <w:t>Anslag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6284" w:rsidRPr="006A6284" w:rsidRDefault="006A6284">
            <w:pPr>
              <w:spacing w:before="60" w:line="200" w:lineRule="exact"/>
              <w:rPr>
                <w:b/>
                <w:sz w:val="16"/>
                <w:szCs w:val="16"/>
              </w:rPr>
            </w:pPr>
            <w:r w:rsidRPr="006A6284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6284" w:rsidRPr="006A6284" w:rsidRDefault="006A6284">
            <w:pPr>
              <w:spacing w:before="60" w:line="200" w:lineRule="exact"/>
              <w:jc w:val="right"/>
              <w:rPr>
                <w:b/>
                <w:sz w:val="16"/>
                <w:szCs w:val="16"/>
              </w:rPr>
            </w:pPr>
            <w:r w:rsidRPr="006A6284">
              <w:rPr>
                <w:b/>
                <w:sz w:val="16"/>
                <w:szCs w:val="16"/>
              </w:rPr>
              <w:t>Regeringens förslag (tkr)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6A6284" w:rsidRPr="006A6284" w:rsidRDefault="006A6284">
            <w:pPr>
              <w:spacing w:before="60" w:line="200" w:lineRule="exact"/>
              <w:jc w:val="right"/>
              <w:rPr>
                <w:b/>
                <w:sz w:val="16"/>
                <w:szCs w:val="16"/>
              </w:rPr>
            </w:pPr>
            <w:r w:rsidRPr="006A6284">
              <w:rPr>
                <w:b/>
                <w:sz w:val="16"/>
                <w:szCs w:val="16"/>
              </w:rPr>
              <w:t>Förändring (tkr)</w:t>
            </w:r>
          </w:p>
        </w:tc>
      </w:tr>
      <w:tr w:rsidR="00000000" w:rsidRPr="006A6284">
        <w:tc>
          <w:tcPr>
            <w:tcW w:w="735" w:type="dxa"/>
            <w:tcBorders>
              <w:top w:val="nil"/>
              <w:left w:val="nil"/>
              <w:right w:val="nil"/>
            </w:tcBorders>
            <w:noWrap/>
          </w:tcPr>
          <w:p w:rsidR="006A6284" w:rsidRPr="006A6284" w:rsidRDefault="006A6284">
            <w:pPr>
              <w:spacing w:before="60" w:line="200" w:lineRule="exact"/>
              <w:rPr>
                <w:sz w:val="16"/>
                <w:szCs w:val="16"/>
              </w:rPr>
            </w:pPr>
            <w:r w:rsidRPr="006A6284">
              <w:rPr>
                <w:sz w:val="16"/>
                <w:szCs w:val="16"/>
              </w:rPr>
              <w:t>1:25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</w:tcPr>
          <w:p w:rsidR="006A6284" w:rsidRPr="006A6284" w:rsidRDefault="006A6284">
            <w:pPr>
              <w:spacing w:before="60" w:line="200" w:lineRule="exact"/>
              <w:rPr>
                <w:sz w:val="16"/>
                <w:szCs w:val="16"/>
              </w:rPr>
            </w:pPr>
            <w:r w:rsidRPr="006A6284">
              <w:rPr>
                <w:sz w:val="16"/>
                <w:szCs w:val="16"/>
              </w:rPr>
              <w:t>Miljöförbättrande åtgärder i jordbruket</w:t>
            </w:r>
          </w:p>
        </w:tc>
        <w:tc>
          <w:tcPr>
            <w:tcW w:w="204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6A6284" w:rsidRPr="006A6284" w:rsidRDefault="006A6284">
            <w:pPr>
              <w:spacing w:before="60" w:line="200" w:lineRule="exact"/>
              <w:jc w:val="right"/>
              <w:rPr>
                <w:sz w:val="16"/>
                <w:szCs w:val="16"/>
              </w:rPr>
            </w:pPr>
            <w:r w:rsidRPr="006A6284">
              <w:rPr>
                <w:sz w:val="16"/>
                <w:szCs w:val="16"/>
              </w:rPr>
              <w:t>26 830</w:t>
            </w:r>
          </w:p>
        </w:tc>
        <w:tc>
          <w:tcPr>
            <w:tcW w:w="1619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6A6284" w:rsidRPr="006A6284" w:rsidRDefault="006A6284">
            <w:pPr>
              <w:spacing w:before="60" w:line="200" w:lineRule="exact"/>
              <w:jc w:val="right"/>
              <w:rPr>
                <w:sz w:val="16"/>
                <w:szCs w:val="16"/>
              </w:rPr>
            </w:pPr>
            <w:r w:rsidRPr="006A6284">
              <w:rPr>
                <w:sz w:val="16"/>
                <w:szCs w:val="16"/>
              </w:rPr>
              <w:t>10 000</w:t>
            </w:r>
          </w:p>
        </w:tc>
      </w:tr>
      <w:tr w:rsidR="00000000" w:rsidRPr="006A6284"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6A6284" w:rsidRPr="006A6284" w:rsidRDefault="006A6284">
            <w:pPr>
              <w:spacing w:before="60" w:line="200" w:lineRule="exact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6284" w:rsidRPr="006A6284" w:rsidRDefault="006A6284">
            <w:pPr>
              <w:spacing w:before="60" w:line="200" w:lineRule="exact"/>
              <w:rPr>
                <w:b/>
                <w:sz w:val="16"/>
                <w:szCs w:val="16"/>
              </w:rPr>
            </w:pPr>
            <w:r w:rsidRPr="006A6284">
              <w:rPr>
                <w:b/>
                <w:sz w:val="16"/>
                <w:szCs w:val="16"/>
              </w:rPr>
              <w:t>Summa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A6284" w:rsidRPr="006A6284" w:rsidRDefault="006A6284">
            <w:pPr>
              <w:spacing w:before="60" w:line="200" w:lineRule="exact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A6284" w:rsidRPr="006A6284" w:rsidRDefault="006A6284">
            <w:pPr>
              <w:spacing w:before="60" w:line="200" w:lineRule="exact"/>
              <w:jc w:val="right"/>
              <w:rPr>
                <w:b/>
                <w:sz w:val="16"/>
                <w:szCs w:val="16"/>
              </w:rPr>
            </w:pPr>
            <w:r w:rsidRPr="006A6284">
              <w:rPr>
                <w:b/>
                <w:sz w:val="16"/>
                <w:szCs w:val="16"/>
              </w:rPr>
              <w:t>10 000</w:t>
            </w:r>
          </w:p>
        </w:tc>
      </w:tr>
    </w:tbl>
    <w:p w:rsidR="006A6284" w:rsidRPr="006A6284" w:rsidRDefault="006A6284">
      <w:pPr>
        <w:pStyle w:val="Hemstlatt"/>
        <w:numPr>
          <w:ilvl w:val="0"/>
          <w:numId w:val="1"/>
        </w:numPr>
      </w:pPr>
      <w:r w:rsidRPr="006A6284">
        <w:t>Riksdagen tillkännager för regeringen som sin mening vad som anförs i motionen om ekologiskt och närproducerat.</w:t>
      </w:r>
    </w:p>
    <w:p w:rsidR="006A6284" w:rsidRPr="006A6284" w:rsidRDefault="006A6284">
      <w:pPr>
        <w:pStyle w:val="Hemstlatt"/>
        <w:numPr>
          <w:ilvl w:val="0"/>
          <w:numId w:val="1"/>
        </w:numPr>
      </w:pPr>
      <w:r w:rsidRPr="006A6284">
        <w:t>Riksdagen tillkännager för regeringen som sin mening vad som anförs i motionen om djuretisk ombud</w:t>
      </w:r>
      <w:r w:rsidRPr="006A6284">
        <w:t>s</w:t>
      </w:r>
      <w:r w:rsidRPr="006A6284">
        <w:t>man.</w:t>
      </w:r>
    </w:p>
    <w:p w:rsidR="006A6284" w:rsidRPr="006A6284" w:rsidRDefault="006A6284">
      <w:pPr>
        <w:pStyle w:val="Rubrik1"/>
      </w:pPr>
      <w:r w:rsidRPr="006A6284">
        <w:t>1:25 Miljöförbättrande åtgärder i jordbruket</w:t>
      </w:r>
    </w:p>
    <w:p w:rsidR="006A6284" w:rsidRPr="006A6284" w:rsidRDefault="006A6284">
      <w:r w:rsidRPr="006A6284">
        <w:t>Vi rödgröna partier anser att det behövs nya mål för ekologisk matproduktion. Vi vill därför återinföra stödet till ekologiskt jordbruk på en nivå om 10 mi</w:t>
      </w:r>
      <w:r w:rsidRPr="006A6284">
        <w:t>l</w:t>
      </w:r>
      <w:r w:rsidRPr="006A6284">
        <w:t>joner kronor årligen 2011–2012. Vi avsätter alltså 10 miljoner mer än rege</w:t>
      </w:r>
      <w:r w:rsidRPr="006A6284">
        <w:t>r</w:t>
      </w:r>
      <w:r w:rsidRPr="006A6284">
        <w:t>ingen på anslaget 2011.</w:t>
      </w:r>
    </w:p>
    <w:p w:rsidR="006A6284" w:rsidRPr="006A6284" w:rsidRDefault="006A6284">
      <w:pPr>
        <w:pStyle w:val="Rubrik1"/>
      </w:pPr>
      <w:r w:rsidRPr="006A6284">
        <w:t>Djuretisk ombudsman</w:t>
      </w:r>
    </w:p>
    <w:p w:rsidR="006A6284" w:rsidRPr="006A6284" w:rsidRDefault="006A6284">
      <w:pPr>
        <w:rPr>
          <w:iCs/>
          <w:color w:val="000000"/>
        </w:rPr>
      </w:pPr>
      <w:r w:rsidRPr="006A6284">
        <w:t xml:space="preserve">Vi rödgröna partier anser att det är viktigt att Sverige har en god djuromsorg som uppfyller mycket högt ställda krav. Vi vill värna och stärka det etiska förhållningssättet </w:t>
      </w:r>
      <w:r w:rsidRPr="006A6284">
        <w:rPr>
          <w:iCs/>
          <w:color w:val="000000"/>
        </w:rPr>
        <w:t xml:space="preserve">gentemot djuren. För att utveckla det djuretiska arbetet vill vi inrätta en djuretisk ombudsman och anslår 20 miljoner kronor från 2012. </w:t>
      </w:r>
      <w:r w:rsidRPr="006A6284">
        <w:rPr>
          <w:iCs/>
          <w:color w:val="000000"/>
        </w:rPr>
        <w:lastRenderedPageBreak/>
        <w:t>Ombudsmannen ska verka för en god etisk grund, utvärdera djurskyddsko</w:t>
      </w:r>
      <w:r w:rsidRPr="006A6284">
        <w:rPr>
          <w:iCs/>
          <w:color w:val="000000"/>
        </w:rPr>
        <w:t>n</w:t>
      </w:r>
      <w:r w:rsidRPr="006A6284">
        <w:rPr>
          <w:iCs/>
          <w:color w:val="000000"/>
        </w:rPr>
        <w:t>trollen, ta fram artkaraktäristika, göra djuretiska årliga revisioner samt ge djuretiska råd.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A6284">
        <w:trPr>
          <w:cantSplit/>
        </w:trPr>
        <w:tc>
          <w:tcPr>
            <w:tcW w:w="3046" w:type="dxa"/>
          </w:tcPr>
          <w:p w:rsidR="006A6284" w:rsidRPr="006A6284" w:rsidRDefault="006A6284">
            <w:pPr>
              <w:pStyle w:val="UnderskriftDatum"/>
              <w:spacing w:before="240"/>
            </w:pPr>
            <w:r w:rsidRPr="006A6284">
              <w:t>Stockholm den 26 oktober 2010</w:t>
            </w:r>
          </w:p>
        </w:tc>
        <w:tc>
          <w:tcPr>
            <w:tcW w:w="3047" w:type="dxa"/>
          </w:tcPr>
          <w:p w:rsidR="006A6284" w:rsidRPr="006A6284" w:rsidRDefault="006A6284">
            <w:pPr>
              <w:pStyle w:val="Underskrifter"/>
              <w:spacing w:before="240"/>
            </w:pPr>
          </w:p>
        </w:tc>
      </w:tr>
      <w:tr w:rsidR="00000000" w:rsidRPr="006A6284">
        <w:trPr>
          <w:cantSplit/>
        </w:trPr>
        <w:tc>
          <w:tcPr>
            <w:tcW w:w="3046" w:type="dxa"/>
          </w:tcPr>
          <w:p w:rsidR="006A6284" w:rsidRPr="006A6284" w:rsidRDefault="006A6284">
            <w:pPr>
              <w:pStyle w:val="Underskrifter"/>
            </w:pPr>
            <w:r w:rsidRPr="006A6284">
              <w:t>Matilda Ernkrans (S)</w:t>
            </w:r>
          </w:p>
        </w:tc>
        <w:tc>
          <w:tcPr>
            <w:tcW w:w="3046" w:type="dxa"/>
          </w:tcPr>
          <w:p w:rsidR="006A6284" w:rsidRPr="006A6284" w:rsidRDefault="006A6284">
            <w:pPr>
              <w:pStyle w:val="Underskrifter"/>
            </w:pPr>
          </w:p>
        </w:tc>
      </w:tr>
      <w:tr w:rsidR="00000000" w:rsidRPr="006A6284">
        <w:trPr>
          <w:cantSplit/>
        </w:trPr>
        <w:tc>
          <w:tcPr>
            <w:tcW w:w="3046" w:type="dxa"/>
          </w:tcPr>
          <w:p w:rsidR="006A6284" w:rsidRPr="006A6284" w:rsidRDefault="006A6284">
            <w:pPr>
              <w:pStyle w:val="Underskrifter"/>
            </w:pPr>
            <w:r w:rsidRPr="006A6284">
              <w:t>Åsa Romson (MP)</w:t>
            </w:r>
          </w:p>
        </w:tc>
        <w:tc>
          <w:tcPr>
            <w:tcW w:w="3046" w:type="dxa"/>
          </w:tcPr>
          <w:p w:rsidR="006A6284" w:rsidRPr="006A6284" w:rsidRDefault="006A6284">
            <w:pPr>
              <w:pStyle w:val="Underskrifter"/>
            </w:pPr>
            <w:r w:rsidRPr="006A6284">
              <w:t>Jens Holm (V)</w:t>
            </w:r>
          </w:p>
        </w:tc>
      </w:tr>
    </w:tbl>
    <w:p w:rsidR="006A6284" w:rsidRPr="006A6284" w:rsidRDefault="006A6284">
      <w:pPr>
        <w:pStyle w:val="Normaltindrag"/>
      </w:pPr>
    </w:p>
    <w:sectPr w:rsidR="00000000" w:rsidRPr="006A62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A6284" w:rsidRPr="006A6284" w:rsidRDefault="006A6284">
      <w:r w:rsidRPr="006A6284">
        <w:separator/>
      </w:r>
    </w:p>
  </w:endnote>
  <w:endnote w:type="continuationSeparator" w:id="0">
    <w:p w:rsidR="006A6284" w:rsidRPr="006A6284" w:rsidRDefault="006A6284">
      <w:r w:rsidRPr="006A628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6284" w:rsidRPr="006A6284" w:rsidRDefault="006A6284">
    <w:pPr>
      <w:pStyle w:val="Sidfot"/>
    </w:pPr>
    <w:r w:rsidRPr="006A628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476853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6284" w:rsidRDefault="006A628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A6284" w:rsidRDefault="006A628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6284" w:rsidRPr="006A6284" w:rsidRDefault="006A6284">
    <w:pPr>
      <w:pStyle w:val="Sidfot"/>
    </w:pPr>
    <w:r w:rsidRPr="006A628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4688998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6284" w:rsidRDefault="006A628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A6284" w:rsidRDefault="006A628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6284" w:rsidRPr="006A6284" w:rsidRDefault="006A6284">
    <w:pPr>
      <w:pStyle w:val="Sidfot"/>
    </w:pPr>
    <w:r w:rsidRPr="006A628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7732148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6284" w:rsidRDefault="006A628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A6284" w:rsidRDefault="006A628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A6284" w:rsidRPr="006A6284" w:rsidRDefault="006A6284">
      <w:r w:rsidRPr="006A6284">
        <w:separator/>
      </w:r>
    </w:p>
  </w:footnote>
  <w:footnote w:type="continuationSeparator" w:id="0">
    <w:p w:rsidR="006A6284" w:rsidRPr="006A6284" w:rsidRDefault="006A6284">
      <w:r w:rsidRPr="006A628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6284" w:rsidRPr="006A6284" w:rsidRDefault="006A6284">
    <w:pPr>
      <w:pStyle w:val="Sidhuvud"/>
    </w:pPr>
    <w:r w:rsidRPr="006A628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3811280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6284" w:rsidRDefault="006A628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MJ382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A6284" w:rsidRDefault="006A628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MJ382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6284" w:rsidRPr="006A6284" w:rsidRDefault="006A6284">
    <w:pPr>
      <w:pStyle w:val="Sidhuvud"/>
    </w:pPr>
    <w:r w:rsidRPr="006A628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6074158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6284" w:rsidRDefault="006A628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MJ382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A6284" w:rsidRDefault="006A628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MJ382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6284" w:rsidRPr="006A6284" w:rsidRDefault="006A6284">
    <w:pPr>
      <w:pStyle w:val="FSHNormal"/>
      <w:tabs>
        <w:tab w:val="right" w:pos="5840"/>
      </w:tabs>
    </w:pPr>
    <w:r w:rsidRPr="006A6284">
      <w:br/>
    </w:r>
    <w:r w:rsidRPr="006A6284">
      <w:fldChar w:fldCharType="begin" w:fldLock="1"/>
    </w:r>
    <w:r w:rsidRPr="006A6284">
      <w:instrText xml:space="preserve"> DOCPROPERTY</w:instrText>
    </w:r>
    <w:r w:rsidRPr="006A6284">
      <w:rPr>
        <w:sz w:val="18"/>
      </w:rPr>
      <w:instrText xml:space="preserve"> "YearUser" *\charformat </w:instrText>
    </w:r>
    <w:r w:rsidRPr="006A6284">
      <w:fldChar w:fldCharType="separate"/>
    </w:r>
    <w:r w:rsidRPr="006A6284">
      <w:t>2010/11</w:t>
    </w:r>
    <w:r w:rsidRPr="006A6284">
      <w:fldChar w:fldCharType="end"/>
    </w:r>
    <w:r w:rsidRPr="006A6284">
      <w:t xml:space="preserve"> </w:t>
    </w:r>
    <w:r w:rsidRPr="006A6284">
      <w:tab/>
      <w:t xml:space="preserve">mnr: </w:t>
    </w:r>
    <w:r w:rsidRPr="006A6284">
      <w:fldChar w:fldCharType="begin" w:fldLock="1"/>
    </w:r>
    <w:r w:rsidRPr="006A6284">
      <w:instrText xml:space="preserve"> DOCPROPERTY</w:instrText>
    </w:r>
    <w:r w:rsidRPr="006A6284">
      <w:rPr>
        <w:sz w:val="18"/>
      </w:rPr>
      <w:instrText xml:space="preserve"> "Motionsnummer" *\charformat </w:instrText>
    </w:r>
    <w:r w:rsidRPr="006A6284">
      <w:fldChar w:fldCharType="separate"/>
    </w:r>
    <w:r w:rsidRPr="006A6284">
      <w:t>MJ382</w:t>
    </w:r>
    <w:r w:rsidRPr="006A6284">
      <w:fldChar w:fldCharType="end"/>
    </w:r>
    <w:r w:rsidRPr="006A6284">
      <w:br/>
    </w:r>
    <w:r w:rsidRPr="006A6284">
      <w:fldChar w:fldCharType="begin" w:fldLock="1"/>
    </w:r>
    <w:r w:rsidRPr="006A6284">
      <w:instrText xml:space="preserve"> DOCPROPERTY</w:instrText>
    </w:r>
    <w:r w:rsidRPr="006A6284">
      <w:rPr>
        <w:sz w:val="18"/>
      </w:rPr>
      <w:instrText xml:space="preserve"> "Samling" *\charformat </w:instrText>
    </w:r>
    <w:r w:rsidRPr="006A6284">
      <w:fldChar w:fldCharType="end"/>
    </w:r>
    <w:r w:rsidRPr="006A6284">
      <w:tab/>
      <w:t xml:space="preserve">pnr: </w:t>
    </w:r>
    <w:r w:rsidRPr="006A6284">
      <w:fldChar w:fldCharType="begin" w:fldLock="1"/>
    </w:r>
    <w:r w:rsidRPr="006A6284">
      <w:instrText xml:space="preserve"> DOCPROPERTY</w:instrText>
    </w:r>
    <w:r w:rsidRPr="006A6284">
      <w:rPr>
        <w:sz w:val="18"/>
      </w:rPr>
      <w:instrText xml:space="preserve"> "Partinummer" *\charformat </w:instrText>
    </w:r>
    <w:r w:rsidRPr="006A6284">
      <w:fldChar w:fldCharType="separate"/>
    </w:r>
    <w:r w:rsidRPr="006A6284">
      <w:t>-V823</w:t>
    </w:r>
    <w:r w:rsidRPr="006A6284">
      <w:fldChar w:fldCharType="end"/>
    </w:r>
  </w:p>
  <w:p w:rsidR="006A6284" w:rsidRPr="006A6284" w:rsidRDefault="006A6284">
    <w:pPr>
      <w:pStyle w:val="FSHRub1"/>
    </w:pPr>
    <w:r w:rsidRPr="006A6284">
      <w:t>Motion till riksdagen</w:t>
    </w:r>
    <w:r w:rsidRPr="006A6284">
      <w:br/>
    </w:r>
    <w:r w:rsidRPr="006A6284">
      <w:fldChar w:fldCharType="begin" w:fldLock="1"/>
    </w:r>
    <w:r w:rsidRPr="006A6284">
      <w:instrText xml:space="preserve"> DOCPROPERTY "YearUser" *\charformat </w:instrText>
    </w:r>
    <w:r w:rsidRPr="006A6284">
      <w:fldChar w:fldCharType="separate"/>
    </w:r>
    <w:r w:rsidRPr="006A6284">
      <w:t>2010/11</w:t>
    </w:r>
    <w:r w:rsidRPr="006A6284">
      <w:fldChar w:fldCharType="end"/>
    </w:r>
    <w:r w:rsidRPr="006A6284">
      <w:t>:</w:t>
    </w:r>
    <w:r w:rsidRPr="006A6284">
      <w:fldChar w:fldCharType="begin" w:fldLock="1"/>
    </w:r>
    <w:r w:rsidRPr="006A6284">
      <w:instrText xml:space="preserve"> DOCPROPERTY "Motionsnummer" *\charformat </w:instrText>
    </w:r>
    <w:r w:rsidRPr="006A6284">
      <w:fldChar w:fldCharType="separate"/>
    </w:r>
    <w:r w:rsidRPr="006A6284">
      <w:t>MJ382</w:t>
    </w:r>
    <w:r w:rsidRPr="006A6284">
      <w:fldChar w:fldCharType="end"/>
    </w:r>
  </w:p>
  <w:p w:rsidR="006A6284" w:rsidRPr="006A6284" w:rsidRDefault="006A6284">
    <w:pPr>
      <w:pStyle w:val="FSHNormalS5"/>
    </w:pPr>
    <w:r w:rsidRPr="006A6284">
      <w:fldChar w:fldCharType="begin" w:fldLock="1"/>
    </w:r>
    <w:r w:rsidRPr="006A6284">
      <w:instrText xml:space="preserve"> DOCPROPERTY "MotionarText" *\charformat </w:instrText>
    </w:r>
    <w:r w:rsidRPr="006A6284">
      <w:fldChar w:fldCharType="separate"/>
    </w:r>
    <w:r w:rsidRPr="006A6284">
      <w:t>av Matilda Ernkrans m.fl. (S, MP, V)</w:t>
    </w:r>
    <w:r w:rsidRPr="006A6284">
      <w:fldChar w:fldCharType="end"/>
    </w:r>
    <w:r w:rsidRPr="006A6284">
      <w:br/>
    </w:r>
    <w:r w:rsidRPr="006A6284">
      <w:fldChar w:fldCharType="begin" w:fldLock="1"/>
    </w:r>
    <w:r w:rsidRPr="006A6284">
      <w:instrText xml:space="preserve"> DOCPROPERTY "SvarFrasKort" *\charformat </w:instrText>
    </w:r>
    <w:r w:rsidRPr="006A6284">
      <w:fldChar w:fldCharType="end"/>
    </w:r>
  </w:p>
  <w:p w:rsidR="006A6284" w:rsidRPr="006A6284" w:rsidRDefault="006A6284">
    <w:pPr>
      <w:pStyle w:val="FSHTitel"/>
    </w:pPr>
    <w:r w:rsidRPr="006A6284">
      <w:fldChar w:fldCharType="begin" w:fldLock="1"/>
    </w:r>
    <w:r w:rsidRPr="006A6284">
      <w:instrText xml:space="preserve"> DOCPROPERTY</w:instrText>
    </w:r>
    <w:r w:rsidRPr="006A6284">
      <w:rPr>
        <w:sz w:val="18"/>
      </w:rPr>
      <w:instrText xml:space="preserve"> "RubrikSvar" *\charformat </w:instrText>
    </w:r>
    <w:r w:rsidRPr="006A6284">
      <w:fldChar w:fldCharType="separate"/>
    </w:r>
    <w:r w:rsidRPr="006A6284">
      <w:t>Utgiftsområde 23 Areella näringar, landsbygd och livsmedel</w:t>
    </w:r>
    <w:r w:rsidRPr="006A6284">
      <w:fldChar w:fldCharType="end"/>
    </w:r>
  </w:p>
  <w:p w:rsidR="006A6284" w:rsidRPr="006A6284" w:rsidRDefault="006A6284">
    <w:pPr>
      <w:pStyle w:val="Normal00"/>
    </w:pPr>
  </w:p>
  <w:p w:rsidR="006A6284" w:rsidRPr="006A6284" w:rsidRDefault="006A628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15B0C39"/>
    <w:multiLevelType w:val="hybridMultilevel"/>
    <w:tmpl w:val="B31CDAB4"/>
    <w:lvl w:ilvl="0" w:tplc="2004C186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5" w15:restartNumberingAfterBreak="0">
    <w:nsid w:val="433F17E4"/>
    <w:multiLevelType w:val="hybridMultilevel"/>
    <w:tmpl w:val="5D6E9994"/>
    <w:lvl w:ilvl="0" w:tplc="2500D858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1B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F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1B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F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1B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7" w15:restartNumberingAfterBreak="0">
    <w:nsid w:val="587830BC"/>
    <w:multiLevelType w:val="hybridMultilevel"/>
    <w:tmpl w:val="345C1416"/>
    <w:lvl w:ilvl="0" w:tplc="299CAEF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1832AF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1FEDB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A0A7D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BB226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EF2B5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3727E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2F6DB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9704A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895970398">
    <w:abstractNumId w:val="3"/>
  </w:num>
  <w:num w:numId="2" w16cid:durableId="1932661330">
    <w:abstractNumId w:val="2"/>
  </w:num>
  <w:num w:numId="3" w16cid:durableId="2060127466">
    <w:abstractNumId w:val="1"/>
  </w:num>
  <w:num w:numId="4" w16cid:durableId="278270132">
    <w:abstractNumId w:val="0"/>
  </w:num>
  <w:num w:numId="5" w16cid:durableId="67459629">
    <w:abstractNumId w:val="7"/>
  </w:num>
  <w:num w:numId="6" w16cid:durableId="775517503">
    <w:abstractNumId w:val="6"/>
  </w:num>
  <w:num w:numId="7" w16cid:durableId="1322536742">
    <w:abstractNumId w:val="5"/>
  </w:num>
  <w:num w:numId="8" w16cid:durableId="413089556">
    <w:abstractNumId w:val="4"/>
  </w:num>
  <w:num w:numId="9" w16cid:durableId="653752944">
    <w:abstractNumId w:val="8"/>
  </w:num>
  <w:num w:numId="10" w16cid:durableId="1906330608">
    <w:abstractNumId w:val="9"/>
  </w:num>
  <w:num w:numId="11" w16cid:durableId="100150812">
    <w:abstractNumId w:val="10"/>
  </w:num>
  <w:num w:numId="12" w16cid:durableId="584261771">
    <w:abstractNumId w:val="14"/>
  </w:num>
  <w:num w:numId="13" w16cid:durableId="893463225">
    <w:abstractNumId w:val="16"/>
  </w:num>
  <w:num w:numId="14" w16cid:durableId="896287111">
    <w:abstractNumId w:val="17"/>
  </w:num>
  <w:num w:numId="15" w16cid:durableId="383136461">
    <w:abstractNumId w:val="11"/>
  </w:num>
  <w:num w:numId="16" w16cid:durableId="534660430">
    <w:abstractNumId w:val="19"/>
  </w:num>
  <w:num w:numId="17" w16cid:durableId="274559025">
    <w:abstractNumId w:val="18"/>
  </w:num>
  <w:num w:numId="18" w16cid:durableId="1587498902">
    <w:abstractNumId w:val="15"/>
  </w:num>
  <w:num w:numId="19" w16cid:durableId="2030791175">
    <w:abstractNumId w:val="13"/>
  </w:num>
  <w:num w:numId="20" w16cid:durableId="14644943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15"/>
    <w:docVar w:name="PersonGUIDs" w:val="{877C05B1-DB2E-4DCA-8CF7-CDDB8977ADBE},{94AF8911-DA55-4D11-ACB5-DC09C57218B9},{4C5A52D9-57D3-4837-8681-D18310330361}"/>
  </w:docVars>
  <w:rsids>
    <w:rsidRoot w:val="00BF42A8"/>
    <w:rsid w:val="006A6284"/>
    <w:rsid w:val="00BF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2E62EFD6-592F-497A-98D8-FE4D001C2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0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5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1222</Characters>
  <Application>Microsoft Office Word</Application>
  <DocSecurity>4</DocSecurity>
  <Lines>40</Lines>
  <Paragraphs>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-V423</vt:lpstr>
    </vt:vector>
  </TitlesOfParts>
  <Company>Riksdagen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-V423</dc:title>
  <dc:subject>-V423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2010-11-16T09:41:00Z</cp:lastPrinted>
  <dcterms:created xsi:type="dcterms:W3CDTF">2025-12-18T01:34:00Z</dcterms:created>
  <dcterms:modified xsi:type="dcterms:W3CDTF">2025-12-18T01:34:00Z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mot2000_530_2010-11-15</vt:lpwstr>
  </property>
  <property fmtid="{D5CDD505-2E9C-101B-9397-08002B2CF9AE}" pid="3" name="version">
    <vt:lpwstr>mot2000_524_2010-10-21</vt:lpwstr>
  </property>
  <property fmtid="{D5CDD505-2E9C-101B-9397-08002B2CF9AE}" pid="4" name="dokumenttyp">
    <vt:lpwstr>motion</vt:lpwstr>
  </property>
  <property fmtid="{D5CDD505-2E9C-101B-9397-08002B2CF9AE}" pid="5" name="Sekr">
    <vt:lpwstr>MvK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Utgiftsområde 23 Areella näringar, landsbygd och livsmedel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Utgiftsområde 23 Areella näringar, landsbygd och livsmedel</vt:lpwstr>
  </property>
  <property fmtid="{D5CDD505-2E9C-101B-9397-08002B2CF9AE}" pid="15" name="MotTyp">
    <vt:lpwstr>Flerpartimotion</vt:lpwstr>
  </property>
  <property fmtid="{D5CDD505-2E9C-101B-9397-08002B2CF9AE}" pid="16" name="MotTypXML">
    <vt:lpwstr>flerparti</vt:lpwstr>
  </property>
  <property fmtid="{D5CDD505-2E9C-101B-9397-08002B2CF9AE}" pid="17" name="Partinummer">
    <vt:lpwstr>-V823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3</vt:lpwstr>
  </property>
  <property fmtid="{D5CDD505-2E9C-101B-9397-08002B2CF9AE}" pid="24" name="AntalMot">
    <vt:lpwstr>Antal: 3</vt:lpwstr>
  </property>
  <property fmtid="{D5CDD505-2E9C-101B-9397-08002B2CF9AE}" pid="25" name="MotionarText">
    <vt:lpwstr>av Matilda Ernkrans m.fl. (S, MP, V)</vt:lpwstr>
  </property>
  <property fmtid="{D5CDD505-2E9C-101B-9397-08002B2CF9AE}" pid="26" name="MotionarLista">
    <vt:lpwstr>Ernkrans, Matilda (S)\Romson, Åsa (MP)\Holm, Jens (V)\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Matilda Ernkrans (S), Åsa Romson (MP), Jens Holm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MJ382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2010</vt:lpwstr>
  </property>
  <property fmtid="{D5CDD505-2E9C-101B-9397-08002B2CF9AE}" pid="44" name="NotesUID">
    <vt:lpwstr>dina.fraggidou@riksdagen.se</vt:lpwstr>
  </property>
  <property fmtid="{D5CDD505-2E9C-101B-9397-08002B2CF9AE}" pid="45" name="ReservUID">
    <vt:lpwstr>ka1208aa</vt:lpwstr>
  </property>
  <property fmtid="{D5CDD505-2E9C-101B-9397-08002B2CF9AE}" pid="46" name="MotionID">
    <vt:lpwstr>20102011000000000086000004230070</vt:lpwstr>
  </property>
  <property fmtid="{D5CDD505-2E9C-101B-9397-08002B2CF9AE}" pid="47" name="datum">
    <vt:lpwstr>101026</vt:lpwstr>
  </property>
  <property fmtid="{D5CDD505-2E9C-101B-9397-08002B2CF9AE}" pid="48" name="avsändar-e-post">
    <vt:lpwstr>dina.fraggidou@riksdagen.se</vt:lpwstr>
  </property>
  <property fmtid="{D5CDD505-2E9C-101B-9397-08002B2CF9AE}" pid="49" name="id">
    <vt:lpwstr>20102011000000000086000004230070</vt:lpwstr>
  </property>
  <property fmtid="{D5CDD505-2E9C-101B-9397-08002B2CF9AE}" pid="50" name="nummer">
    <vt:lpwstr>382</vt:lpwstr>
  </property>
  <property fmtid="{D5CDD505-2E9C-101B-9397-08002B2CF9AE}" pid="51" name="utskottsbeteckning">
    <vt:lpwstr>MJ</vt:lpwstr>
  </property>
  <property fmtid="{D5CDD505-2E9C-101B-9397-08002B2CF9AE}" pid="52" name="GlobalUID">
    <vt:lpwstr>{47D9468E-26F2-4986-A375-DE62F3188949}</vt:lpwstr>
  </property>
  <property fmtid="{D5CDD505-2E9C-101B-9397-08002B2CF9AE}" pid="53" name="Överföringar">
    <vt:i4>0</vt:i4>
  </property>
  <property fmtid="{D5CDD505-2E9C-101B-9397-08002B2CF9AE}" pid="54" name="Checksum">
    <vt:lpwstr>*1019015510762*</vt:lpwstr>
  </property>
  <property fmtid="{D5CDD505-2E9C-101B-9397-08002B2CF9AE}" pid="55" name="skuggnummer">
    <vt:lpwstr>2348</vt:lpwstr>
  </property>
  <property fmtid="{D5CDD505-2E9C-101B-9397-08002B2CF9AE}" pid="56" name="urixVersion">
    <vt:lpwstr>4.3.0.0</vt:lpwstr>
  </property>
  <property fmtid="{D5CDD505-2E9C-101B-9397-08002B2CF9AE}" pid="57" name="urixOrigin">
    <vt:lpwstr>101116 10:43:23.618</vt:lpwstr>
  </property>
  <property fmtid="{D5CDD505-2E9C-101B-9397-08002B2CF9AE}" pid="58" name="urixGuid">
    <vt:lpwstr>{C8485714-3F66-4F6F-B38A-73AD4E78C4E0}</vt:lpwstr>
  </property>
</Properties>
</file>