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AA3195">
        <w:tblPrEx>
          <w:tblCellMar>
            <w:top w:w="0" w:type="dxa"/>
            <w:bottom w:w="0" w:type="dxa"/>
          </w:tblCellMar>
        </w:tblPrEx>
        <w:tc>
          <w:tcPr>
            <w:tcW w:w="2268" w:type="dxa"/>
          </w:tcPr>
          <w:p w:rsidR="003242B4" w:rsidRPr="00AA3195" w:rsidRDefault="005D1B28">
            <w:pPr>
              <w:framePr w:w="4400" w:h="1644" w:wrap="notBeside" w:vAnchor="page" w:hAnchor="page" w:x="6573" w:y="721"/>
              <w:rPr>
                <w:rFonts w:ascii="TradeGothic" w:hAnsi="TradeGothic"/>
                <w:i/>
                <w:sz w:val="18"/>
              </w:rPr>
            </w:pPr>
            <w:r w:rsidRPr="00AA3195">
              <w:rPr>
                <w:rFonts w:ascii="TradeGothic" w:hAnsi="TradeGothic"/>
                <w:i/>
                <w:sz w:val="18"/>
              </w:rPr>
              <w:t>Slutlig</w:t>
            </w:r>
          </w:p>
        </w:tc>
        <w:tc>
          <w:tcPr>
            <w:tcW w:w="2347" w:type="dxa"/>
            <w:gridSpan w:val="2"/>
          </w:tcPr>
          <w:p w:rsidR="003242B4" w:rsidRPr="00AA3195" w:rsidRDefault="003242B4">
            <w:pPr>
              <w:framePr w:w="4400" w:h="1644" w:wrap="notBeside" w:vAnchor="page" w:hAnchor="page" w:x="6573" w:y="721"/>
              <w:rPr>
                <w:rFonts w:ascii="TradeGothic" w:hAnsi="TradeGothic"/>
                <w:i/>
                <w:sz w:val="18"/>
              </w:rPr>
            </w:pPr>
          </w:p>
        </w:tc>
      </w:tr>
      <w:tr w:rsidR="003242B4" w:rsidRPr="00AA3195">
        <w:tblPrEx>
          <w:tblCellMar>
            <w:top w:w="0" w:type="dxa"/>
            <w:bottom w:w="0" w:type="dxa"/>
          </w:tblCellMar>
        </w:tblPrEx>
        <w:tc>
          <w:tcPr>
            <w:tcW w:w="2268" w:type="dxa"/>
          </w:tcPr>
          <w:p w:rsidR="003242B4" w:rsidRPr="00AA3195" w:rsidRDefault="003242B4">
            <w:pPr>
              <w:framePr w:w="4400" w:h="1644" w:wrap="notBeside" w:vAnchor="page" w:hAnchor="page" w:x="6573" w:y="721"/>
              <w:rPr>
                <w:rFonts w:ascii="TradeGothic" w:hAnsi="TradeGothic"/>
                <w:b/>
                <w:sz w:val="22"/>
              </w:rPr>
            </w:pPr>
            <w:r w:rsidRPr="00AA3195">
              <w:rPr>
                <w:rFonts w:ascii="TradeGothic" w:hAnsi="TradeGothic"/>
                <w:b/>
                <w:sz w:val="22"/>
              </w:rPr>
              <w:t xml:space="preserve">Kommenterad dagordning </w:t>
            </w:r>
          </w:p>
        </w:tc>
        <w:tc>
          <w:tcPr>
            <w:tcW w:w="2347" w:type="dxa"/>
            <w:gridSpan w:val="2"/>
          </w:tcPr>
          <w:p w:rsidR="003242B4" w:rsidRPr="00AA3195" w:rsidRDefault="003242B4">
            <w:pPr>
              <w:framePr w:w="4400" w:h="1644" w:wrap="notBeside" w:vAnchor="page" w:hAnchor="page" w:x="6573" w:y="721"/>
              <w:rPr>
                <w:rFonts w:ascii="TradeGothic" w:hAnsi="TradeGothic"/>
                <w:b/>
                <w:sz w:val="22"/>
              </w:rPr>
            </w:pPr>
          </w:p>
        </w:tc>
      </w:tr>
      <w:tr w:rsidR="003242B4" w:rsidRPr="00AA3195">
        <w:tblPrEx>
          <w:tblCellMar>
            <w:top w:w="0" w:type="dxa"/>
            <w:bottom w:w="0" w:type="dxa"/>
          </w:tblCellMar>
        </w:tblPrEx>
        <w:tc>
          <w:tcPr>
            <w:tcW w:w="3402" w:type="dxa"/>
            <w:gridSpan w:val="2"/>
          </w:tcPr>
          <w:p w:rsidR="003242B4" w:rsidRPr="00AA3195" w:rsidRDefault="003242B4">
            <w:pPr>
              <w:framePr w:w="4400" w:h="1644" w:wrap="notBeside" w:vAnchor="page" w:hAnchor="page" w:x="6573" w:y="721"/>
            </w:pPr>
          </w:p>
          <w:p w:rsidR="003242B4" w:rsidRPr="00AA3195" w:rsidRDefault="00A67D56">
            <w:pPr>
              <w:framePr w:w="4400" w:h="1644" w:wrap="notBeside" w:vAnchor="page" w:hAnchor="page" w:x="6573" w:y="721"/>
            </w:pPr>
            <w:r w:rsidRPr="00AA3195">
              <w:t>2007-</w:t>
            </w:r>
            <w:r w:rsidR="00D075DB" w:rsidRPr="00AA3195">
              <w:t>1</w:t>
            </w:r>
            <w:r w:rsidR="00013125" w:rsidRPr="00AA3195">
              <w:t>2</w:t>
            </w:r>
            <w:r w:rsidRPr="00AA3195">
              <w:t>-</w:t>
            </w:r>
            <w:r w:rsidR="005D1B28" w:rsidRPr="00AA3195">
              <w:t>10</w:t>
            </w:r>
          </w:p>
          <w:p w:rsidR="003242B4" w:rsidRPr="00AA3195" w:rsidRDefault="003242B4">
            <w:pPr>
              <w:framePr w:w="4400" w:h="1644" w:wrap="notBeside" w:vAnchor="page" w:hAnchor="page" w:x="6573" w:y="721"/>
            </w:pPr>
          </w:p>
        </w:tc>
        <w:tc>
          <w:tcPr>
            <w:tcW w:w="1213" w:type="dxa"/>
          </w:tcPr>
          <w:p w:rsidR="003242B4" w:rsidRPr="00AA3195" w:rsidRDefault="003242B4">
            <w:pPr>
              <w:framePr w:w="4400" w:h="1644" w:wrap="notBeside" w:vAnchor="page" w:hAnchor="page" w:x="6573" w:y="721"/>
            </w:pPr>
          </w:p>
        </w:tc>
      </w:tr>
      <w:tr w:rsidR="003242B4" w:rsidRPr="00AA3195">
        <w:tblPrEx>
          <w:tblCellMar>
            <w:top w:w="0" w:type="dxa"/>
            <w:bottom w:w="0" w:type="dxa"/>
          </w:tblCellMar>
        </w:tblPrEx>
        <w:tc>
          <w:tcPr>
            <w:tcW w:w="2268" w:type="dxa"/>
          </w:tcPr>
          <w:p w:rsidR="003242B4" w:rsidRPr="00AA3195" w:rsidRDefault="003242B4">
            <w:pPr>
              <w:framePr w:w="4400" w:h="1644" w:wrap="notBeside" w:vAnchor="page" w:hAnchor="page" w:x="6573" w:y="721"/>
            </w:pPr>
          </w:p>
        </w:tc>
        <w:tc>
          <w:tcPr>
            <w:tcW w:w="2347" w:type="dxa"/>
            <w:gridSpan w:val="2"/>
          </w:tcPr>
          <w:p w:rsidR="003242B4" w:rsidRPr="00AA3195" w:rsidRDefault="003242B4">
            <w:pPr>
              <w:framePr w:w="4400" w:h="1644" w:wrap="notBeside" w:vAnchor="page" w:hAnchor="page" w:x="6573" w:y="721"/>
            </w:pPr>
          </w:p>
        </w:tc>
      </w:tr>
      <w:tr w:rsidR="003242B4" w:rsidRPr="00AA3195">
        <w:tblPrEx>
          <w:tblCellMar>
            <w:top w:w="0" w:type="dxa"/>
            <w:bottom w:w="0" w:type="dxa"/>
          </w:tblCellMar>
        </w:tblPrEx>
        <w:tc>
          <w:tcPr>
            <w:tcW w:w="2268" w:type="dxa"/>
          </w:tcPr>
          <w:p w:rsidR="003242B4" w:rsidRPr="00AA3195" w:rsidRDefault="003242B4">
            <w:pPr>
              <w:framePr w:w="4400" w:h="1644" w:wrap="notBeside" w:vAnchor="page" w:hAnchor="page" w:x="6573" w:y="721"/>
            </w:pPr>
          </w:p>
        </w:tc>
        <w:tc>
          <w:tcPr>
            <w:tcW w:w="2347" w:type="dxa"/>
            <w:gridSpan w:val="2"/>
          </w:tcPr>
          <w:p w:rsidR="003242B4" w:rsidRPr="00AA3195"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AA3195">
        <w:tblPrEx>
          <w:tblCellMar>
            <w:top w:w="0" w:type="dxa"/>
            <w:bottom w:w="0" w:type="dxa"/>
          </w:tblCellMar>
        </w:tblPrEx>
        <w:trPr>
          <w:trHeight w:val="284"/>
        </w:trPr>
        <w:tc>
          <w:tcPr>
            <w:tcW w:w="4911" w:type="dxa"/>
          </w:tcPr>
          <w:p w:rsidR="003242B4" w:rsidRPr="00AA3195" w:rsidRDefault="003242B4">
            <w:pPr>
              <w:pStyle w:val="Avsndare"/>
              <w:framePr w:h="2483" w:wrap="notBeside" w:x="1504"/>
              <w:rPr>
                <w:b/>
                <w:i w:val="0"/>
                <w:sz w:val="22"/>
              </w:rPr>
            </w:pPr>
            <w:r w:rsidRPr="00AA3195">
              <w:rPr>
                <w:b/>
                <w:i w:val="0"/>
                <w:sz w:val="22"/>
              </w:rPr>
              <w:t>Jordbruksdepartementet</w:t>
            </w:r>
          </w:p>
        </w:tc>
      </w:tr>
      <w:tr w:rsidR="003242B4" w:rsidRPr="00AA3195">
        <w:tblPrEx>
          <w:tblCellMar>
            <w:top w:w="0" w:type="dxa"/>
            <w:bottom w:w="0" w:type="dxa"/>
          </w:tblCellMar>
        </w:tblPrEx>
        <w:trPr>
          <w:trHeight w:val="284"/>
        </w:trPr>
        <w:tc>
          <w:tcPr>
            <w:tcW w:w="4911" w:type="dxa"/>
          </w:tcPr>
          <w:p w:rsidR="003242B4" w:rsidRPr="00AA3195" w:rsidRDefault="003242B4">
            <w:pPr>
              <w:pStyle w:val="Avsndare"/>
              <w:framePr w:h="2483" w:wrap="notBeside" w:x="1504"/>
              <w:rPr>
                <w:bCs/>
                <w:iCs/>
              </w:rPr>
            </w:pPr>
          </w:p>
        </w:tc>
      </w:tr>
      <w:tr w:rsidR="003242B4" w:rsidRPr="00AA3195">
        <w:tblPrEx>
          <w:tblCellMar>
            <w:top w:w="0" w:type="dxa"/>
            <w:bottom w:w="0" w:type="dxa"/>
          </w:tblCellMar>
        </w:tblPrEx>
        <w:trPr>
          <w:trHeight w:val="284"/>
        </w:trPr>
        <w:tc>
          <w:tcPr>
            <w:tcW w:w="4911" w:type="dxa"/>
          </w:tcPr>
          <w:p w:rsidR="003242B4" w:rsidRPr="00AA3195" w:rsidRDefault="003242B4">
            <w:pPr>
              <w:pStyle w:val="Avsndare"/>
              <w:framePr w:h="2483" w:wrap="notBeside" w:x="1504"/>
              <w:rPr>
                <w:bCs/>
                <w:iCs/>
              </w:rPr>
            </w:pPr>
          </w:p>
        </w:tc>
      </w:tr>
    </w:tbl>
    <w:p w:rsidR="003242B4" w:rsidRPr="00AA3195" w:rsidRDefault="003242B4">
      <w:pPr>
        <w:framePr w:w="4400" w:h="2523" w:wrap="notBeside" w:vAnchor="page" w:hAnchor="page" w:x="6453" w:y="2445"/>
      </w:pPr>
    </w:p>
    <w:p w:rsidR="003242B4" w:rsidRPr="00AA3195" w:rsidRDefault="003242B4">
      <w:pPr>
        <w:framePr w:w="4400" w:h="2523" w:wrap="notBeside" w:vAnchor="page" w:hAnchor="page" w:x="6453" w:y="2445"/>
      </w:pPr>
      <w:r w:rsidRPr="00AA3195">
        <w:t>EU-nämnden</w:t>
      </w:r>
    </w:p>
    <w:p w:rsidR="003242B4" w:rsidRPr="00AA3195" w:rsidRDefault="003242B4">
      <w:pPr>
        <w:framePr w:w="4400" w:h="2523" w:wrap="notBeside" w:vAnchor="page" w:hAnchor="page" w:x="6453" w:y="2445"/>
      </w:pPr>
      <w:r w:rsidRPr="00AA3195">
        <w:t>Miljö- och jordbruksutskottet</w:t>
      </w:r>
    </w:p>
    <w:p w:rsidR="003242B4" w:rsidRPr="00AA3195" w:rsidRDefault="003242B4">
      <w:pPr>
        <w:framePr w:w="4400" w:h="2523" w:wrap="notBeside" w:vAnchor="page" w:hAnchor="page" w:x="6453" w:y="2445"/>
      </w:pPr>
      <w:r w:rsidRPr="00AA3195">
        <w:t>Kopia:</w:t>
      </w:r>
      <w:r w:rsidRPr="00AA3195">
        <w:tab/>
        <w:t>SB EU-kansliet</w:t>
      </w:r>
    </w:p>
    <w:p w:rsidR="003242B4" w:rsidRPr="00AA3195" w:rsidRDefault="003242B4">
      <w:pPr>
        <w:framePr w:w="4400" w:h="2523" w:wrap="notBeside" w:vAnchor="page" w:hAnchor="page" w:x="6453" w:y="2445"/>
        <w:ind w:firstLine="720"/>
      </w:pPr>
      <w:r w:rsidRPr="00AA3195">
        <w:t>Riksdagens Kammarkansli</w:t>
      </w:r>
    </w:p>
    <w:p w:rsidR="003242B4" w:rsidRPr="00AA3195" w:rsidRDefault="003242B4">
      <w:pPr>
        <w:framePr w:w="4400" w:h="2523" w:wrap="notBeside" w:vAnchor="page" w:hAnchor="page" w:x="6453" w:y="2445"/>
        <w:ind w:left="142"/>
      </w:pPr>
    </w:p>
    <w:p w:rsidR="003242B4" w:rsidRPr="00AA3195" w:rsidRDefault="003242B4">
      <w:pPr>
        <w:pStyle w:val="RKrubrik"/>
        <w:pBdr>
          <w:bottom w:val="single" w:sz="4" w:space="1" w:color="000000"/>
        </w:pBdr>
        <w:spacing w:before="0" w:after="0"/>
      </w:pPr>
      <w:r w:rsidRPr="00AA3195">
        <w:t>Kommenterad dagordning inför</w:t>
      </w:r>
      <w:r w:rsidR="00955B63" w:rsidRPr="00AA3195">
        <w:t xml:space="preserve"> Jordbruks- och fiskerådet den </w:t>
      </w:r>
      <w:r w:rsidR="00013125" w:rsidRPr="00AA3195">
        <w:t>17-19 december</w:t>
      </w:r>
      <w:r w:rsidR="00955B63" w:rsidRPr="00AA3195">
        <w:t xml:space="preserve"> 2007</w:t>
      </w:r>
    </w:p>
    <w:p w:rsidR="003242B4" w:rsidRPr="00AA3195" w:rsidRDefault="003242B4">
      <w:pPr>
        <w:pStyle w:val="RKnormal"/>
      </w:pPr>
    </w:p>
    <w:p w:rsidR="003242B4" w:rsidRPr="00AA3195" w:rsidRDefault="003242B4">
      <w:pPr>
        <w:pStyle w:val="RKrubrik"/>
      </w:pPr>
      <w:r w:rsidRPr="00AA3195">
        <w:t>1. Godkännande av dagordningen</w:t>
      </w:r>
    </w:p>
    <w:p w:rsidR="003242B4" w:rsidRPr="00AA3195" w:rsidRDefault="003242B4">
      <w:pPr>
        <w:pStyle w:val="RKnormal"/>
        <w:rPr>
          <w:rFonts w:ascii="TradeGothic" w:hAnsi="TradeGothic"/>
        </w:rPr>
      </w:pPr>
    </w:p>
    <w:p w:rsidR="003242B4" w:rsidRPr="00AA3195" w:rsidRDefault="003242B4">
      <w:pPr>
        <w:pStyle w:val="RKrubrik"/>
      </w:pPr>
      <w:r w:rsidRPr="00AA3195">
        <w:t>2. Godkännande av A-punktslistan</w:t>
      </w:r>
    </w:p>
    <w:p w:rsidR="00E27F65" w:rsidRPr="00AA3195" w:rsidRDefault="00E27F65" w:rsidP="00E27F65">
      <w:pPr>
        <w:spacing w:line="240" w:lineRule="auto"/>
      </w:pPr>
    </w:p>
    <w:p w:rsidR="00E27F65" w:rsidRPr="00AA3195" w:rsidRDefault="00E27F65" w:rsidP="00E27F65">
      <w:pPr>
        <w:pStyle w:val="RKrubrik"/>
      </w:pPr>
      <w:r w:rsidRPr="00AA3195">
        <w:t xml:space="preserve">3. </w:t>
      </w:r>
      <w:r w:rsidR="00C35DA4" w:rsidRPr="00AA3195">
        <w:t>Förslag till rådets förordning om fastställande för år 2008 av fiskemöjligheter och därmed förbundna villkor för vissa fiskebestånd och grupper av fiskebestånd i gemenskapens vatten och, för gemenskapens fartyg, i andra vatten där fångstbegränsningar krävs</w:t>
      </w:r>
      <w:r w:rsidR="007E3857" w:rsidRPr="00AA3195">
        <w:t xml:space="preserve"> </w:t>
      </w:r>
    </w:p>
    <w:p w:rsidR="00E27F65" w:rsidRPr="00AA3195" w:rsidRDefault="00E9594D" w:rsidP="00E27F65">
      <w:pPr>
        <w:pStyle w:val="RKnormal"/>
        <w:rPr>
          <w:b/>
          <w:i/>
        </w:rPr>
      </w:pPr>
      <w:r w:rsidRPr="00AA3195">
        <w:rPr>
          <w:b/>
          <w:i/>
        </w:rPr>
        <w:t xml:space="preserve">– </w:t>
      </w:r>
      <w:r w:rsidR="007E3857" w:rsidRPr="00AA3195">
        <w:rPr>
          <w:b/>
          <w:i/>
        </w:rPr>
        <w:t>Politisk överenskommelse</w:t>
      </w:r>
    </w:p>
    <w:p w:rsidR="00F84D39" w:rsidRPr="00AA3195" w:rsidRDefault="00F84D39" w:rsidP="00F84D39">
      <w:pPr>
        <w:pStyle w:val="RKnormal"/>
        <w:rPr>
          <w:b/>
          <w:bCs/>
          <w:i/>
          <w:iCs/>
        </w:rPr>
      </w:pPr>
    </w:p>
    <w:p w:rsidR="00E27F65" w:rsidRPr="00AA3195" w:rsidRDefault="00F84D39" w:rsidP="00E27F65">
      <w:pPr>
        <w:pStyle w:val="RKnormal"/>
        <w:rPr>
          <w:i/>
          <w:iCs/>
        </w:rPr>
      </w:pPr>
      <w:r w:rsidRPr="00AA3195">
        <w:rPr>
          <w:i/>
          <w:iCs/>
        </w:rPr>
        <w:t>Dokumentbeteckning</w:t>
      </w:r>
    </w:p>
    <w:p w:rsidR="00026455" w:rsidRPr="00AA3195" w:rsidRDefault="001769F7" w:rsidP="00026455">
      <w:pPr>
        <w:pStyle w:val="RKnormal"/>
        <w:rPr>
          <w:i/>
        </w:rPr>
      </w:pPr>
      <w:r w:rsidRPr="00AA3195">
        <w:rPr>
          <w:i/>
        </w:rPr>
        <w:t>-</w:t>
      </w:r>
    </w:p>
    <w:p w:rsidR="001769F7" w:rsidRPr="00AA3195" w:rsidRDefault="001769F7" w:rsidP="00026455">
      <w:pPr>
        <w:pStyle w:val="RKnormal"/>
        <w:rPr>
          <w:i/>
        </w:rPr>
      </w:pPr>
    </w:p>
    <w:p w:rsidR="00026455" w:rsidRPr="00AA3195" w:rsidRDefault="00026455" w:rsidP="00026455">
      <w:pPr>
        <w:pStyle w:val="RKnormal"/>
        <w:rPr>
          <w:i/>
        </w:rPr>
      </w:pPr>
      <w:r w:rsidRPr="00AA3195">
        <w:rPr>
          <w:i/>
        </w:rPr>
        <w:t>Rättslig grund</w:t>
      </w:r>
    </w:p>
    <w:p w:rsidR="00C35DA4" w:rsidRPr="00AA3195" w:rsidRDefault="00C35DA4" w:rsidP="00C35DA4">
      <w:pPr>
        <w:pStyle w:val="RKnormal"/>
        <w:rPr>
          <w:color w:val="000000"/>
          <w:szCs w:val="24"/>
          <w:lang w:eastAsia="sv-SE"/>
        </w:rPr>
      </w:pPr>
      <w:r w:rsidRPr="00AA3195">
        <w:rPr>
          <w:color w:val="000000"/>
          <w:szCs w:val="24"/>
          <w:lang w:eastAsia="sv-SE"/>
        </w:rPr>
        <w:t xml:space="preserve">Artikel </w:t>
      </w:r>
      <w:r w:rsidR="00B366A8" w:rsidRPr="00AA3195">
        <w:rPr>
          <w:color w:val="000000"/>
          <w:szCs w:val="24"/>
          <w:lang w:eastAsia="sv-SE"/>
        </w:rPr>
        <w:t>20</w:t>
      </w:r>
      <w:r w:rsidRPr="00AA3195">
        <w:rPr>
          <w:color w:val="000000"/>
          <w:szCs w:val="24"/>
          <w:lang w:eastAsia="sv-SE"/>
        </w:rPr>
        <w:t xml:space="preserve"> i </w:t>
      </w:r>
      <w:r w:rsidR="00B366A8" w:rsidRPr="00AA3195">
        <w:rPr>
          <w:color w:val="000000"/>
          <w:szCs w:val="24"/>
          <w:lang w:eastAsia="sv-SE"/>
        </w:rPr>
        <w:t xml:space="preserve">rådets förordning (EG) nr 2371/2002. </w:t>
      </w:r>
      <w:r w:rsidRPr="00AA3195">
        <w:rPr>
          <w:color w:val="000000"/>
          <w:szCs w:val="24"/>
          <w:lang w:eastAsia="sv-SE"/>
        </w:rPr>
        <w:t xml:space="preserve">Beslut fattas av rådet med kvalificerad majoritet </w:t>
      </w:r>
      <w:r w:rsidR="00B366A8" w:rsidRPr="00AA3195">
        <w:rPr>
          <w:color w:val="000000"/>
          <w:szCs w:val="24"/>
          <w:lang w:eastAsia="sv-SE"/>
        </w:rPr>
        <w:t>på förslag av kommissionen</w:t>
      </w:r>
      <w:r w:rsidRPr="00AA3195">
        <w:rPr>
          <w:color w:val="000000"/>
          <w:szCs w:val="24"/>
          <w:lang w:eastAsia="sv-SE"/>
        </w:rPr>
        <w:t>.</w:t>
      </w:r>
    </w:p>
    <w:p w:rsidR="00F8129C" w:rsidRPr="00AA3195" w:rsidRDefault="00F8129C" w:rsidP="00026455">
      <w:pPr>
        <w:pStyle w:val="RKnormal"/>
      </w:pPr>
    </w:p>
    <w:p w:rsidR="00026455" w:rsidRPr="00AA3195" w:rsidRDefault="00026455" w:rsidP="00026455">
      <w:pPr>
        <w:tabs>
          <w:tab w:val="left" w:pos="2835"/>
        </w:tabs>
        <w:overflowPunct/>
        <w:spacing w:line="240" w:lineRule="atLeast"/>
        <w:textAlignment w:val="auto"/>
        <w:rPr>
          <w:rFonts w:cs="OrigGarmnd BT"/>
          <w:i/>
          <w:iCs/>
          <w:color w:val="000000"/>
          <w:szCs w:val="24"/>
          <w:lang w:eastAsia="sv-SE"/>
        </w:rPr>
      </w:pPr>
      <w:r w:rsidRPr="00AA3195">
        <w:rPr>
          <w:rFonts w:cs="OrigGarmnd BT"/>
          <w:i/>
          <w:iCs/>
          <w:color w:val="000000"/>
          <w:szCs w:val="24"/>
          <w:lang w:eastAsia="sv-SE"/>
        </w:rPr>
        <w:t>Bakgrund</w:t>
      </w:r>
    </w:p>
    <w:p w:rsidR="00C00459" w:rsidRPr="00AA3195" w:rsidRDefault="00C35DA4" w:rsidP="00C35DA4">
      <w:pPr>
        <w:pStyle w:val="RKnormal"/>
        <w:rPr>
          <w:szCs w:val="24"/>
        </w:rPr>
      </w:pPr>
      <w:r w:rsidRPr="00AA3195">
        <w:rPr>
          <w:szCs w:val="24"/>
        </w:rPr>
        <w:t xml:space="preserve">Den gemensamma fiskeripolitikens centrala inslag är </w:t>
      </w:r>
      <w:r w:rsidR="00830756" w:rsidRPr="00AA3195">
        <w:rPr>
          <w:szCs w:val="24"/>
        </w:rPr>
        <w:t>fastställande</w:t>
      </w:r>
      <w:r w:rsidRPr="00AA3195">
        <w:rPr>
          <w:szCs w:val="24"/>
        </w:rPr>
        <w:t xml:space="preserve"> av fångst</w:t>
      </w:r>
      <w:r w:rsidR="00830756" w:rsidRPr="00AA3195">
        <w:rPr>
          <w:szCs w:val="24"/>
        </w:rPr>
        <w:t>-</w:t>
      </w:r>
      <w:r w:rsidRPr="00AA3195">
        <w:rPr>
          <w:szCs w:val="24"/>
        </w:rPr>
        <w:t xml:space="preserve"> och fiskeansträngning. Dessa fastställs årligen, tillsammans med tekniska regler för fiskets bedrivande</w:t>
      </w:r>
      <w:r w:rsidR="00C00459" w:rsidRPr="00AA3195">
        <w:rPr>
          <w:szCs w:val="24"/>
        </w:rPr>
        <w:t>, i TAC</w:t>
      </w:r>
      <w:r w:rsidR="00C00459" w:rsidRPr="00AA3195">
        <w:rPr>
          <w:rStyle w:val="Fotnotsreferens"/>
        </w:rPr>
        <w:footnoteReference w:id="1"/>
      </w:r>
      <w:r w:rsidR="00C00459" w:rsidRPr="00AA3195">
        <w:rPr>
          <w:szCs w:val="24"/>
        </w:rPr>
        <w:t xml:space="preserve"> och kvotförordningen</w:t>
      </w:r>
      <w:r w:rsidRPr="00AA3195">
        <w:rPr>
          <w:szCs w:val="24"/>
        </w:rPr>
        <w:t xml:space="preserve">. </w:t>
      </w:r>
      <w:r w:rsidR="001769F7" w:rsidRPr="00AA3195">
        <w:rPr>
          <w:szCs w:val="24"/>
        </w:rPr>
        <w:t>Vid jordbruks- och fiskerådet i oktober nåddes en politisk överenskommelse</w:t>
      </w:r>
      <w:r w:rsidRPr="00AA3195">
        <w:rPr>
          <w:szCs w:val="24"/>
        </w:rPr>
        <w:t xml:space="preserve"> avseende </w:t>
      </w:r>
      <w:r w:rsidR="00E643F8" w:rsidRPr="00AA3195">
        <w:rPr>
          <w:szCs w:val="24"/>
        </w:rPr>
        <w:t xml:space="preserve">fisket i </w:t>
      </w:r>
      <w:r w:rsidRPr="00AA3195">
        <w:rPr>
          <w:szCs w:val="24"/>
        </w:rPr>
        <w:t>Östersjön</w:t>
      </w:r>
      <w:r w:rsidR="001769F7" w:rsidRPr="00AA3195">
        <w:rPr>
          <w:szCs w:val="24"/>
        </w:rPr>
        <w:t>. Vid</w:t>
      </w:r>
      <w:r w:rsidRPr="00AA3195">
        <w:rPr>
          <w:szCs w:val="24"/>
        </w:rPr>
        <w:t xml:space="preserve"> decemberrådet </w:t>
      </w:r>
      <w:r w:rsidR="001769F7" w:rsidRPr="00AA3195">
        <w:rPr>
          <w:szCs w:val="24"/>
        </w:rPr>
        <w:t xml:space="preserve">kommer </w:t>
      </w:r>
      <w:r w:rsidRPr="00AA3195">
        <w:rPr>
          <w:szCs w:val="24"/>
        </w:rPr>
        <w:t>beslut</w:t>
      </w:r>
      <w:r w:rsidR="001769F7" w:rsidRPr="00AA3195">
        <w:rPr>
          <w:szCs w:val="24"/>
        </w:rPr>
        <w:t xml:space="preserve"> att fattas</w:t>
      </w:r>
      <w:r w:rsidRPr="00AA3195">
        <w:rPr>
          <w:szCs w:val="24"/>
        </w:rPr>
        <w:t xml:space="preserve"> om</w:t>
      </w:r>
      <w:r w:rsidR="00E643F8" w:rsidRPr="00AA3195">
        <w:rPr>
          <w:szCs w:val="24"/>
        </w:rPr>
        <w:t xml:space="preserve"> fisket i</w:t>
      </w:r>
      <w:r w:rsidRPr="00AA3195">
        <w:rPr>
          <w:szCs w:val="24"/>
        </w:rPr>
        <w:t xml:space="preserve"> bl.a. Västerhavet. </w:t>
      </w:r>
    </w:p>
    <w:p w:rsidR="00C00459" w:rsidRPr="00AA3195" w:rsidRDefault="00C00459" w:rsidP="00C35DA4">
      <w:pPr>
        <w:pStyle w:val="RKnormal"/>
        <w:rPr>
          <w:szCs w:val="24"/>
        </w:rPr>
      </w:pPr>
    </w:p>
    <w:p w:rsidR="00C35DA4" w:rsidRPr="00AA3195" w:rsidRDefault="00C35DA4" w:rsidP="00C35DA4">
      <w:pPr>
        <w:pStyle w:val="RKnormal"/>
        <w:rPr>
          <w:szCs w:val="24"/>
        </w:rPr>
      </w:pPr>
      <w:r w:rsidRPr="00AA3195">
        <w:rPr>
          <w:szCs w:val="24"/>
        </w:rPr>
        <w:t xml:space="preserve">För åtskilliga fisken fattas beslut genom bilaterala förhandlingar. Detta gäller bl.a. för de flesta av de för Sverige viktiga fiskena varom nyligen överenskommits i förhandlingar mellan EG och Norge. </w:t>
      </w:r>
      <w:r w:rsidR="00C00459" w:rsidRPr="00AA3195">
        <w:rPr>
          <w:szCs w:val="24"/>
        </w:rPr>
        <w:t xml:space="preserve">Dessa förhandlingar resulterade i en minskning av kvoterna för fem </w:t>
      </w:r>
      <w:r w:rsidR="0077167D" w:rsidRPr="00AA3195">
        <w:rPr>
          <w:szCs w:val="24"/>
        </w:rPr>
        <w:t xml:space="preserve">av de gemensamt förvaltade </w:t>
      </w:r>
      <w:r w:rsidR="00C00459" w:rsidRPr="00AA3195">
        <w:rPr>
          <w:szCs w:val="24"/>
        </w:rPr>
        <w:t>bestånd</w:t>
      </w:r>
      <w:r w:rsidR="0077167D" w:rsidRPr="00AA3195">
        <w:rPr>
          <w:szCs w:val="24"/>
        </w:rPr>
        <w:t>en</w:t>
      </w:r>
      <w:r w:rsidR="00C00459" w:rsidRPr="00AA3195">
        <w:rPr>
          <w:szCs w:val="24"/>
        </w:rPr>
        <w:t xml:space="preserve"> (kolja, vitling, rödspotta, makrill och sill). För de övriga två </w:t>
      </w:r>
      <w:r w:rsidR="00916059" w:rsidRPr="00AA3195">
        <w:rPr>
          <w:szCs w:val="24"/>
        </w:rPr>
        <w:t xml:space="preserve">gemensamt förvaltade bestånden </w:t>
      </w:r>
      <w:r w:rsidR="00C00459" w:rsidRPr="00AA3195">
        <w:rPr>
          <w:szCs w:val="24"/>
        </w:rPr>
        <w:t xml:space="preserve">(torsk och sej) höjdes kvoterna samtidigt som utkastbegränsande åtgärder ska vidtas.. Dessa </w:t>
      </w:r>
      <w:r w:rsidR="00B25F2E" w:rsidRPr="00AA3195">
        <w:rPr>
          <w:szCs w:val="24"/>
        </w:rPr>
        <w:t>förhandlings</w:t>
      </w:r>
      <w:r w:rsidR="00C00459" w:rsidRPr="00AA3195">
        <w:rPr>
          <w:szCs w:val="24"/>
        </w:rPr>
        <w:t xml:space="preserve">resultat ingår i </w:t>
      </w:r>
      <w:r w:rsidR="001769F7" w:rsidRPr="00AA3195">
        <w:rPr>
          <w:szCs w:val="24"/>
        </w:rPr>
        <w:t>k</w:t>
      </w:r>
      <w:r w:rsidRPr="00AA3195">
        <w:rPr>
          <w:szCs w:val="24"/>
        </w:rPr>
        <w:t xml:space="preserve">ommissionens 225-sidiga förslag </w:t>
      </w:r>
      <w:r w:rsidR="00C00459" w:rsidRPr="00AA3195">
        <w:rPr>
          <w:szCs w:val="24"/>
        </w:rPr>
        <w:t xml:space="preserve">till </w:t>
      </w:r>
      <w:r w:rsidR="00916059" w:rsidRPr="00AA3195">
        <w:rPr>
          <w:szCs w:val="24"/>
        </w:rPr>
        <w:t>TAC och kvot</w:t>
      </w:r>
      <w:r w:rsidR="00C00459" w:rsidRPr="00AA3195">
        <w:rPr>
          <w:szCs w:val="24"/>
        </w:rPr>
        <w:t>förordning</w:t>
      </w:r>
      <w:r w:rsidR="0077167D" w:rsidRPr="00AA3195">
        <w:rPr>
          <w:szCs w:val="24"/>
        </w:rPr>
        <w:t xml:space="preserve"> för 2008</w:t>
      </w:r>
      <w:r w:rsidR="00C00459" w:rsidRPr="00AA3195">
        <w:rPr>
          <w:szCs w:val="24"/>
        </w:rPr>
        <w:t xml:space="preserve">. Vid genomgången av förslaget </w:t>
      </w:r>
      <w:r w:rsidRPr="00AA3195">
        <w:rPr>
          <w:szCs w:val="24"/>
        </w:rPr>
        <w:t>i rådsarbetsgruppen för intern fiskeripolitik</w:t>
      </w:r>
      <w:r w:rsidR="001769F7" w:rsidRPr="00AA3195">
        <w:rPr>
          <w:szCs w:val="24"/>
        </w:rPr>
        <w:t xml:space="preserve"> har</w:t>
      </w:r>
      <w:r w:rsidRPr="00AA3195">
        <w:rPr>
          <w:szCs w:val="24"/>
        </w:rPr>
        <w:t xml:space="preserve"> </w:t>
      </w:r>
      <w:r w:rsidR="001769F7" w:rsidRPr="00AA3195">
        <w:rPr>
          <w:szCs w:val="24"/>
        </w:rPr>
        <w:t>h</w:t>
      </w:r>
      <w:r w:rsidRPr="00AA3195">
        <w:rPr>
          <w:szCs w:val="24"/>
        </w:rPr>
        <w:t xml:space="preserve">ittills inte </w:t>
      </w:r>
      <w:r w:rsidR="001769F7" w:rsidRPr="00AA3195">
        <w:rPr>
          <w:szCs w:val="24"/>
        </w:rPr>
        <w:t xml:space="preserve">något enskilt problem </w:t>
      </w:r>
      <w:r w:rsidRPr="00AA3195">
        <w:rPr>
          <w:szCs w:val="24"/>
        </w:rPr>
        <w:t>påvisat</w:t>
      </w:r>
      <w:r w:rsidR="001769F7" w:rsidRPr="00AA3195">
        <w:rPr>
          <w:szCs w:val="24"/>
        </w:rPr>
        <w:t>s</w:t>
      </w:r>
      <w:r w:rsidRPr="00AA3195">
        <w:rPr>
          <w:szCs w:val="24"/>
        </w:rPr>
        <w:t xml:space="preserve"> som kan förväntas vålla stora politiska meningsskiljaktigheter.</w:t>
      </w:r>
    </w:p>
    <w:p w:rsidR="00026455" w:rsidRPr="00AA3195" w:rsidRDefault="00026455" w:rsidP="00026455">
      <w:pPr>
        <w:tabs>
          <w:tab w:val="left" w:pos="2835"/>
        </w:tabs>
        <w:overflowPunct/>
        <w:spacing w:line="240" w:lineRule="atLeast"/>
        <w:textAlignment w:val="auto"/>
        <w:rPr>
          <w:rFonts w:cs="OrigGarmnd BT"/>
          <w:color w:val="000000"/>
          <w:szCs w:val="24"/>
          <w:lang w:eastAsia="sv-SE"/>
        </w:rPr>
      </w:pPr>
    </w:p>
    <w:p w:rsidR="00026455" w:rsidRPr="00AA3195" w:rsidRDefault="00026455" w:rsidP="00026455">
      <w:pPr>
        <w:tabs>
          <w:tab w:val="left" w:pos="2835"/>
        </w:tabs>
        <w:overflowPunct/>
        <w:spacing w:line="240" w:lineRule="atLeast"/>
        <w:textAlignment w:val="auto"/>
        <w:rPr>
          <w:rFonts w:cs="OrigGarmnd BT"/>
          <w:i/>
          <w:iCs/>
          <w:color w:val="000000"/>
          <w:szCs w:val="24"/>
          <w:lang w:eastAsia="sv-SE"/>
        </w:rPr>
      </w:pPr>
      <w:r w:rsidRPr="00AA3195">
        <w:rPr>
          <w:rFonts w:cs="OrigGarmnd BT"/>
          <w:i/>
          <w:iCs/>
          <w:color w:val="000000"/>
          <w:szCs w:val="24"/>
          <w:lang w:eastAsia="sv-SE"/>
        </w:rPr>
        <w:t>Förslag till svensk ståndpunkt</w:t>
      </w:r>
    </w:p>
    <w:p w:rsidR="00C35DA4" w:rsidRPr="00AA3195" w:rsidRDefault="00C35DA4" w:rsidP="00C35DA4">
      <w:pPr>
        <w:pStyle w:val="RKnormal"/>
      </w:pPr>
      <w:r w:rsidRPr="00AA3195">
        <w:t xml:space="preserve">Sveriges övergripande målsättning är att tillse att den gemensamma fiskeripolitikens regelverk följs. Det gäller inte minst grundförordningens målsättning och principer om försiktighetsansatsens tillämpning baserat på </w:t>
      </w:r>
      <w:r w:rsidR="001769F7" w:rsidRPr="00AA3195">
        <w:t>v</w:t>
      </w:r>
      <w:r w:rsidRPr="00AA3195">
        <w:t>etenskapliga råd och gradvist införande av ekosystemansatsen.</w:t>
      </w:r>
    </w:p>
    <w:p w:rsidR="00C35DA4" w:rsidRPr="00AA3195" w:rsidRDefault="00C35DA4" w:rsidP="00C35DA4">
      <w:pPr>
        <w:pStyle w:val="RKnormal"/>
      </w:pPr>
    </w:p>
    <w:p w:rsidR="00C35DA4" w:rsidRPr="00AA3195" w:rsidRDefault="00C35DA4" w:rsidP="00C35DA4">
      <w:pPr>
        <w:pStyle w:val="RKnormal"/>
      </w:pPr>
      <w:r w:rsidRPr="00AA3195">
        <w:t>Ett fåtal enskilda frågor återstår för Sveriges del. De</w:t>
      </w:r>
      <w:r w:rsidR="001769F7" w:rsidRPr="00AA3195">
        <w:t>t</w:t>
      </w:r>
      <w:r w:rsidRPr="00AA3195">
        <w:t xml:space="preserve"> gäller främst en fördelning av den ofördelade kvoten på tobis för att öka förutsebarhet och underlätta förvaltningen. Sveriges historiska andel av denna kvot är cirka 98%. Dessutom är det viktigt att öka incitamenten för att använda selektiva redskap bl.a. för att undvika utkast av torsk. </w:t>
      </w:r>
    </w:p>
    <w:p w:rsidR="00F8129C" w:rsidRPr="00AA3195" w:rsidRDefault="00F8129C" w:rsidP="00D55657">
      <w:pPr>
        <w:tabs>
          <w:tab w:val="left" w:pos="2835"/>
        </w:tabs>
        <w:overflowPunct/>
        <w:spacing w:line="240" w:lineRule="atLeast"/>
        <w:textAlignment w:val="auto"/>
        <w:rPr>
          <w:rFonts w:cs="OrigGarmnd BT"/>
          <w:i/>
          <w:iCs/>
          <w:color w:val="000000"/>
          <w:szCs w:val="24"/>
          <w:lang w:eastAsia="sv-SE"/>
        </w:rPr>
      </w:pPr>
    </w:p>
    <w:p w:rsidR="00D55657" w:rsidRPr="00AA3195" w:rsidRDefault="00D55657" w:rsidP="00D55657">
      <w:pPr>
        <w:tabs>
          <w:tab w:val="left" w:pos="2835"/>
        </w:tabs>
        <w:overflowPunct/>
        <w:spacing w:line="240" w:lineRule="atLeast"/>
        <w:textAlignment w:val="auto"/>
        <w:rPr>
          <w:rFonts w:cs="OrigGarmnd BT"/>
          <w:i/>
          <w:iCs/>
          <w:color w:val="000000"/>
          <w:szCs w:val="24"/>
          <w:lang w:eastAsia="sv-SE"/>
        </w:rPr>
      </w:pPr>
      <w:r w:rsidRPr="00AA3195">
        <w:rPr>
          <w:rFonts w:cs="OrigGarmnd BT"/>
          <w:i/>
          <w:iCs/>
          <w:color w:val="000000"/>
          <w:szCs w:val="24"/>
          <w:lang w:eastAsia="sv-SE"/>
        </w:rPr>
        <w:t>EU-nämnden</w:t>
      </w:r>
    </w:p>
    <w:p w:rsidR="009B017A" w:rsidRPr="00AA3195" w:rsidRDefault="00B25F2E" w:rsidP="00B25F2E">
      <w:pPr>
        <w:pStyle w:val="RKnormal"/>
        <w:rPr>
          <w:color w:val="000000"/>
          <w:szCs w:val="24"/>
          <w:lang w:eastAsia="sv-SE"/>
        </w:rPr>
      </w:pPr>
      <w:r w:rsidRPr="00AA3195">
        <w:t xml:space="preserve">Frågan har inte tidigare varit föremål för samråd med EU-nämnden. Dock var frågan om fastställande för år 2007 föremål för samråd med EU-nämnden inför jordbruks- och fiskerådet i december 2006. </w:t>
      </w:r>
    </w:p>
    <w:p w:rsidR="00BD1417" w:rsidRPr="00AA3195" w:rsidRDefault="00BD1417" w:rsidP="00F84D39">
      <w:pPr>
        <w:pStyle w:val="RKnormal"/>
      </w:pPr>
    </w:p>
    <w:p w:rsidR="003B30E5" w:rsidRPr="00AA3195" w:rsidRDefault="003B30E5" w:rsidP="003B30E5">
      <w:pPr>
        <w:pStyle w:val="RKrubrik"/>
      </w:pPr>
      <w:r w:rsidRPr="00AA3195">
        <w:t xml:space="preserve">4. </w:t>
      </w:r>
      <w:r w:rsidR="007E3857" w:rsidRPr="00AA3195">
        <w:t xml:space="preserve">a) </w:t>
      </w:r>
      <w:r w:rsidR="009F7627" w:rsidRPr="00AA3195">
        <w:t>Förslag till Europaparlamentets och rådets förordning om utsläppande av v</w:t>
      </w:r>
      <w:r w:rsidR="007E3857" w:rsidRPr="00AA3195">
        <w:t>äxtskyddsmedel</w:t>
      </w:r>
      <w:r w:rsidR="009F7627" w:rsidRPr="00AA3195">
        <w:t xml:space="preserve"> på marknaden</w:t>
      </w:r>
      <w:r w:rsidR="007E3857" w:rsidRPr="00AA3195">
        <w:t xml:space="preserve"> </w:t>
      </w:r>
    </w:p>
    <w:p w:rsidR="003B30E5" w:rsidRPr="00AA3195" w:rsidRDefault="003B30E5" w:rsidP="003B30E5">
      <w:pPr>
        <w:pStyle w:val="RKnormal"/>
        <w:rPr>
          <w:b/>
          <w:i/>
        </w:rPr>
      </w:pPr>
      <w:r w:rsidRPr="00AA3195">
        <w:rPr>
          <w:b/>
          <w:i/>
        </w:rPr>
        <w:t xml:space="preserve">– </w:t>
      </w:r>
      <w:r w:rsidR="001769F7" w:rsidRPr="00AA3195">
        <w:rPr>
          <w:b/>
          <w:i/>
        </w:rPr>
        <w:t>Lägesrappor</w:t>
      </w:r>
      <w:r w:rsidR="007E3857" w:rsidRPr="00AA3195">
        <w:rPr>
          <w:b/>
          <w:i/>
        </w:rPr>
        <w:t>t</w:t>
      </w:r>
    </w:p>
    <w:p w:rsidR="009F7627" w:rsidRPr="00AA3195" w:rsidRDefault="009F7627" w:rsidP="009F7627">
      <w:pPr>
        <w:pStyle w:val="RKnormal"/>
        <w:rPr>
          <w:iCs/>
        </w:rPr>
      </w:pPr>
    </w:p>
    <w:p w:rsidR="009F7627" w:rsidRPr="00AA3195" w:rsidRDefault="009F7627" w:rsidP="009F7627">
      <w:pPr>
        <w:pStyle w:val="RKnormal"/>
        <w:rPr>
          <w:i/>
          <w:iCs/>
        </w:rPr>
      </w:pPr>
      <w:r w:rsidRPr="00AA3195">
        <w:rPr>
          <w:i/>
          <w:iCs/>
        </w:rPr>
        <w:t>Dokumentbeteckning</w:t>
      </w:r>
    </w:p>
    <w:p w:rsidR="009F7627" w:rsidRPr="00AA3195" w:rsidRDefault="009F7627" w:rsidP="009F7627">
      <w:pPr>
        <w:pStyle w:val="RKnormal"/>
        <w:rPr>
          <w:iCs/>
        </w:rPr>
      </w:pPr>
      <w:r w:rsidRPr="00AA3195">
        <w:rPr>
          <w:iCs/>
        </w:rPr>
        <w:t>-</w:t>
      </w:r>
    </w:p>
    <w:p w:rsidR="009F7627" w:rsidRPr="00AA3195" w:rsidRDefault="009F7627" w:rsidP="009F7627">
      <w:pPr>
        <w:pStyle w:val="RKnormal"/>
        <w:rPr>
          <w:i/>
          <w:iCs/>
        </w:rPr>
      </w:pPr>
    </w:p>
    <w:p w:rsidR="001107F3" w:rsidRPr="00AA3195" w:rsidRDefault="001107F3" w:rsidP="001107F3">
      <w:pPr>
        <w:pStyle w:val="RKnormal"/>
        <w:rPr>
          <w:i/>
          <w:iCs/>
        </w:rPr>
      </w:pPr>
      <w:r w:rsidRPr="00AA3195">
        <w:rPr>
          <w:i/>
          <w:iCs/>
        </w:rPr>
        <w:t>Rättslig grund</w:t>
      </w:r>
    </w:p>
    <w:p w:rsidR="001107F3" w:rsidRPr="00AA3195" w:rsidRDefault="001107F3" w:rsidP="001107F3">
      <w:pPr>
        <w:pStyle w:val="RKnormal"/>
        <w:rPr>
          <w:i/>
          <w:iCs/>
        </w:rPr>
      </w:pPr>
      <w:r w:rsidRPr="00AA3195">
        <w:t>Artikel 37.2 och artikel 152.4 b i EG-fördraget. Beslut fattas av rådet med kvalificerad majoritet efter medbeslutandeförfarande med Europaparlamentet enligt artikel 251.</w:t>
      </w:r>
    </w:p>
    <w:p w:rsidR="001107F3" w:rsidRPr="00AA3195" w:rsidRDefault="001107F3" w:rsidP="001107F3">
      <w:pPr>
        <w:pStyle w:val="RKnormal"/>
        <w:rPr>
          <w:i/>
          <w:iCs/>
        </w:rPr>
      </w:pPr>
    </w:p>
    <w:p w:rsidR="005D1B28" w:rsidRPr="00AA3195" w:rsidRDefault="005D1B28" w:rsidP="001107F3">
      <w:pPr>
        <w:pStyle w:val="RKnormal"/>
        <w:rPr>
          <w:i/>
          <w:iCs/>
        </w:rPr>
      </w:pPr>
    </w:p>
    <w:p w:rsidR="001107F3" w:rsidRPr="00AA3195" w:rsidRDefault="001107F3" w:rsidP="001107F3">
      <w:pPr>
        <w:pStyle w:val="RKnormal"/>
        <w:rPr>
          <w:i/>
          <w:iCs/>
        </w:rPr>
      </w:pPr>
      <w:r w:rsidRPr="00AA3195">
        <w:rPr>
          <w:i/>
          <w:iCs/>
        </w:rPr>
        <w:t>Bakgrund</w:t>
      </w:r>
    </w:p>
    <w:p w:rsidR="00F903DE" w:rsidRPr="00AA3195" w:rsidRDefault="001107F3" w:rsidP="00F903DE">
      <w:pPr>
        <w:pStyle w:val="RKnormal"/>
      </w:pPr>
      <w:r w:rsidRPr="00AA3195">
        <w:t>Det nuvarande växtskyddsmedelsdirektivet reglerar förfarandet för godkännande av växtskyddsmedel. Kommissionens förslag till förordning är tänkt att ersätta det nuvarande direktivet. Den första genomgången av samtliga artiklar i förordning</w:t>
      </w:r>
      <w:r w:rsidR="00F903DE" w:rsidRPr="00AA3195">
        <w:t>sförslaget</w:t>
      </w:r>
      <w:r w:rsidRPr="00AA3195">
        <w:t xml:space="preserve"> är nu klar och Sverige har lämnat ett positionspapper i frågorna. </w:t>
      </w:r>
      <w:r w:rsidR="00F903DE" w:rsidRPr="00AA3195">
        <w:t>Sverige har flera reservationer mot delar av förslaget. Sverige har i förhandlingarna bl.a. drivit att strikta kriterier ska gälla för att medel kan tas upp i godkännandebilagan och att farliga medel ska ersättas med mindre farliga medel (substitutionsprincipen).</w:t>
      </w:r>
    </w:p>
    <w:p w:rsidR="001107F3" w:rsidRPr="00AA3195" w:rsidRDefault="001107F3" w:rsidP="001107F3">
      <w:pPr>
        <w:pStyle w:val="RKnormal"/>
      </w:pPr>
    </w:p>
    <w:p w:rsidR="001107F3" w:rsidRPr="00AA3195" w:rsidRDefault="001107F3" w:rsidP="001107F3">
      <w:pPr>
        <w:pStyle w:val="RKnormal"/>
      </w:pPr>
      <w:r w:rsidRPr="00AA3195">
        <w:t xml:space="preserve">Ordförandeskapet kommer att presentera en lägesrapport från förhandlingarna i arbetsgruppen. </w:t>
      </w:r>
    </w:p>
    <w:p w:rsidR="001107F3" w:rsidRPr="00AA3195" w:rsidRDefault="001107F3" w:rsidP="001107F3">
      <w:pPr>
        <w:pStyle w:val="RKnormal"/>
      </w:pPr>
    </w:p>
    <w:p w:rsidR="001107F3" w:rsidRPr="00AA3195" w:rsidRDefault="001107F3" w:rsidP="001107F3">
      <w:pPr>
        <w:pStyle w:val="RKnormal"/>
      </w:pPr>
      <w:r w:rsidRPr="00AA3195">
        <w:t>För mer information, se bilaga 1.</w:t>
      </w:r>
    </w:p>
    <w:p w:rsidR="001107F3" w:rsidRPr="00AA3195" w:rsidRDefault="001107F3" w:rsidP="001107F3">
      <w:pPr>
        <w:pStyle w:val="RKnormal"/>
        <w:rPr>
          <w:i/>
          <w:iCs/>
        </w:rPr>
      </w:pPr>
    </w:p>
    <w:p w:rsidR="001107F3" w:rsidRPr="00AA3195" w:rsidRDefault="001107F3" w:rsidP="001107F3">
      <w:pPr>
        <w:pStyle w:val="RKnormal"/>
        <w:rPr>
          <w:i/>
          <w:iCs/>
        </w:rPr>
      </w:pPr>
      <w:r w:rsidRPr="00AA3195">
        <w:rPr>
          <w:i/>
          <w:iCs/>
        </w:rPr>
        <w:t>Förslag till svensk ståndpunkt</w:t>
      </w:r>
    </w:p>
    <w:p w:rsidR="00686872" w:rsidRPr="00AA3195" w:rsidRDefault="001107F3" w:rsidP="001107F3">
      <w:pPr>
        <w:pStyle w:val="RKnormal"/>
      </w:pPr>
      <w:r w:rsidRPr="00AA3195">
        <w:t>Sverige välkomnar ordförandeskapets lägesrapport</w:t>
      </w:r>
      <w:r w:rsidR="00F903DE" w:rsidRPr="00AA3195">
        <w:t xml:space="preserve">. </w:t>
      </w:r>
      <w:r w:rsidRPr="00AA3195">
        <w:t xml:space="preserve"> </w:t>
      </w:r>
    </w:p>
    <w:p w:rsidR="001107F3" w:rsidRPr="00AA3195" w:rsidRDefault="001107F3" w:rsidP="001107F3">
      <w:pPr>
        <w:pStyle w:val="RKnormal"/>
      </w:pPr>
    </w:p>
    <w:p w:rsidR="001107F3" w:rsidRPr="00AA3195" w:rsidRDefault="001107F3" w:rsidP="001107F3">
      <w:pPr>
        <w:pStyle w:val="RKnormal"/>
        <w:rPr>
          <w:i/>
        </w:rPr>
      </w:pPr>
      <w:r w:rsidRPr="00AA3195">
        <w:rPr>
          <w:i/>
        </w:rPr>
        <w:t>EU-nämnden</w:t>
      </w:r>
    </w:p>
    <w:p w:rsidR="001107F3" w:rsidRPr="00AA3195" w:rsidRDefault="001107F3" w:rsidP="001107F3">
      <w:pPr>
        <w:pStyle w:val="RKnormal"/>
      </w:pPr>
      <w:r w:rsidRPr="00AA3195">
        <w:t xml:space="preserve">Frågan var föremål för samråd med EU-nämnden inför jordbruks- och fiskerådet den 11-12 juni 2007. </w:t>
      </w:r>
    </w:p>
    <w:p w:rsidR="007E3857" w:rsidRPr="00AA3195" w:rsidRDefault="007E3857" w:rsidP="00250C61">
      <w:pPr>
        <w:pStyle w:val="RKnormal"/>
        <w:rPr>
          <w:i/>
        </w:rPr>
      </w:pPr>
    </w:p>
    <w:p w:rsidR="007E23DC" w:rsidRPr="00AA3195" w:rsidRDefault="007E3857" w:rsidP="007E23DC">
      <w:pPr>
        <w:pStyle w:val="RKrubrik"/>
      </w:pPr>
      <w:r w:rsidRPr="00AA3195">
        <w:t xml:space="preserve">4. b) </w:t>
      </w:r>
      <w:r w:rsidR="007E23DC" w:rsidRPr="00AA3195">
        <w:t xml:space="preserve">Förslag till Europaparlamentets och rådets direktiv om </w:t>
      </w:r>
      <w:r w:rsidR="009C7894" w:rsidRPr="00AA3195">
        <w:t xml:space="preserve">upprättande av en ram för gemenskapens åtgärder för att uppnå en </w:t>
      </w:r>
      <w:r w:rsidR="007E23DC" w:rsidRPr="00AA3195">
        <w:t xml:space="preserve">hållbar användning av bekämpningsmedel </w:t>
      </w:r>
    </w:p>
    <w:p w:rsidR="009C7894" w:rsidRPr="00AA3195" w:rsidRDefault="009C7894" w:rsidP="009C7894">
      <w:pPr>
        <w:pStyle w:val="RKnormal"/>
      </w:pPr>
      <w:r w:rsidRPr="00AA3195">
        <w:rPr>
          <w:b/>
          <w:i/>
        </w:rPr>
        <w:t>– Politisk överenskommelse</w:t>
      </w:r>
    </w:p>
    <w:p w:rsidR="007E23DC" w:rsidRPr="00AA3195" w:rsidRDefault="007E23DC" w:rsidP="009C7894">
      <w:pPr>
        <w:pStyle w:val="RKrubrik"/>
      </w:pPr>
      <w:r w:rsidRPr="00AA3195">
        <w:t>Dokumentbeteckning</w:t>
      </w:r>
    </w:p>
    <w:p w:rsidR="007E23DC" w:rsidRPr="00AA3195" w:rsidRDefault="009C7894" w:rsidP="007E23DC">
      <w:pPr>
        <w:pStyle w:val="RKnormal"/>
        <w:rPr>
          <w:iCs/>
        </w:rPr>
      </w:pPr>
      <w:r w:rsidRPr="00AA3195">
        <w:rPr>
          <w:iCs/>
        </w:rPr>
        <w:t>-</w:t>
      </w:r>
    </w:p>
    <w:p w:rsidR="009C7894" w:rsidRPr="00AA3195" w:rsidRDefault="009C7894" w:rsidP="007E23DC">
      <w:pPr>
        <w:pStyle w:val="RKnormal"/>
        <w:rPr>
          <w:i/>
          <w:iCs/>
        </w:rPr>
      </w:pPr>
    </w:p>
    <w:p w:rsidR="001107F3" w:rsidRPr="00AA3195" w:rsidRDefault="001107F3" w:rsidP="001107F3">
      <w:pPr>
        <w:pStyle w:val="RKnormal"/>
        <w:rPr>
          <w:i/>
          <w:iCs/>
        </w:rPr>
      </w:pPr>
      <w:r w:rsidRPr="00AA3195">
        <w:rPr>
          <w:i/>
          <w:iCs/>
        </w:rPr>
        <w:t>Rättslig grund</w:t>
      </w:r>
    </w:p>
    <w:p w:rsidR="001107F3" w:rsidRPr="00AA3195" w:rsidRDefault="001107F3" w:rsidP="001107F3">
      <w:pPr>
        <w:pStyle w:val="RKnormal"/>
      </w:pPr>
      <w:r w:rsidRPr="00AA3195">
        <w:t>Artikel 175.1 i EG-fördraget. Beslut fattas av rådet med kvalificerad majoritet efter medbeslutandeförfarande med Europaparlamentet enligt artikel 251.</w:t>
      </w:r>
    </w:p>
    <w:p w:rsidR="001107F3" w:rsidRPr="00AA3195" w:rsidRDefault="001107F3" w:rsidP="001107F3">
      <w:pPr>
        <w:pStyle w:val="RKnormal"/>
        <w:rPr>
          <w:iCs/>
        </w:rPr>
      </w:pPr>
    </w:p>
    <w:p w:rsidR="001107F3" w:rsidRPr="00AA3195" w:rsidRDefault="001107F3" w:rsidP="001107F3">
      <w:pPr>
        <w:pStyle w:val="RKnormal"/>
        <w:rPr>
          <w:i/>
          <w:iCs/>
        </w:rPr>
      </w:pPr>
      <w:r w:rsidRPr="00AA3195">
        <w:rPr>
          <w:i/>
          <w:iCs/>
        </w:rPr>
        <w:t>Bakgrund</w:t>
      </w:r>
    </w:p>
    <w:p w:rsidR="001107F3" w:rsidRPr="00AA3195" w:rsidRDefault="001107F3" w:rsidP="001107F3">
      <w:pPr>
        <w:pStyle w:val="RKnormal"/>
      </w:pPr>
      <w:r w:rsidRPr="00AA3195">
        <w:t xml:space="preserve">Kommissionen presenterade i juli 2006 ett förslag till tematisk strategi för hållbar användning av bekämpningsmedel. </w:t>
      </w:r>
      <w:r w:rsidR="007F1388" w:rsidRPr="00AA3195">
        <w:t>Vid miljörådet i februari 2007</w:t>
      </w:r>
      <w:r w:rsidRPr="00AA3195">
        <w:t xml:space="preserve"> antog</w:t>
      </w:r>
      <w:r w:rsidR="007F1388" w:rsidRPr="00AA3195">
        <w:t>s</w:t>
      </w:r>
      <w:r w:rsidRPr="00AA3195">
        <w:t xml:space="preserve"> rådsslutsatser på bas av strategin. Vid samma tidpunkt presenterades även ett tillhörande </w:t>
      </w:r>
      <w:r w:rsidR="00332622" w:rsidRPr="00AA3195">
        <w:t xml:space="preserve">förslag till </w:t>
      </w:r>
      <w:r w:rsidRPr="00AA3195">
        <w:t>direktiv. Enligt förslaget utgör detta ett komplement till kommissionens förslag om en förordning för utsläppande av växtskyddsmedel på marknaden vilket presenterades vid samma tidpunkt. Direktivet</w:t>
      </w:r>
      <w:r w:rsidR="00332622" w:rsidRPr="00AA3195">
        <w:t>sförslaget</w:t>
      </w:r>
      <w:r w:rsidRPr="00AA3195">
        <w:t xml:space="preserve"> innehåller krav på nationella handlingsplaner med mål, åtgärder och tidsplaner samt regelverk för bl.a. utbildning, försäljning, funktionstest av spridningsutrustning, förbud mot flygbesprutning, restriktioner till skydd för vatten samt känsliga områden, liksom åtgärder för att användare av bekämpningsmedel ska använda integrerat växtskydd och indikatorer för uppföljning. Det föregående tyska ordförandeskapet har lämnat en lägesrapport </w:t>
      </w:r>
      <w:r w:rsidR="00E32F16" w:rsidRPr="00AA3195">
        <w:t>vid</w:t>
      </w:r>
      <w:r w:rsidRPr="00AA3195">
        <w:t xml:space="preserve"> jordbruks- och fiske</w:t>
      </w:r>
      <w:r w:rsidR="00E32F16" w:rsidRPr="00AA3195">
        <w:t>rådet</w:t>
      </w:r>
      <w:r w:rsidRPr="00AA3195">
        <w:t xml:space="preserve"> den 11-12 juni </w:t>
      </w:r>
      <w:r w:rsidR="00E32F16" w:rsidRPr="00AA3195">
        <w:t xml:space="preserve">2007 </w:t>
      </w:r>
      <w:r w:rsidRPr="00AA3195">
        <w:t xml:space="preserve">samt </w:t>
      </w:r>
      <w:r w:rsidR="00E32F16" w:rsidRPr="00AA3195">
        <w:t>vid</w:t>
      </w:r>
      <w:r w:rsidRPr="00AA3195">
        <w:t xml:space="preserve"> mil</w:t>
      </w:r>
      <w:r w:rsidR="00B25F2E" w:rsidRPr="00AA3195">
        <w:t>jö</w:t>
      </w:r>
      <w:r w:rsidR="00E32F16" w:rsidRPr="00AA3195">
        <w:t>rådet</w:t>
      </w:r>
      <w:r w:rsidR="00B25F2E" w:rsidRPr="00AA3195">
        <w:t xml:space="preserve"> den 28 juni</w:t>
      </w:r>
      <w:r w:rsidR="00E32F16" w:rsidRPr="00AA3195">
        <w:t xml:space="preserve"> 2007</w:t>
      </w:r>
      <w:r w:rsidR="00B25F2E" w:rsidRPr="00AA3195">
        <w:t>. Vid j</w:t>
      </w:r>
      <w:r w:rsidRPr="00AA3195">
        <w:t>ordbruks- och fiskeråd</w:t>
      </w:r>
      <w:r w:rsidR="00B25F2E" w:rsidRPr="00AA3195">
        <w:t>et</w:t>
      </w:r>
      <w:r w:rsidRPr="00AA3195">
        <w:t xml:space="preserve"> den 17-19 december är ambitionen att nå en politisk överenskommelse i första läsningen.</w:t>
      </w:r>
    </w:p>
    <w:p w:rsidR="001107F3" w:rsidRPr="00AA3195" w:rsidRDefault="001107F3" w:rsidP="001107F3">
      <w:pPr>
        <w:pStyle w:val="RKnormal"/>
      </w:pPr>
    </w:p>
    <w:p w:rsidR="00F516BB" w:rsidRPr="00AA3195" w:rsidRDefault="001107F3" w:rsidP="001107F3">
      <w:pPr>
        <w:pStyle w:val="RKnormal"/>
        <w:rPr>
          <w:bCs/>
          <w:iCs/>
        </w:rPr>
      </w:pPr>
      <w:r w:rsidRPr="00AA3195">
        <w:rPr>
          <w:bCs/>
          <w:iCs/>
        </w:rPr>
        <w:t xml:space="preserve">Europaparlamentet </w:t>
      </w:r>
      <w:r w:rsidR="00B25F2E" w:rsidRPr="00AA3195">
        <w:rPr>
          <w:bCs/>
          <w:iCs/>
        </w:rPr>
        <w:t>behandlade</w:t>
      </w:r>
      <w:r w:rsidRPr="00AA3195">
        <w:rPr>
          <w:bCs/>
          <w:iCs/>
        </w:rPr>
        <w:t xml:space="preserve"> den 23 oktober 2007 </w:t>
      </w:r>
      <w:r w:rsidR="00B25F2E" w:rsidRPr="00AA3195">
        <w:rPr>
          <w:bCs/>
          <w:iCs/>
        </w:rPr>
        <w:t xml:space="preserve">miljöutskottets förslag i </w:t>
      </w:r>
      <w:r w:rsidRPr="00AA3195">
        <w:rPr>
          <w:bCs/>
          <w:iCs/>
        </w:rPr>
        <w:t xml:space="preserve">plenum. </w:t>
      </w:r>
    </w:p>
    <w:p w:rsidR="00F516BB" w:rsidRPr="00AA3195" w:rsidRDefault="00F516BB" w:rsidP="001107F3">
      <w:pPr>
        <w:pStyle w:val="RKnormal"/>
        <w:rPr>
          <w:bCs/>
          <w:iCs/>
        </w:rPr>
      </w:pPr>
    </w:p>
    <w:p w:rsidR="001107F3" w:rsidRPr="00AA3195" w:rsidRDefault="001107F3" w:rsidP="001107F3">
      <w:pPr>
        <w:pStyle w:val="RKnormal"/>
      </w:pPr>
      <w:r w:rsidRPr="00AA3195">
        <w:t>För mer information, se bilaga 2.</w:t>
      </w:r>
    </w:p>
    <w:p w:rsidR="001107F3" w:rsidRPr="00AA3195" w:rsidRDefault="001107F3" w:rsidP="001107F3">
      <w:pPr>
        <w:pStyle w:val="RKnormal"/>
        <w:rPr>
          <w:iCs/>
        </w:rPr>
      </w:pPr>
    </w:p>
    <w:p w:rsidR="001107F3" w:rsidRPr="00AA3195" w:rsidRDefault="001107F3" w:rsidP="001107F3">
      <w:pPr>
        <w:pStyle w:val="RKnormal"/>
        <w:rPr>
          <w:i/>
          <w:iCs/>
        </w:rPr>
      </w:pPr>
      <w:r w:rsidRPr="00AA3195">
        <w:rPr>
          <w:i/>
          <w:iCs/>
        </w:rPr>
        <w:t>Förslag till svensk ståndpunkt</w:t>
      </w:r>
    </w:p>
    <w:p w:rsidR="001107F3" w:rsidRPr="00AA3195" w:rsidRDefault="001107F3" w:rsidP="001107F3">
      <w:pPr>
        <w:pStyle w:val="RKnormal"/>
        <w:rPr>
          <w:szCs w:val="24"/>
        </w:rPr>
      </w:pPr>
      <w:r w:rsidRPr="00AA3195">
        <w:rPr>
          <w:szCs w:val="24"/>
        </w:rPr>
        <w:t xml:space="preserve">Sverige har sedan länge bedrivit ett organiserat arbete för att minska riskerna för människa och miljö vid användningen av bekämpningsmedel. Sverige stöder ordförandes förslag till politisk överenskommelse som till stor del ligger i linje med det svenska arbetet. Regelverket kommer även att kunna bidra till mer jämlika konkurrensförhållanden mellan medlemsstaterna då likartade krav ställs inom gemenskapen. </w:t>
      </w:r>
    </w:p>
    <w:p w:rsidR="001107F3" w:rsidRPr="00AA3195" w:rsidRDefault="001107F3" w:rsidP="001107F3">
      <w:pPr>
        <w:pStyle w:val="RKnormal"/>
      </w:pPr>
    </w:p>
    <w:p w:rsidR="001107F3" w:rsidRPr="00AA3195" w:rsidRDefault="001107F3" w:rsidP="001107F3">
      <w:pPr>
        <w:pStyle w:val="RKnormal"/>
        <w:rPr>
          <w:i/>
        </w:rPr>
      </w:pPr>
      <w:r w:rsidRPr="00AA3195">
        <w:rPr>
          <w:i/>
        </w:rPr>
        <w:t>EU-nämnden</w:t>
      </w:r>
    </w:p>
    <w:p w:rsidR="001107F3" w:rsidRPr="00AA3195" w:rsidRDefault="001107F3" w:rsidP="001107F3">
      <w:pPr>
        <w:pStyle w:val="RKnormal"/>
      </w:pPr>
      <w:r w:rsidRPr="00AA3195">
        <w:t xml:space="preserve">Frågan var föremål för samråd </w:t>
      </w:r>
      <w:r w:rsidR="00E32F16" w:rsidRPr="00AA3195">
        <w:t>med</w:t>
      </w:r>
      <w:r w:rsidRPr="00AA3195">
        <w:t xml:space="preserve"> EU-nämnden inför jordbruks- och fiskerådet den 11-12 juni samt inför miljörådet den 28 juni 2007. </w:t>
      </w:r>
    </w:p>
    <w:p w:rsidR="000E46AB" w:rsidRPr="00AA3195" w:rsidRDefault="000E46AB" w:rsidP="000E46AB">
      <w:pPr>
        <w:pStyle w:val="RKrubrik"/>
      </w:pPr>
      <w:r w:rsidRPr="00AA3195">
        <w:t xml:space="preserve">5. </w:t>
      </w:r>
      <w:r w:rsidR="009C7894" w:rsidRPr="00AA3195">
        <w:t>Förslag om medel för att förbättra livsmedel</w:t>
      </w:r>
    </w:p>
    <w:p w:rsidR="000E46AB" w:rsidRPr="00AA3195" w:rsidRDefault="000E46AB" w:rsidP="000E46AB">
      <w:pPr>
        <w:pStyle w:val="RKnormal"/>
        <w:rPr>
          <w:b/>
          <w:i/>
        </w:rPr>
      </w:pPr>
      <w:r w:rsidRPr="00AA3195">
        <w:rPr>
          <w:b/>
          <w:i/>
        </w:rPr>
        <w:t xml:space="preserve">– </w:t>
      </w:r>
      <w:r w:rsidR="00E9594D" w:rsidRPr="00AA3195">
        <w:rPr>
          <w:b/>
          <w:i/>
        </w:rPr>
        <w:t>Politisk överenskommelse</w:t>
      </w:r>
      <w:r w:rsidRPr="00AA3195">
        <w:rPr>
          <w:b/>
          <w:i/>
        </w:rPr>
        <w:t xml:space="preserve"> </w:t>
      </w:r>
    </w:p>
    <w:p w:rsidR="000E46AB" w:rsidRPr="00AA3195" w:rsidRDefault="000E46AB" w:rsidP="000E46AB">
      <w:pPr>
        <w:pStyle w:val="RKnormal"/>
      </w:pPr>
    </w:p>
    <w:p w:rsidR="00AE598A" w:rsidRPr="00AA3195" w:rsidRDefault="00AE598A" w:rsidP="00AE598A">
      <w:pPr>
        <w:pStyle w:val="RKrubrik"/>
        <w:rPr>
          <w:szCs w:val="24"/>
        </w:rPr>
      </w:pPr>
      <w:r w:rsidRPr="00AA3195">
        <w:t>a)</w:t>
      </w:r>
      <w:r w:rsidRPr="00AA3195">
        <w:tab/>
        <w:t>Förslag till Europaparlamentets och rådet förordning om inrättande av ett gemensamt förfarande för godkännande av livsmedelstillsatser, livsmedelsenzymer och livsmedelsaromer</w:t>
      </w:r>
    </w:p>
    <w:p w:rsidR="00AE598A" w:rsidRPr="00AA3195" w:rsidRDefault="00AE598A" w:rsidP="00AE598A">
      <w:pPr>
        <w:pStyle w:val="RKrubrik"/>
      </w:pPr>
      <w:r w:rsidRPr="00AA3195">
        <w:t>b)</w:t>
      </w:r>
      <w:r w:rsidRPr="00AA3195">
        <w:tab/>
        <w:t>Förslag till Europaparlamentets och rådets förordning om livsmedelstillsatser</w:t>
      </w:r>
    </w:p>
    <w:p w:rsidR="00AE598A" w:rsidRPr="00AA3195" w:rsidRDefault="00AE598A" w:rsidP="00AE598A">
      <w:pPr>
        <w:pStyle w:val="RKrubrik"/>
      </w:pPr>
      <w:r w:rsidRPr="00AA3195">
        <w:t>c)</w:t>
      </w:r>
      <w:r w:rsidRPr="00AA3195">
        <w:tab/>
        <w:t>Förslag till Europaparlamentets och rådets förordning om livsmedelsenzymer och om ändring av rådets direktiv 83/417/EEG, rådets förordning (EG) nr 1493/1999, direktiv 2000/13/EG samt rådets direktiv 2001/112/EG</w:t>
      </w:r>
    </w:p>
    <w:p w:rsidR="00AE598A" w:rsidRPr="00AA3195" w:rsidRDefault="00AE598A" w:rsidP="00AE598A">
      <w:pPr>
        <w:pStyle w:val="RKrubrik"/>
      </w:pPr>
      <w:r w:rsidRPr="00AA3195">
        <w:t>d)</w:t>
      </w:r>
      <w:r w:rsidRPr="00AA3195">
        <w:tab/>
        <w:t>Förslag till Europaparlamentets och rådets förordning om aromer och vissa livsmedelsingredienser med aromgivande egenskaper för användning i och på</w:t>
      </w:r>
      <w:r w:rsidRPr="00AA3195">
        <w:rPr>
          <w:rFonts w:ascii="Times New Roman" w:hAnsi="Times New Roman"/>
        </w:rPr>
        <w:t> </w:t>
      </w:r>
      <w:r w:rsidRPr="00AA3195">
        <w:t>livsmedel och om ändring av rådets förordning (EEG) nr 1576/89, rådets</w:t>
      </w:r>
      <w:r w:rsidRPr="00AA3195">
        <w:rPr>
          <w:rFonts w:ascii="Times New Roman" w:hAnsi="Times New Roman"/>
        </w:rPr>
        <w:t> </w:t>
      </w:r>
      <w:r w:rsidRPr="00AA3195">
        <w:t>förordning (EEG) nr 1601/99, förordning (EG) nr 2232/96 samt direktiv</w:t>
      </w:r>
      <w:r w:rsidRPr="00AA3195">
        <w:rPr>
          <w:rFonts w:ascii="Times New Roman" w:hAnsi="Times New Roman"/>
        </w:rPr>
        <w:t> </w:t>
      </w:r>
      <w:r w:rsidRPr="00AA3195">
        <w:t>2000/13/EG</w:t>
      </w:r>
    </w:p>
    <w:p w:rsidR="00AE598A" w:rsidRPr="00AA3195" w:rsidRDefault="00AE598A" w:rsidP="00AE598A">
      <w:pPr>
        <w:pStyle w:val="RKnormal"/>
      </w:pPr>
    </w:p>
    <w:p w:rsidR="00AE598A" w:rsidRPr="00AA3195" w:rsidRDefault="00AE598A" w:rsidP="00AE598A">
      <w:pPr>
        <w:pStyle w:val="RKnormal"/>
        <w:rPr>
          <w:b/>
          <w:i/>
        </w:rPr>
      </w:pPr>
      <w:r w:rsidRPr="00AA3195">
        <w:rPr>
          <w:b/>
          <w:i/>
        </w:rPr>
        <w:t xml:space="preserve">– Politisk överenskommelse </w:t>
      </w:r>
    </w:p>
    <w:p w:rsidR="00AE598A" w:rsidRPr="00AA3195" w:rsidRDefault="00AE598A" w:rsidP="00AE598A">
      <w:pPr>
        <w:pStyle w:val="RKnormal"/>
      </w:pPr>
    </w:p>
    <w:p w:rsidR="00AE598A" w:rsidRPr="00AA3195" w:rsidRDefault="00AE598A" w:rsidP="00AE598A">
      <w:pPr>
        <w:pStyle w:val="RKnormal"/>
        <w:rPr>
          <w:i/>
          <w:iCs/>
        </w:rPr>
      </w:pPr>
      <w:r w:rsidRPr="00AA3195">
        <w:rPr>
          <w:i/>
          <w:iCs/>
        </w:rPr>
        <w:t>Dokumentbeteckning</w:t>
      </w:r>
    </w:p>
    <w:p w:rsidR="00AE598A" w:rsidRPr="00AA3195" w:rsidRDefault="00AE598A" w:rsidP="00AE598A">
      <w:pPr>
        <w:pStyle w:val="RKnormal"/>
        <w:rPr>
          <w:i/>
          <w:iCs/>
        </w:rPr>
      </w:pPr>
      <w:r w:rsidRPr="00AA3195">
        <w:rPr>
          <w:i/>
          <w:iCs/>
        </w:rPr>
        <w:t>-</w:t>
      </w:r>
    </w:p>
    <w:p w:rsidR="00AE598A" w:rsidRPr="00AA3195" w:rsidRDefault="00AE598A" w:rsidP="00AE598A">
      <w:pPr>
        <w:pStyle w:val="RKnormal"/>
        <w:rPr>
          <w:i/>
          <w:iCs/>
        </w:rPr>
      </w:pPr>
    </w:p>
    <w:p w:rsidR="00AE598A" w:rsidRPr="00AA3195" w:rsidRDefault="00AE598A" w:rsidP="00AE598A">
      <w:pPr>
        <w:pStyle w:val="RKnormal"/>
        <w:rPr>
          <w:i/>
          <w:iCs/>
        </w:rPr>
      </w:pPr>
      <w:r w:rsidRPr="00AA3195">
        <w:rPr>
          <w:i/>
          <w:iCs/>
        </w:rPr>
        <w:t>Rättslig grund</w:t>
      </w:r>
    </w:p>
    <w:p w:rsidR="00AE598A" w:rsidRPr="00AA3195" w:rsidRDefault="00AE598A" w:rsidP="00AE598A">
      <w:pPr>
        <w:pStyle w:val="RKnormal"/>
      </w:pPr>
      <w:r w:rsidRPr="00AA3195">
        <w:t>Artikel 95 i EG-fördraget. Beslut fattas av rådet med kvalificerad majoritet efter medbeslutandeförfarande med Europaparlamentet enligt artikel 251.</w:t>
      </w:r>
    </w:p>
    <w:p w:rsidR="00AE598A" w:rsidRPr="00AA3195" w:rsidRDefault="00AE598A" w:rsidP="00AE598A">
      <w:pPr>
        <w:pStyle w:val="RKnormal"/>
      </w:pPr>
    </w:p>
    <w:p w:rsidR="00AE598A" w:rsidRPr="00AA3195" w:rsidRDefault="00AE598A" w:rsidP="00AE598A">
      <w:pPr>
        <w:pStyle w:val="RKnormal"/>
        <w:rPr>
          <w:i/>
          <w:iCs/>
        </w:rPr>
      </w:pPr>
      <w:r w:rsidRPr="00AA3195">
        <w:rPr>
          <w:i/>
          <w:iCs/>
        </w:rPr>
        <w:t>Bakgrund</w:t>
      </w:r>
    </w:p>
    <w:p w:rsidR="00AE598A" w:rsidRPr="00AA3195" w:rsidRDefault="00AE598A" w:rsidP="00AE598A">
      <w:pPr>
        <w:pStyle w:val="RKnormal"/>
      </w:pPr>
      <w:r w:rsidRPr="00AA3195">
        <w:t xml:space="preserve">Lagstiftningspaketet rör en uppdatering och komplettering av den befintliga lagstiftningen om tillsatser som tillsammans med aromer och en ny reglering av enzymer har placerats i tre vertikala förordningar. </w:t>
      </w:r>
    </w:p>
    <w:p w:rsidR="00AE598A" w:rsidRPr="00AA3195" w:rsidRDefault="00AE598A" w:rsidP="00AE598A">
      <w:pPr>
        <w:pStyle w:val="RKnormal"/>
      </w:pPr>
    </w:p>
    <w:p w:rsidR="00AE598A" w:rsidRPr="00AA3195" w:rsidRDefault="00AE598A" w:rsidP="00AE598A">
      <w:pPr>
        <w:pStyle w:val="RKnormal"/>
      </w:pPr>
      <w:r w:rsidRPr="00AA3195">
        <w:t xml:space="preserve">I paketet ingår även ett förslag till ett enhetligt förfarande för godkännanden för tillsatser, aromer och enzymer. Godkännandet ska grunda sig på en riskbedömning av Europeiska myndigheten för livsmedelssäkerhet (EFSA) och på en riskhantering där kommissionen beslutar inom ramen för ett föreskrivande kommittéförfarande. </w:t>
      </w:r>
    </w:p>
    <w:p w:rsidR="00AE598A" w:rsidRPr="00AA3195" w:rsidRDefault="00AE598A" w:rsidP="00AE598A">
      <w:pPr>
        <w:pStyle w:val="RKnormal"/>
      </w:pPr>
    </w:p>
    <w:p w:rsidR="00AE598A" w:rsidRPr="00AA3195" w:rsidRDefault="00AE598A" w:rsidP="00AE598A">
      <w:pPr>
        <w:pStyle w:val="RKnormal"/>
      </w:pPr>
      <w:r w:rsidRPr="00AA3195">
        <w:t xml:space="preserve">Ambitionen är att föra samtliga rättsakter till en politisk överenskommelse vid </w:t>
      </w:r>
      <w:r w:rsidR="00E32F16" w:rsidRPr="00AA3195">
        <w:t>jordbruks- och fiske</w:t>
      </w:r>
      <w:r w:rsidRPr="00AA3195">
        <w:t>råd</w:t>
      </w:r>
      <w:r w:rsidR="00E32F16" w:rsidRPr="00AA3195">
        <w:t>et</w:t>
      </w:r>
      <w:r w:rsidRPr="00AA3195">
        <w:t xml:space="preserve"> i december. </w:t>
      </w:r>
    </w:p>
    <w:p w:rsidR="00AE598A" w:rsidRPr="00AA3195" w:rsidRDefault="00AE598A" w:rsidP="00AE598A">
      <w:pPr>
        <w:pStyle w:val="RKnormal"/>
      </w:pPr>
    </w:p>
    <w:p w:rsidR="00187B6C" w:rsidRPr="00AA3195" w:rsidRDefault="00187B6C" w:rsidP="00187B6C">
      <w:pPr>
        <w:pStyle w:val="RKnormal"/>
      </w:pPr>
      <w:r w:rsidRPr="00AA3195">
        <w:t>För förslagen rörande en gemensam procedur, tillsatser och enzymer har en gemensam ståndpunkt tidigare uppnåtts. Viktiga frågor för Sverige löstes redan då, t. ex. krav på märkning av bordssötningsmedel. Utestående frågor som behandlats under hösten har huvudsakligen handlat om ett antal aromämnen. För Sverige har den viktigaste punkten i de utestående frågorna rört ämnet kumarin, som finns i kanel. Övriga utestående frågor i den paketlösning som diskuterats har bl.a. rört undantag för örter och kryddor som används i mat som tillagas och serveras på restaurang samt gränsvärdet för ämnen i vissa spritdrycker.</w:t>
      </w:r>
    </w:p>
    <w:p w:rsidR="00AE598A" w:rsidRPr="00AA3195" w:rsidRDefault="00AE598A" w:rsidP="00AE598A">
      <w:pPr>
        <w:pStyle w:val="RKnormal"/>
      </w:pPr>
    </w:p>
    <w:p w:rsidR="00AE598A" w:rsidRPr="00AA3195" w:rsidRDefault="00AE598A" w:rsidP="00AE598A">
      <w:pPr>
        <w:pStyle w:val="RKnormal"/>
      </w:pPr>
      <w:r w:rsidRPr="00AA3195">
        <w:t>Förslaget innehåller nu gränsvärden för kumarin i ett antal livsmedelsgrupper, bl.a</w:t>
      </w:r>
      <w:r w:rsidR="00E32F16" w:rsidRPr="00AA3195">
        <w:t>.</w:t>
      </w:r>
      <w:r w:rsidRPr="00AA3195">
        <w:t xml:space="preserve"> traditionella eller säsongsbetonade bakverk och frukostflingor. De produkter som har högst halt av kumarin i Sverige är pepparkakor och kanelbullar. Gränsvärdet för kumarin i frukostflingor har varit föremål för långa diskussioner, då barn kan antas konsumera frukostflingor regelbundet. Analyser av halten  kumarin i olika livsmedel har gjorts av industrin och Livsmedelsverket har beräknat hur stort intaget av kumarin är hos svenska konsumenter. Slutsatsen är att intaget är på en säker nivå och att de föreslagna gränsvärdena skyddar konsumenterna.  </w:t>
      </w:r>
    </w:p>
    <w:p w:rsidR="00AE598A" w:rsidRPr="00AA3195" w:rsidRDefault="00AE598A" w:rsidP="00AE598A">
      <w:pPr>
        <w:pStyle w:val="RKnormal"/>
      </w:pPr>
    </w:p>
    <w:p w:rsidR="00AE598A" w:rsidRPr="00AA3195" w:rsidRDefault="00AE598A" w:rsidP="00AE598A">
      <w:pPr>
        <w:pStyle w:val="RKnormal"/>
      </w:pPr>
      <w:r w:rsidRPr="00AA3195">
        <w:t>Det portugisiska ordförandeskapet har försökt få till stånd en paketlösning och vid C</w:t>
      </w:r>
      <w:r w:rsidR="00E32F16" w:rsidRPr="00AA3195">
        <w:t>oreper</w:t>
      </w:r>
      <w:r w:rsidRPr="00AA3195">
        <w:t xml:space="preserve"> den 4 december kunde de medlemsstater som tidigare lämnat reservationer till förslaget till gränsvärden för frukostflingor acceptera det kompromissförslag som kommissionen lade fram och som innebär en sänkning av gränsvärdet. </w:t>
      </w:r>
    </w:p>
    <w:p w:rsidR="00AE598A" w:rsidRPr="00AA3195" w:rsidRDefault="00AE598A" w:rsidP="00AE598A">
      <w:pPr>
        <w:pStyle w:val="RKnormal"/>
        <w:rPr>
          <w:i/>
          <w:iCs/>
        </w:rPr>
      </w:pPr>
    </w:p>
    <w:p w:rsidR="00AE598A" w:rsidRPr="00AA3195" w:rsidRDefault="00AE598A" w:rsidP="00AE598A">
      <w:pPr>
        <w:pStyle w:val="RKnormal"/>
        <w:rPr>
          <w:iCs/>
        </w:rPr>
      </w:pPr>
      <w:r w:rsidRPr="00AA3195">
        <w:rPr>
          <w:i/>
          <w:iCs/>
        </w:rPr>
        <w:t>Förslag till svensk ståndpunkt</w:t>
      </w:r>
    </w:p>
    <w:p w:rsidR="00152E93" w:rsidRPr="00AA3195" w:rsidRDefault="00AE598A" w:rsidP="00AE598A">
      <w:pPr>
        <w:pStyle w:val="RKnormal"/>
        <w:rPr>
          <w:i/>
          <w:iCs/>
        </w:rPr>
      </w:pPr>
      <w:r w:rsidRPr="00AA3195">
        <w:t>Sverige kan stödja kompromissförslaget. De viktiga frågorna för Sverige har lösts på ett tillfredsställande sätt.</w:t>
      </w:r>
    </w:p>
    <w:p w:rsidR="00152E93" w:rsidRPr="00AA3195" w:rsidRDefault="00152E93" w:rsidP="00152E93">
      <w:pPr>
        <w:pStyle w:val="RKnormal"/>
        <w:rPr>
          <w:i/>
          <w:iCs/>
        </w:rPr>
      </w:pPr>
    </w:p>
    <w:p w:rsidR="001107F3" w:rsidRPr="00AA3195" w:rsidRDefault="001107F3" w:rsidP="00152E93">
      <w:pPr>
        <w:pStyle w:val="RKnormal"/>
        <w:rPr>
          <w:i/>
        </w:rPr>
      </w:pPr>
      <w:r w:rsidRPr="00AA3195">
        <w:rPr>
          <w:i/>
        </w:rPr>
        <w:t>EU-nämnden</w:t>
      </w:r>
    </w:p>
    <w:p w:rsidR="00152E93" w:rsidRPr="00AA3195" w:rsidRDefault="001107F3" w:rsidP="00152E93">
      <w:pPr>
        <w:pStyle w:val="RKnormal"/>
      </w:pPr>
      <w:r w:rsidRPr="00AA3195">
        <w:t>Frågan var föremål för samråd med EU-nämnden i maj 2007 i samband med EPSCO rådet den 31 maj 2007</w:t>
      </w:r>
      <w:r w:rsidR="00152E93" w:rsidRPr="00AA3195">
        <w:t>.</w:t>
      </w:r>
    </w:p>
    <w:p w:rsidR="00451424" w:rsidRPr="00AA3195" w:rsidRDefault="00451424" w:rsidP="00451424">
      <w:pPr>
        <w:pStyle w:val="RKnormal"/>
        <w:rPr>
          <w:iCs/>
        </w:rPr>
      </w:pPr>
    </w:p>
    <w:p w:rsidR="00664A14" w:rsidRPr="00AA3195" w:rsidRDefault="001B7E9B" w:rsidP="00664A14">
      <w:pPr>
        <w:pStyle w:val="RKrubrik"/>
      </w:pPr>
      <w:r w:rsidRPr="00AA3195">
        <w:t xml:space="preserve">6. </w:t>
      </w:r>
      <w:r w:rsidR="009C7894" w:rsidRPr="00AA3195">
        <w:t>Rapport från kommissionen till rådet om genomförandet av e</w:t>
      </w:r>
      <w:r w:rsidR="007E3857" w:rsidRPr="00AA3195">
        <w:t>lektronisk identifiering av får och getter</w:t>
      </w:r>
      <w:r w:rsidRPr="00AA3195">
        <w:t xml:space="preserve"> </w:t>
      </w:r>
      <w:r w:rsidR="009C7894" w:rsidRPr="00AA3195">
        <w:t xml:space="preserve">samt förslag till rådets förordning om ändring av förordning (EG) nr 21/2004 av 2003 avseende datum för införande av elektronisk identifiering av får och getter </w:t>
      </w:r>
    </w:p>
    <w:p w:rsidR="00664A14" w:rsidRPr="00AA3195" w:rsidRDefault="001B7E9B" w:rsidP="00664A14">
      <w:pPr>
        <w:pStyle w:val="RKnormal"/>
        <w:rPr>
          <w:b/>
          <w:i/>
        </w:rPr>
      </w:pPr>
      <w:r w:rsidRPr="00AA3195">
        <w:rPr>
          <w:b/>
          <w:i/>
        </w:rPr>
        <w:t>–</w:t>
      </w:r>
      <w:r w:rsidR="00664A14" w:rsidRPr="00AA3195">
        <w:rPr>
          <w:b/>
          <w:i/>
        </w:rPr>
        <w:t xml:space="preserve"> </w:t>
      </w:r>
      <w:r w:rsidR="007E3857" w:rsidRPr="00AA3195">
        <w:rPr>
          <w:b/>
          <w:i/>
        </w:rPr>
        <w:t>Antagande</w:t>
      </w:r>
    </w:p>
    <w:p w:rsidR="00E63AB4" w:rsidRPr="00AA3195" w:rsidRDefault="00E63AB4" w:rsidP="00E63AB4">
      <w:pPr>
        <w:pStyle w:val="RKnormal"/>
        <w:rPr>
          <w:i/>
          <w:iCs/>
        </w:rPr>
      </w:pPr>
    </w:p>
    <w:p w:rsidR="00E63AB4" w:rsidRPr="00AA3195" w:rsidRDefault="00E63AB4" w:rsidP="00E63AB4">
      <w:pPr>
        <w:pStyle w:val="RKnormal"/>
        <w:rPr>
          <w:i/>
          <w:iCs/>
        </w:rPr>
      </w:pPr>
      <w:r w:rsidRPr="00AA3195">
        <w:rPr>
          <w:i/>
          <w:iCs/>
        </w:rPr>
        <w:t>Dokumentbeteckning</w:t>
      </w:r>
    </w:p>
    <w:p w:rsidR="00E63AB4" w:rsidRPr="00AA3195" w:rsidRDefault="00426FC2" w:rsidP="00E63AB4">
      <w:pPr>
        <w:pStyle w:val="RKnormal"/>
      </w:pPr>
      <w:r w:rsidRPr="00AA3195">
        <w:t>-</w:t>
      </w:r>
    </w:p>
    <w:p w:rsidR="00E63AB4" w:rsidRPr="00AA3195" w:rsidRDefault="00E63AB4" w:rsidP="00E63AB4">
      <w:pPr>
        <w:pStyle w:val="RKnormal"/>
        <w:rPr>
          <w:i/>
          <w:iCs/>
        </w:rPr>
      </w:pPr>
    </w:p>
    <w:p w:rsidR="00E63AB4" w:rsidRPr="00AA3195" w:rsidRDefault="00E63AB4" w:rsidP="00E63AB4">
      <w:pPr>
        <w:pStyle w:val="RKnormal"/>
        <w:rPr>
          <w:i/>
          <w:iCs/>
        </w:rPr>
      </w:pPr>
      <w:r w:rsidRPr="00AA3195">
        <w:rPr>
          <w:i/>
          <w:iCs/>
        </w:rPr>
        <w:t>Rättslig grund</w:t>
      </w:r>
    </w:p>
    <w:p w:rsidR="00E63AB4" w:rsidRPr="00AA3195" w:rsidRDefault="00E63AB4" w:rsidP="00E63AB4">
      <w:pPr>
        <w:pStyle w:val="RKnormal"/>
      </w:pPr>
      <w:r w:rsidRPr="00AA3195">
        <w:t xml:space="preserve">Artikel 37 i </w:t>
      </w:r>
      <w:r w:rsidR="00392A93" w:rsidRPr="00AA3195">
        <w:t>EG-</w:t>
      </w:r>
      <w:r w:rsidRPr="00AA3195">
        <w:t xml:space="preserve">fördraget. Beslut fattas </w:t>
      </w:r>
      <w:r w:rsidR="00392A93" w:rsidRPr="00AA3195">
        <w:t xml:space="preserve">av rådet </w:t>
      </w:r>
      <w:r w:rsidRPr="00AA3195">
        <w:t xml:space="preserve">med kvalificerad majoritet efter att </w:t>
      </w:r>
      <w:r w:rsidR="00392A93" w:rsidRPr="00AA3195">
        <w:t xml:space="preserve">inhämtat </w:t>
      </w:r>
      <w:r w:rsidR="009C7894" w:rsidRPr="00AA3195">
        <w:t xml:space="preserve">Europaparlamentets </w:t>
      </w:r>
      <w:r w:rsidR="00392A93" w:rsidRPr="00AA3195">
        <w:t>yttrande</w:t>
      </w:r>
      <w:r w:rsidRPr="00AA3195">
        <w:t xml:space="preserve">. </w:t>
      </w:r>
    </w:p>
    <w:p w:rsidR="00E63AB4" w:rsidRPr="00AA3195" w:rsidRDefault="00E63AB4" w:rsidP="00E63AB4">
      <w:pPr>
        <w:pStyle w:val="RKnormal"/>
        <w:rPr>
          <w:i/>
          <w:iCs/>
        </w:rPr>
      </w:pPr>
    </w:p>
    <w:p w:rsidR="00E63AB4" w:rsidRPr="00AA3195" w:rsidRDefault="00E63AB4" w:rsidP="00E63AB4">
      <w:pPr>
        <w:pStyle w:val="RKnormal"/>
        <w:rPr>
          <w:i/>
          <w:iCs/>
        </w:rPr>
      </w:pPr>
      <w:r w:rsidRPr="00AA3195">
        <w:rPr>
          <w:i/>
          <w:iCs/>
        </w:rPr>
        <w:t>Bakgrund</w:t>
      </w:r>
    </w:p>
    <w:p w:rsidR="00E63AB4" w:rsidRPr="00AA3195" w:rsidRDefault="00E63AB4" w:rsidP="00E63AB4">
      <w:pPr>
        <w:pStyle w:val="RKnormal"/>
      </w:pPr>
      <w:r w:rsidRPr="00AA3195">
        <w:t xml:space="preserve">År 2005 infördes i enlighet med förordning (EG) nr 21/2004 det första steget i systemet för identifiering och registrering av får och getter med  krav på ett synligt öronmärke i vartdera örat med en individuell kod för varje enskilt djur. Vidare infördes krav på transportdokument samt stalljournaler med de i förordningen angivna specifika uppgifterna. Fram till </w:t>
      </w:r>
      <w:r w:rsidR="002A5D7F" w:rsidRPr="00AA3195">
        <w:t xml:space="preserve">den </w:t>
      </w:r>
      <w:r w:rsidRPr="00AA3195">
        <w:t>1 januari 2008 är det tillräckligt att djuren anges gruppvis i journal och på transp</w:t>
      </w:r>
      <w:r w:rsidR="000C64FD" w:rsidRPr="00AA3195">
        <w:t xml:space="preserve">ortdokument. Det andra steget av implementeringen </w:t>
      </w:r>
      <w:r w:rsidRPr="00AA3195">
        <w:t xml:space="preserve">innebär att alla djur födda efter </w:t>
      </w:r>
      <w:r w:rsidR="000C64FD" w:rsidRPr="00AA3195">
        <w:t xml:space="preserve">den </w:t>
      </w:r>
      <w:r w:rsidRPr="00AA3195">
        <w:t xml:space="preserve">1 januari 2008 ska anges individuellt i stalljournalen och transportdokumenten med undantag för de djur som är avsedda att slaktas </w:t>
      </w:r>
      <w:r w:rsidR="00200D64" w:rsidRPr="00AA3195">
        <w:t>före</w:t>
      </w:r>
      <w:r w:rsidRPr="00AA3195">
        <w:t xml:space="preserve"> tolv månaders ålder. Detta skulle sammanfalla med att obligatorisk elektronisk identifiering införs för medlemsländer som har fler än 600 000 djur. Emellertid anser kommissionen att den tekniken ännu inte är fullt utvecklad samt förenad med så höga kostnader att en ytterligare diskussion behövs med berörda parter innan det slutgiltiga datumet för obligatorisk elektronisk identifiering fastställs. Sverige har 521 000 får och 5 500 getter 2007 och berörs ännu inte av systemet med obligatorisk elektronisk identifiering. </w:t>
      </w:r>
    </w:p>
    <w:p w:rsidR="00E63AB4" w:rsidRPr="00AA3195" w:rsidRDefault="00E63AB4" w:rsidP="00E63AB4">
      <w:pPr>
        <w:pStyle w:val="RKnormal"/>
        <w:rPr>
          <w:i/>
          <w:iCs/>
        </w:rPr>
      </w:pPr>
    </w:p>
    <w:p w:rsidR="00E63AB4" w:rsidRPr="00AA3195" w:rsidRDefault="00E63AB4" w:rsidP="00E63AB4">
      <w:pPr>
        <w:pStyle w:val="RKnormal"/>
        <w:rPr>
          <w:i/>
          <w:iCs/>
        </w:rPr>
      </w:pPr>
      <w:r w:rsidRPr="00AA3195">
        <w:rPr>
          <w:i/>
          <w:iCs/>
        </w:rPr>
        <w:t>Förslag till svensk ståndpunkt</w:t>
      </w:r>
    </w:p>
    <w:p w:rsidR="00E63AB4" w:rsidRPr="00AA3195" w:rsidRDefault="00E63AB4" w:rsidP="00E63AB4">
      <w:pPr>
        <w:pStyle w:val="RKnormal"/>
      </w:pPr>
      <w:r w:rsidRPr="00AA3195">
        <w:t>Sverige stödjer förslaget att datum för obligatorisk elektronisk identifiering senareläggs.</w:t>
      </w:r>
    </w:p>
    <w:p w:rsidR="00E63AB4" w:rsidRPr="00AA3195" w:rsidRDefault="00E63AB4" w:rsidP="00E63AB4">
      <w:pPr>
        <w:pStyle w:val="RKnormal"/>
        <w:rPr>
          <w:i/>
          <w:iCs/>
        </w:rPr>
      </w:pPr>
    </w:p>
    <w:p w:rsidR="00E63AB4" w:rsidRPr="00AA3195" w:rsidRDefault="00E63AB4" w:rsidP="00E63AB4">
      <w:pPr>
        <w:pStyle w:val="RKnormal"/>
        <w:rPr>
          <w:i/>
          <w:iCs/>
        </w:rPr>
      </w:pPr>
      <w:r w:rsidRPr="00AA3195">
        <w:rPr>
          <w:i/>
          <w:iCs/>
        </w:rPr>
        <w:t>EU-nämnden</w:t>
      </w:r>
    </w:p>
    <w:p w:rsidR="00E63AB4" w:rsidRPr="00AA3195" w:rsidRDefault="00E63AB4" w:rsidP="00E63AB4">
      <w:pPr>
        <w:pStyle w:val="RKnormal"/>
      </w:pPr>
      <w:r w:rsidRPr="00AA3195">
        <w:t xml:space="preserve">Frågan har inte </w:t>
      </w:r>
      <w:r w:rsidR="00E32F16" w:rsidRPr="00AA3195">
        <w:t xml:space="preserve">tidigare </w:t>
      </w:r>
      <w:r w:rsidRPr="00AA3195">
        <w:t xml:space="preserve">varit föremål för samråd </w:t>
      </w:r>
      <w:r w:rsidR="00E32F16" w:rsidRPr="00AA3195">
        <w:t>med EU-nämnden</w:t>
      </w:r>
      <w:r w:rsidRPr="00AA3195">
        <w:t>.</w:t>
      </w:r>
    </w:p>
    <w:p w:rsidR="0072596E" w:rsidRPr="00AA3195" w:rsidRDefault="0072596E" w:rsidP="009A195B">
      <w:pPr>
        <w:pStyle w:val="RKnormal"/>
      </w:pPr>
    </w:p>
    <w:p w:rsidR="00664A14" w:rsidRPr="00AA3195" w:rsidRDefault="00664A14" w:rsidP="00664A14">
      <w:pPr>
        <w:pStyle w:val="RKrubrik"/>
      </w:pPr>
      <w:r w:rsidRPr="00AA3195">
        <w:t xml:space="preserve">7. </w:t>
      </w:r>
      <w:r w:rsidR="007E3857" w:rsidRPr="00AA3195">
        <w:t>Förslag till rådets förordning om den gemensamma organisationen av marknaden för vin och om ändring av vissa förordningar</w:t>
      </w:r>
      <w:r w:rsidR="007E3857" w:rsidRPr="00AA3195">
        <w:rPr>
          <w:rFonts w:ascii="Times New Roman" w:hAnsi="Times New Roman"/>
        </w:rPr>
        <w:t> </w:t>
      </w:r>
      <w:r w:rsidR="007E3857" w:rsidRPr="00AA3195">
        <w:t xml:space="preserve"> </w:t>
      </w:r>
    </w:p>
    <w:p w:rsidR="00664A14" w:rsidRPr="00AA3195" w:rsidRDefault="00664A14" w:rsidP="00664A14">
      <w:pPr>
        <w:pStyle w:val="RKnormal"/>
        <w:rPr>
          <w:b/>
          <w:i/>
        </w:rPr>
      </w:pPr>
      <w:r w:rsidRPr="00AA3195">
        <w:rPr>
          <w:b/>
          <w:i/>
        </w:rPr>
        <w:t>–</w:t>
      </w:r>
      <w:r w:rsidR="007E3857" w:rsidRPr="00AA3195">
        <w:rPr>
          <w:b/>
          <w:i/>
        </w:rPr>
        <w:t>Politisk överenskommelse</w:t>
      </w:r>
      <w:r w:rsidR="0072596E" w:rsidRPr="00AA3195">
        <w:rPr>
          <w:b/>
          <w:i/>
        </w:rPr>
        <w:t xml:space="preserve"> </w:t>
      </w:r>
    </w:p>
    <w:p w:rsidR="006871D0" w:rsidRPr="00AA3195" w:rsidRDefault="006871D0" w:rsidP="006871D0">
      <w:pPr>
        <w:pStyle w:val="RKnormal"/>
        <w:rPr>
          <w:b/>
          <w:bCs/>
          <w:i/>
          <w:iCs/>
        </w:rPr>
      </w:pPr>
    </w:p>
    <w:p w:rsidR="006871D0" w:rsidRPr="00AA3195" w:rsidRDefault="006871D0" w:rsidP="006871D0">
      <w:pPr>
        <w:pStyle w:val="RKnormal"/>
        <w:rPr>
          <w:i/>
          <w:iCs/>
        </w:rPr>
      </w:pPr>
      <w:r w:rsidRPr="00AA3195">
        <w:rPr>
          <w:i/>
          <w:iCs/>
        </w:rPr>
        <w:t>Dokumentbeteckning</w:t>
      </w:r>
    </w:p>
    <w:p w:rsidR="006871D0" w:rsidRPr="00AA3195" w:rsidRDefault="009C7894" w:rsidP="006871D0">
      <w:pPr>
        <w:pStyle w:val="RKnormal"/>
      </w:pPr>
      <w:r w:rsidRPr="00AA3195">
        <w:t>-</w:t>
      </w:r>
    </w:p>
    <w:p w:rsidR="006871D0" w:rsidRPr="00AA3195" w:rsidRDefault="006871D0" w:rsidP="006871D0">
      <w:pPr>
        <w:pStyle w:val="RKnormal"/>
        <w:rPr>
          <w:i/>
        </w:rPr>
      </w:pPr>
    </w:p>
    <w:p w:rsidR="006871D0" w:rsidRPr="00AA3195" w:rsidRDefault="006871D0" w:rsidP="006871D0">
      <w:pPr>
        <w:pStyle w:val="RKnormal"/>
        <w:rPr>
          <w:i/>
        </w:rPr>
      </w:pPr>
      <w:r w:rsidRPr="00AA3195">
        <w:rPr>
          <w:i/>
        </w:rPr>
        <w:t>Rättslig grund</w:t>
      </w:r>
    </w:p>
    <w:p w:rsidR="006871D0" w:rsidRPr="00AA3195" w:rsidRDefault="006871D0" w:rsidP="006871D0">
      <w:pPr>
        <w:pStyle w:val="RKnormal"/>
      </w:pPr>
      <w:r w:rsidRPr="00AA3195">
        <w:t>Artikel 36 och 37 i EG-fördraget. Beslut fattas av rådet med kvalificerad majoritet efter att yttrande från Europaparlamentet inhämtats.</w:t>
      </w:r>
    </w:p>
    <w:p w:rsidR="006871D0" w:rsidRPr="00AA3195" w:rsidRDefault="006871D0" w:rsidP="006871D0">
      <w:pPr>
        <w:pStyle w:val="RKnormal"/>
      </w:pPr>
    </w:p>
    <w:p w:rsidR="006871D0" w:rsidRPr="00AA3195" w:rsidRDefault="006871D0" w:rsidP="006871D0">
      <w:pPr>
        <w:tabs>
          <w:tab w:val="left" w:pos="2835"/>
        </w:tabs>
        <w:overflowPunct/>
        <w:spacing w:line="240" w:lineRule="atLeast"/>
        <w:textAlignment w:val="auto"/>
        <w:rPr>
          <w:rFonts w:cs="OrigGarmnd BT"/>
          <w:i/>
          <w:iCs/>
          <w:color w:val="000000"/>
          <w:szCs w:val="24"/>
          <w:lang w:eastAsia="sv-SE"/>
        </w:rPr>
      </w:pPr>
      <w:r w:rsidRPr="00AA3195">
        <w:rPr>
          <w:rFonts w:cs="OrigGarmnd BT"/>
          <w:i/>
          <w:iCs/>
          <w:color w:val="000000"/>
          <w:szCs w:val="24"/>
          <w:lang w:eastAsia="sv-SE"/>
        </w:rPr>
        <w:t>Bakgrund</w:t>
      </w: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Kommissionen presenterade i juli 2007 ett förslag till reform av marknadsordningen för vin. </w:t>
      </w:r>
    </w:p>
    <w:p w:rsidR="006871D0" w:rsidRPr="00AA3195" w:rsidRDefault="006871D0" w:rsidP="006871D0">
      <w:pPr>
        <w:overflowPunct/>
        <w:spacing w:line="240" w:lineRule="atLeast"/>
        <w:textAlignment w:val="auto"/>
        <w:rPr>
          <w:rFonts w:cs="OrigGarmnd BT"/>
          <w:color w:val="000000"/>
          <w:szCs w:val="24"/>
          <w:lang w:eastAsia="sv-SE"/>
        </w:rPr>
      </w:pPr>
    </w:p>
    <w:p w:rsidR="006871D0" w:rsidRPr="00AA3195" w:rsidRDefault="006871D0" w:rsidP="006871D0">
      <w:p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Förslaget syftar till att stärka den europeiska vinsektorns konkurrenskraft, förbättra ryktet för EU:s kvalitetsviner, återta förlorade samt vinna nya marknadsandelar. Avsikten är att skapa en marknadsordning som består av tydliga, enkla och effektiva regler som leder till balans mellan utbud och efterfrågan, skapar en ordning som tillvaratar de bästa av EU:s vintillverkningsmetoder, förstärker samhällsstrukturen på landsbygden samt försäkrar att all produktion är miljövänlig. </w:t>
      </w: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r w:rsidRPr="00AA3195">
        <w:rPr>
          <w:rFonts w:cs="OrigGarmnd BT"/>
          <w:color w:val="000000"/>
          <w:szCs w:val="24"/>
          <w:lang w:eastAsia="sv-SE"/>
        </w:rPr>
        <w:t>Förslaget innehåller i huvudsak;</w:t>
      </w:r>
    </w:p>
    <w:p w:rsidR="006871D0" w:rsidRPr="00AA3195" w:rsidRDefault="006871D0" w:rsidP="006871D0">
      <w:pPr>
        <w:numPr>
          <w:ilvl w:val="0"/>
          <w:numId w:val="10"/>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Stöd till röjning av 200 000 ha vinareal </w:t>
      </w:r>
    </w:p>
    <w:p w:rsidR="006871D0" w:rsidRPr="00AA3195" w:rsidRDefault="006871D0" w:rsidP="006871D0">
      <w:pPr>
        <w:numPr>
          <w:ilvl w:val="0"/>
          <w:numId w:val="10"/>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Införande av frikopplade stöd till all vinareal, inklusive den röjda arealen </w:t>
      </w:r>
    </w:p>
    <w:p w:rsidR="006871D0" w:rsidRPr="00AA3195" w:rsidRDefault="006871D0" w:rsidP="006871D0">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Införande av nationella anslag (tidigare kallat nationella kuvert). Medlemsstaterna kan själva bestämma vilka åtgärder som ska ingå utifrån en given meny. Över 2/3 delar av budgeten, ca 850 miljoner euro ska gå till de nationella anslagen. Medlen fördelas enligt vissa objektiva kriterier</w:t>
      </w:r>
    </w:p>
    <w:p w:rsidR="006871D0" w:rsidRPr="00AA3195" w:rsidRDefault="006871D0" w:rsidP="006871D0">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Överföring av medel till landsbygdsåtgärder motsvarande 400 miljoner euro</w:t>
      </w:r>
    </w:p>
    <w:p w:rsidR="006871D0" w:rsidRPr="00AA3195" w:rsidRDefault="006871D0" w:rsidP="006871D0">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Nuvarande marknadsreglerande åtgärder som destillationsstöd, stöd till privat lagring samt druvmuststöd tas bort direkt. Systemet med planteringsrätter avskaffas fr.o.m. år 2014. </w:t>
      </w:r>
    </w:p>
    <w:p w:rsidR="006871D0" w:rsidRPr="00AA3195" w:rsidRDefault="006871D0" w:rsidP="006871D0">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Förenklade regler för tillverkningsmetoder och märkning</w:t>
      </w:r>
    </w:p>
    <w:p w:rsidR="006871D0" w:rsidRPr="00AA3195" w:rsidRDefault="006871D0" w:rsidP="006871D0">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Nya regler för berikning med vin. </w:t>
      </w:r>
      <w:r w:rsidRPr="00AA3195">
        <w:rPr>
          <w:rFonts w:cs="OrigGarmnd BT"/>
          <w:bCs/>
          <w:color w:val="000000"/>
          <w:szCs w:val="24"/>
          <w:lang w:eastAsia="sv-SE"/>
        </w:rPr>
        <w:t>Bland annat föreslås att möjligheten att tillsätta socker ska tas bort</w:t>
      </w:r>
    </w:p>
    <w:p w:rsidR="006871D0" w:rsidRPr="00AA3195" w:rsidRDefault="006871D0" w:rsidP="006871D0">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Satsningar på marknadsföring</w:t>
      </w:r>
    </w:p>
    <w:p w:rsidR="00A45E09" w:rsidRPr="00AA3195" w:rsidRDefault="006871D0" w:rsidP="00A45E09">
      <w:pPr>
        <w:numPr>
          <w:ilvl w:val="0"/>
          <w:numId w:val="9"/>
        </w:numPr>
        <w:overflowPunct/>
        <w:spacing w:line="240" w:lineRule="atLeast"/>
        <w:textAlignment w:val="auto"/>
        <w:rPr>
          <w:rFonts w:cs="OrigGarmnd BT"/>
          <w:color w:val="000000"/>
          <w:szCs w:val="24"/>
          <w:lang w:eastAsia="sv-SE"/>
        </w:rPr>
      </w:pPr>
      <w:r w:rsidRPr="00AA3195">
        <w:rPr>
          <w:rFonts w:cs="OrigGarmnd BT"/>
          <w:color w:val="000000"/>
          <w:szCs w:val="24"/>
          <w:lang w:eastAsia="sv-SE"/>
        </w:rPr>
        <w:t>Nytt system för ursprungsbeteckningar samt geografiska beteckningar</w:t>
      </w: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p>
    <w:p w:rsidR="00A45E09" w:rsidRPr="00AA3195" w:rsidRDefault="00A45E09" w:rsidP="00A45E09">
      <w:pPr>
        <w:overflowPunct/>
        <w:spacing w:line="240" w:lineRule="atLeast"/>
        <w:textAlignment w:val="auto"/>
        <w:rPr>
          <w:rFonts w:cs="OrigGarmnd BT"/>
          <w:color w:val="000000"/>
          <w:szCs w:val="24"/>
          <w:lang w:eastAsia="sv-SE"/>
        </w:rPr>
      </w:pPr>
      <w:r w:rsidRPr="00AA3195">
        <w:rPr>
          <w:rFonts w:cs="OrigGarmnd BT"/>
          <w:color w:val="000000"/>
          <w:szCs w:val="24"/>
          <w:lang w:eastAsia="sv-SE"/>
        </w:rPr>
        <w:t>Återstående frågor för diskussion samt beslut i decemberrådet kommer att vara:</w:t>
      </w:r>
    </w:p>
    <w:p w:rsidR="00A45E09" w:rsidRPr="00AA3195" w:rsidRDefault="00A45E09" w:rsidP="00A45E09">
      <w:pPr>
        <w:overflowPunct/>
        <w:spacing w:line="240" w:lineRule="atLeast"/>
        <w:textAlignment w:val="auto"/>
        <w:rPr>
          <w:rFonts w:cs="OrigGarmnd BT"/>
          <w:color w:val="000000"/>
          <w:szCs w:val="24"/>
          <w:lang w:eastAsia="sv-SE"/>
        </w:rPr>
      </w:pPr>
    </w:p>
    <w:p w:rsidR="00A45E09" w:rsidRPr="00AA3195" w:rsidRDefault="00A45E09" w:rsidP="00A45E09">
      <w:pPr>
        <w:overflowPunct/>
        <w:spacing w:line="240" w:lineRule="atLeast"/>
        <w:textAlignment w:val="auto"/>
        <w:rPr>
          <w:rFonts w:cs="OrigGarmnd BT"/>
          <w:color w:val="000000"/>
          <w:szCs w:val="24"/>
          <w:lang w:eastAsia="sv-SE"/>
        </w:rPr>
      </w:pPr>
      <w:r w:rsidRPr="00AA3195">
        <w:rPr>
          <w:rFonts w:cs="OrigGarmnd BT"/>
          <w:color w:val="000000"/>
          <w:szCs w:val="24"/>
          <w:lang w:eastAsia="sv-SE"/>
        </w:rPr>
        <w:t>1. Liberaliseringen av systemet med planteringsrätter.</w:t>
      </w:r>
    </w:p>
    <w:p w:rsidR="00A45E09" w:rsidRPr="00AA3195" w:rsidRDefault="00A45E09" w:rsidP="00A45E09">
      <w:pPr>
        <w:overflowPunct/>
        <w:spacing w:line="240" w:lineRule="atLeast"/>
        <w:textAlignment w:val="auto"/>
        <w:rPr>
          <w:rFonts w:cs="OrigGarmnd BT"/>
          <w:color w:val="000000"/>
          <w:szCs w:val="24"/>
          <w:lang w:eastAsia="sv-SE"/>
        </w:rPr>
      </w:pPr>
    </w:p>
    <w:p w:rsidR="00A45E09" w:rsidRPr="00AA3195" w:rsidRDefault="00A45E09" w:rsidP="00A45E09">
      <w:p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2. Märkning av vin med årgång och druvsort. Reformen måste åstadkomma en konkurrenskraftig vinsektor. EU-konsumenter köper mer och mer viner från tredje land, en lösning måste finnas. </w:t>
      </w:r>
    </w:p>
    <w:p w:rsidR="00A45E09" w:rsidRPr="00AA3195" w:rsidRDefault="00A45E09" w:rsidP="00A45E09">
      <w:pPr>
        <w:overflowPunct/>
        <w:spacing w:line="240" w:lineRule="atLeast"/>
        <w:textAlignment w:val="auto"/>
        <w:rPr>
          <w:rFonts w:cs="OrigGarmnd BT"/>
          <w:color w:val="000000"/>
          <w:szCs w:val="24"/>
          <w:lang w:eastAsia="sv-SE"/>
        </w:rPr>
      </w:pPr>
    </w:p>
    <w:p w:rsidR="00A45E09" w:rsidRPr="00AA3195" w:rsidRDefault="00A45E09" w:rsidP="00A45E09">
      <w:pPr>
        <w:overflowPunct/>
        <w:spacing w:line="240" w:lineRule="atLeast"/>
        <w:textAlignment w:val="auto"/>
        <w:rPr>
          <w:rFonts w:cs="OrigGarmnd BT"/>
          <w:color w:val="000000"/>
          <w:szCs w:val="24"/>
          <w:lang w:eastAsia="sv-SE"/>
        </w:rPr>
      </w:pPr>
      <w:r w:rsidRPr="00AA3195">
        <w:rPr>
          <w:rFonts w:cs="OrigGarmnd BT"/>
          <w:color w:val="000000"/>
          <w:szCs w:val="24"/>
          <w:lang w:eastAsia="sv-SE"/>
        </w:rPr>
        <w:t>3. Finansiella aspekter och nationella anslag. Inget utrymme för en utökad vinbudget. Inga ytterligare anslag kommer att beviljas enligt kommissionen. Fortsatt möjlighet till krisdestillering drivs hårt av vissa medlemsstater.</w:t>
      </w:r>
    </w:p>
    <w:p w:rsidR="00A45E09" w:rsidRPr="00AA3195" w:rsidRDefault="00A45E09" w:rsidP="00A45E09">
      <w:pPr>
        <w:overflowPunct/>
        <w:spacing w:line="240" w:lineRule="atLeast"/>
        <w:textAlignment w:val="auto"/>
        <w:rPr>
          <w:rFonts w:cs="OrigGarmnd BT"/>
          <w:color w:val="000000"/>
          <w:szCs w:val="24"/>
          <w:lang w:eastAsia="sv-SE"/>
        </w:rPr>
      </w:pPr>
    </w:p>
    <w:p w:rsidR="00A45E09" w:rsidRPr="00AA3195" w:rsidRDefault="00A45E09" w:rsidP="00A45E09">
      <w:p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4. Berikning med socker är en prioriterad fråga. Kommissionen har visat viss flexibilitet eftersom sockerberikningen är en traditionell oenologisk praktik i flera medlemsstater. Dock måste dessa medlemsstater vara öppna för druvmustfrågan. </w:t>
      </w:r>
    </w:p>
    <w:p w:rsidR="00A45E09" w:rsidRPr="00AA3195" w:rsidRDefault="00A45E09" w:rsidP="00A45E09">
      <w:pPr>
        <w:overflowPunct/>
        <w:spacing w:line="240" w:lineRule="atLeast"/>
        <w:textAlignment w:val="auto"/>
        <w:rPr>
          <w:rFonts w:cs="OrigGarmnd BT"/>
          <w:color w:val="000000"/>
          <w:szCs w:val="24"/>
          <w:lang w:eastAsia="sv-SE"/>
        </w:rPr>
      </w:pPr>
    </w:p>
    <w:p w:rsidR="00A45E09" w:rsidRPr="00AA3195" w:rsidRDefault="00A45E09" w:rsidP="00A45E09">
      <w:pPr>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5.Öronmärkta medel motsvarande 120 miljoner euro till säljfrämjande åtgärder i tredje land diskuteras för närvarande. </w:t>
      </w:r>
    </w:p>
    <w:p w:rsidR="00A45E09" w:rsidRPr="00AA3195" w:rsidRDefault="00A45E09" w:rsidP="006871D0">
      <w:pPr>
        <w:tabs>
          <w:tab w:val="left" w:pos="2835"/>
        </w:tabs>
        <w:overflowPunct/>
        <w:spacing w:line="240" w:lineRule="atLeast"/>
        <w:textAlignment w:val="auto"/>
        <w:rPr>
          <w:rFonts w:cs="OrigGarmnd BT"/>
          <w:color w:val="000000"/>
          <w:szCs w:val="24"/>
          <w:lang w:eastAsia="sv-SE"/>
        </w:rPr>
      </w:pPr>
    </w:p>
    <w:p w:rsidR="006871D0" w:rsidRPr="00AA3195" w:rsidRDefault="006871D0" w:rsidP="006871D0">
      <w:pPr>
        <w:tabs>
          <w:tab w:val="left" w:pos="2835"/>
        </w:tabs>
        <w:overflowPunct/>
        <w:spacing w:line="240" w:lineRule="atLeast"/>
        <w:textAlignment w:val="auto"/>
        <w:rPr>
          <w:rFonts w:cs="OrigGarmnd BT"/>
          <w:i/>
          <w:iCs/>
          <w:color w:val="000000"/>
          <w:szCs w:val="24"/>
          <w:lang w:eastAsia="sv-SE"/>
        </w:rPr>
      </w:pPr>
      <w:r w:rsidRPr="00AA3195">
        <w:rPr>
          <w:rFonts w:cs="OrigGarmnd BT"/>
          <w:i/>
          <w:iCs/>
          <w:color w:val="000000"/>
          <w:szCs w:val="24"/>
          <w:lang w:eastAsia="sv-SE"/>
        </w:rPr>
        <w:t>Förslag till svensk ståndpunkt</w:t>
      </w: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Sverige välkomnar kommissionens syn på behovet av en djupgående reform. Vinsektorn är i stort behov av reformering p.g.a. den bristande konkurrenskraften samt det komplexa regelverk som präglar den nuvarande marknadsordningen. Reformen bör vara ett steg mot en avreglerad vinsektor, med en kort övergångsperiod. Sverige anser dock inte att kommissionens förslag i alla delar överensstämmer med innebörden av en djupgående reform. </w:t>
      </w: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Det är positivt att rådsförordningen görs mer marknadsorienterad i och med förenklad regelbörda kring framförallt märkningsregler och tillverkningsmetoder, överföring av medel till landsbygdsåtgärder och frikoppling av stöd. Sverige välkomnar att årgång och druvsort får märkas på vin, men förordar att nuvarande regler om berikning bibehålls. Det är positivt att marknadsordningen i större utsträckning utformas mer lik andra marknadsordningar genom införande av frikoppling och landsbygdsåtgärder. </w:t>
      </w: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p>
    <w:p w:rsidR="006871D0" w:rsidRPr="00AA3195" w:rsidRDefault="006871D0" w:rsidP="006871D0">
      <w:pPr>
        <w:tabs>
          <w:tab w:val="left" w:pos="2835"/>
        </w:tabs>
        <w:overflowPunct/>
        <w:spacing w:line="240" w:lineRule="atLeast"/>
        <w:textAlignment w:val="auto"/>
        <w:rPr>
          <w:rFonts w:cs="OrigGarmnd BT"/>
          <w:color w:val="000000"/>
          <w:szCs w:val="24"/>
          <w:lang w:eastAsia="sv-SE"/>
        </w:rPr>
      </w:pPr>
      <w:r w:rsidRPr="00AA3195">
        <w:rPr>
          <w:rFonts w:cs="OrigGarmnd BT"/>
          <w:color w:val="000000"/>
          <w:szCs w:val="24"/>
          <w:lang w:eastAsia="sv-SE"/>
        </w:rPr>
        <w:t xml:space="preserve">Sverige är </w:t>
      </w:r>
      <w:r w:rsidR="00D058F4" w:rsidRPr="00AA3195">
        <w:rPr>
          <w:rFonts w:cs="OrigGarmnd BT"/>
          <w:color w:val="000000"/>
          <w:szCs w:val="24"/>
          <w:lang w:eastAsia="sv-SE"/>
        </w:rPr>
        <w:t xml:space="preserve">dock </w:t>
      </w:r>
      <w:r w:rsidRPr="00AA3195">
        <w:rPr>
          <w:rFonts w:cs="OrigGarmnd BT"/>
          <w:color w:val="000000"/>
          <w:szCs w:val="24"/>
          <w:lang w:eastAsia="sv-SE"/>
        </w:rPr>
        <w:t xml:space="preserve">mycket kritiskt inställd till införandet av de nationella anslagen. Anslagen innehåller vissa åtgärder som Sverige har svårt att acceptera. Sverige anser att större fokus bör ligga på frikoppling av stöden. Sverige är vidare kritiskt till att EU gemensamt ska finansiera marknadsföring av vin från EU i tredje land och att dessutom en viss summa i de nationella anslagen ska öronmärkas för detta ändamål. </w:t>
      </w:r>
      <w:r w:rsidR="00A50B8D" w:rsidRPr="00AA3195">
        <w:rPr>
          <w:rFonts w:cs="OrigGarmnd BT"/>
          <w:color w:val="000000"/>
          <w:szCs w:val="24"/>
          <w:lang w:eastAsia="sv-SE"/>
        </w:rPr>
        <w:t xml:space="preserve">Sverige är vidare mycket kritisk till krisdestillering inom ramen för nationella anslag. </w:t>
      </w:r>
      <w:r w:rsidRPr="00AA3195">
        <w:rPr>
          <w:rFonts w:cs="OrigGarmnd BT"/>
          <w:color w:val="000000"/>
          <w:szCs w:val="24"/>
          <w:lang w:eastAsia="sv-SE"/>
        </w:rPr>
        <w:t>Sverige anser att reformen bör leda till budgetbesparingar.</w:t>
      </w:r>
    </w:p>
    <w:p w:rsidR="006871D0" w:rsidRPr="00AA3195" w:rsidRDefault="006871D0" w:rsidP="006871D0">
      <w:pPr>
        <w:tabs>
          <w:tab w:val="left" w:pos="2835"/>
        </w:tabs>
        <w:overflowPunct/>
        <w:spacing w:line="240" w:lineRule="atLeast"/>
        <w:textAlignment w:val="auto"/>
        <w:rPr>
          <w:rFonts w:cs="OrigGarmnd BT"/>
          <w:i/>
          <w:iCs/>
          <w:color w:val="000000"/>
          <w:szCs w:val="24"/>
          <w:lang w:eastAsia="sv-SE"/>
        </w:rPr>
      </w:pPr>
    </w:p>
    <w:p w:rsidR="006871D0" w:rsidRPr="00AA3195" w:rsidRDefault="006871D0" w:rsidP="006871D0">
      <w:pPr>
        <w:tabs>
          <w:tab w:val="left" w:pos="2835"/>
        </w:tabs>
        <w:overflowPunct/>
        <w:spacing w:line="240" w:lineRule="atLeast"/>
        <w:textAlignment w:val="auto"/>
        <w:rPr>
          <w:rFonts w:cs="OrigGarmnd BT"/>
          <w:i/>
          <w:iCs/>
          <w:color w:val="000000"/>
          <w:szCs w:val="24"/>
          <w:lang w:eastAsia="sv-SE"/>
        </w:rPr>
      </w:pPr>
      <w:r w:rsidRPr="00AA3195">
        <w:rPr>
          <w:rFonts w:cs="OrigGarmnd BT"/>
          <w:i/>
          <w:iCs/>
          <w:color w:val="000000"/>
          <w:szCs w:val="24"/>
          <w:lang w:eastAsia="sv-SE"/>
        </w:rPr>
        <w:t>EU-nämnden</w:t>
      </w:r>
    </w:p>
    <w:p w:rsidR="006871D0" w:rsidRPr="00AA3195" w:rsidRDefault="006871D0" w:rsidP="006871D0">
      <w:pPr>
        <w:pStyle w:val="RKnormal"/>
        <w:rPr>
          <w:lang w:eastAsia="sv-SE"/>
        </w:rPr>
      </w:pPr>
      <w:r w:rsidRPr="00AA3195">
        <w:rPr>
          <w:lang w:eastAsia="sv-SE"/>
        </w:rPr>
        <w:t>Frågan har tidigare varit föremål för samråd i EU-nämnden inför jordbruks- och fiskeråden den 16 juli, den 26 september, den 22-23 oktober och den 26-27 november 2007.</w:t>
      </w:r>
    </w:p>
    <w:p w:rsidR="006871D0" w:rsidRPr="00AA3195" w:rsidRDefault="006871D0" w:rsidP="006871D0"/>
    <w:p w:rsidR="00CA3A6E" w:rsidRPr="00AA3195" w:rsidRDefault="00CA3A6E" w:rsidP="00CA3A6E">
      <w:pPr>
        <w:pStyle w:val="RKnormal"/>
        <w:rPr>
          <w:iCs/>
        </w:rPr>
      </w:pPr>
    </w:p>
    <w:p w:rsidR="00891205" w:rsidRPr="00AA3195" w:rsidRDefault="00891205" w:rsidP="00891205">
      <w:pPr>
        <w:pStyle w:val="RKrubrik"/>
      </w:pPr>
      <w:r w:rsidRPr="00AA3195">
        <w:t xml:space="preserve">8. </w:t>
      </w:r>
      <w:r w:rsidR="007E3857" w:rsidRPr="00AA3195">
        <w:t xml:space="preserve">(ev.) </w:t>
      </w:r>
      <w:r w:rsidR="009414AF" w:rsidRPr="00AA3195">
        <w:t>Tvärvillkor: Förslag till rådets förordning om ändring av förordning (EG) nr 1782/2003 om upprättande av gemensamma bestämmelser för system för direktstöd inom den gemensamma jordbrukspolitiken och om upprättande av vissa stödsystem för jordbrukare, samt om ändring av förordning (EG) nr 1698/2005 om stöd för landsbygdsutveckling från Europeiska jordbruksfonden för landsbygdsutveckling (EJFLU)</w:t>
      </w:r>
    </w:p>
    <w:p w:rsidR="00891205" w:rsidRPr="00AA3195" w:rsidRDefault="00BD1CF1">
      <w:pPr>
        <w:pStyle w:val="RKnormal"/>
        <w:rPr>
          <w:b/>
          <w:i/>
        </w:rPr>
      </w:pPr>
      <w:r w:rsidRPr="00AA3195">
        <w:rPr>
          <w:b/>
          <w:i/>
        </w:rPr>
        <w:t xml:space="preserve">– </w:t>
      </w:r>
      <w:r w:rsidR="0072596E" w:rsidRPr="00AA3195">
        <w:rPr>
          <w:b/>
          <w:i/>
        </w:rPr>
        <w:t>Politisk överenskommelse</w:t>
      </w:r>
    </w:p>
    <w:p w:rsidR="00891205" w:rsidRPr="00AA3195" w:rsidRDefault="00891205" w:rsidP="00891205">
      <w:pPr>
        <w:pStyle w:val="RKnormal"/>
      </w:pPr>
    </w:p>
    <w:p w:rsidR="009414AF" w:rsidRPr="00AA3195" w:rsidRDefault="009414AF" w:rsidP="009414AF">
      <w:pPr>
        <w:pStyle w:val="RKnormal"/>
        <w:rPr>
          <w:i/>
          <w:iCs/>
        </w:rPr>
      </w:pPr>
      <w:r w:rsidRPr="00AA3195">
        <w:rPr>
          <w:i/>
          <w:iCs/>
        </w:rPr>
        <w:t>Dokumentbeteckning</w:t>
      </w:r>
    </w:p>
    <w:p w:rsidR="009414AF" w:rsidRPr="00AA3195" w:rsidRDefault="009414AF" w:rsidP="009414AF">
      <w:pPr>
        <w:pStyle w:val="RKnormal"/>
      </w:pPr>
      <w:r w:rsidRPr="00AA3195">
        <w:t>-</w:t>
      </w:r>
    </w:p>
    <w:p w:rsidR="009414AF" w:rsidRPr="00AA3195" w:rsidRDefault="009414AF" w:rsidP="009414AF">
      <w:pPr>
        <w:pStyle w:val="RKnormal"/>
        <w:rPr>
          <w:i/>
          <w:iCs/>
        </w:rPr>
      </w:pPr>
    </w:p>
    <w:p w:rsidR="009414AF" w:rsidRPr="00AA3195" w:rsidRDefault="009414AF" w:rsidP="009414AF">
      <w:pPr>
        <w:pStyle w:val="RKnormal"/>
        <w:rPr>
          <w:i/>
          <w:iCs/>
        </w:rPr>
      </w:pPr>
      <w:r w:rsidRPr="00AA3195">
        <w:rPr>
          <w:i/>
          <w:iCs/>
        </w:rPr>
        <w:t>Rättslig grund</w:t>
      </w:r>
    </w:p>
    <w:p w:rsidR="009414AF" w:rsidRPr="00AA3195" w:rsidRDefault="009414AF" w:rsidP="009414AF">
      <w:pPr>
        <w:pStyle w:val="RKnormal"/>
      </w:pPr>
      <w:r w:rsidRPr="00AA3195">
        <w:t xml:space="preserve">Artikel 37.2 i EG-fördraget. Beslut fattas i rådet med kvalificerad majoritet efter att yttrande från Europaparlamentet inhämtats. </w:t>
      </w:r>
    </w:p>
    <w:p w:rsidR="009414AF" w:rsidRPr="00AA3195" w:rsidRDefault="009414AF" w:rsidP="009414AF">
      <w:pPr>
        <w:pStyle w:val="RKnormal"/>
        <w:rPr>
          <w:i/>
          <w:iCs/>
        </w:rPr>
      </w:pPr>
    </w:p>
    <w:p w:rsidR="009414AF" w:rsidRPr="00AA3195" w:rsidRDefault="009414AF" w:rsidP="009414AF">
      <w:pPr>
        <w:pStyle w:val="RKnormal"/>
        <w:rPr>
          <w:i/>
          <w:iCs/>
        </w:rPr>
      </w:pPr>
      <w:r w:rsidRPr="00AA3195">
        <w:rPr>
          <w:i/>
          <w:iCs/>
        </w:rPr>
        <w:t>Bakgrund</w:t>
      </w:r>
    </w:p>
    <w:p w:rsidR="009414AF" w:rsidRPr="00AA3195" w:rsidRDefault="009414AF" w:rsidP="009414AF">
      <w:pPr>
        <w:pStyle w:val="RKnormal"/>
      </w:pPr>
      <w:r w:rsidRPr="00AA3195">
        <w:t>Kommissionen presenterade under våren 2007 en rapport om tillämpningen av systemet med tvärvillkor (de krav inom folkhälsa, djurhälsa, växtskydd, miljö, djurskydd samt skötselkrav för åkermark och betesmark som lantbrukaren måste följa för att erhålla fullt gårdsstöd).</w:t>
      </w:r>
      <w:r w:rsidRPr="00AA3195">
        <w:rPr>
          <w:rFonts w:ascii="Helv" w:hAnsi="Helv" w:cs="Helv"/>
          <w:sz w:val="20"/>
          <w:lang w:eastAsia="sv-SE"/>
        </w:rPr>
        <w:t xml:space="preserve"> </w:t>
      </w:r>
      <w:r w:rsidRPr="00AA3195">
        <w:t>Vid jordbruks- och fiskerådet i juni 2007 antogs rådsslutsatser på bas av rapporten.</w:t>
      </w:r>
    </w:p>
    <w:p w:rsidR="009414AF" w:rsidRPr="00AA3195" w:rsidRDefault="009414AF" w:rsidP="009414AF">
      <w:pPr>
        <w:pStyle w:val="RKnormal"/>
      </w:pPr>
    </w:p>
    <w:p w:rsidR="009414AF" w:rsidRPr="00AA3195" w:rsidRDefault="009414AF" w:rsidP="009414AF">
      <w:pPr>
        <w:pStyle w:val="RKnormal"/>
      </w:pPr>
      <w:r w:rsidRPr="00AA3195">
        <w:t xml:space="preserve">I augusti </w:t>
      </w:r>
      <w:r w:rsidR="00B71C5E" w:rsidRPr="00AA3195">
        <w:t xml:space="preserve">2007 </w:t>
      </w:r>
      <w:r w:rsidRPr="00AA3195">
        <w:t xml:space="preserve">lade kommissionen fram förslag till ändringar av systemet i linje med slutsatserna i rapporten. Förslagen innebär  att de nya medlemsstaterna ska ha samma infasningsperiod om tre år för verksamhetskraven (skötselkraven gäller redan) som de gamla medlemsstaterna haft. Vidare föreslås att den nuvarande förfogandeperioden för skiften på 10 månader ska begränsas till att brukaren förfogar över skiftena vid ett datum som fastställs av varje medlemsstat och som får utgöra sista datum för ändring i ansökan. Kommissionen föreslår även att medlemsstaterna ska kunna besluta om att inte tillämpa avdrag som är 50 euro eller lägre under ett kalenderår samt att inte göra avdrag för små tvärvillkorsavvikelser, förutom vid avvikelser som innebär en direkt risk för djur- eller människohälsa. I båda fall ska dock uppföljning ske om avvikelsen inte åtgärdas direkt.                                                          </w:t>
      </w:r>
      <w:r w:rsidRPr="00AA3195">
        <w:rPr>
          <w:i/>
        </w:rPr>
        <w:t xml:space="preserve">  </w:t>
      </w:r>
    </w:p>
    <w:p w:rsidR="009414AF" w:rsidRPr="00AA3195" w:rsidRDefault="009414AF" w:rsidP="009414AF">
      <w:pPr>
        <w:pStyle w:val="RKnormal"/>
        <w:rPr>
          <w:i/>
          <w:iCs/>
        </w:rPr>
      </w:pPr>
    </w:p>
    <w:p w:rsidR="009414AF" w:rsidRPr="00AA3195" w:rsidRDefault="009414AF" w:rsidP="009414AF">
      <w:pPr>
        <w:pStyle w:val="RKnormal"/>
        <w:rPr>
          <w:i/>
          <w:iCs/>
        </w:rPr>
      </w:pPr>
      <w:r w:rsidRPr="00AA3195">
        <w:rPr>
          <w:i/>
          <w:iCs/>
        </w:rPr>
        <w:t>Förslag till svensk ståndpunkt</w:t>
      </w:r>
    </w:p>
    <w:p w:rsidR="009414AF" w:rsidRPr="00AA3195" w:rsidRDefault="009414AF" w:rsidP="009414AF">
      <w:pPr>
        <w:pStyle w:val="RKnormal"/>
      </w:pPr>
      <w:r w:rsidRPr="00AA3195">
        <w:rPr>
          <w:iCs/>
        </w:rPr>
        <w:t xml:space="preserve">Sverige är positiv till förenklingsförslagen. Dock anser Sverige att </w:t>
      </w:r>
      <w:r w:rsidRPr="00AA3195">
        <w:t xml:space="preserve">gränsen för avdrag bör höjas till 100 euro eftersom detta ger en större förenkling ur administrativ synvinkel. Dessutom sammanfaller 100 euro med andra gränser gällande stödsystemen. </w:t>
      </w:r>
    </w:p>
    <w:p w:rsidR="009414AF" w:rsidRPr="00AA3195" w:rsidRDefault="009414AF" w:rsidP="009414AF">
      <w:pPr>
        <w:pStyle w:val="RKnormal"/>
      </w:pPr>
    </w:p>
    <w:p w:rsidR="009414AF" w:rsidRPr="00AA3195" w:rsidRDefault="009414AF" w:rsidP="009414AF">
      <w:pPr>
        <w:pStyle w:val="RKnormal"/>
        <w:rPr>
          <w:i/>
        </w:rPr>
      </w:pPr>
      <w:r w:rsidRPr="00AA3195">
        <w:rPr>
          <w:i/>
        </w:rPr>
        <w:t>EU-nämnden</w:t>
      </w:r>
    </w:p>
    <w:p w:rsidR="009414AF" w:rsidRPr="00AA3195" w:rsidRDefault="009414AF" w:rsidP="009414AF">
      <w:pPr>
        <w:pStyle w:val="RKnormal"/>
      </w:pPr>
      <w:r w:rsidRPr="00AA3195">
        <w:t>Frågan var senast föremål för samråd med EU-nämnden inför jordbruks- och fiskerådet den 26-27 september 2007.</w:t>
      </w:r>
    </w:p>
    <w:p w:rsidR="009414AF" w:rsidRPr="00AA3195" w:rsidRDefault="009414AF" w:rsidP="009414AF">
      <w:pPr>
        <w:pStyle w:val="RKnormal"/>
      </w:pPr>
    </w:p>
    <w:p w:rsidR="0072596E" w:rsidRPr="00AA3195" w:rsidRDefault="0072596E" w:rsidP="00891205">
      <w:pPr>
        <w:pStyle w:val="RKnormal"/>
        <w:rPr>
          <w:iCs/>
        </w:rPr>
      </w:pPr>
    </w:p>
    <w:p w:rsidR="0072596E" w:rsidRPr="00AA3195" w:rsidRDefault="0072596E" w:rsidP="0072596E">
      <w:pPr>
        <w:pStyle w:val="RKrubrik"/>
      </w:pPr>
      <w:r w:rsidRPr="00AA3195">
        <w:t xml:space="preserve">9. </w:t>
      </w:r>
      <w:r w:rsidR="00A90C84" w:rsidRPr="00AA3195">
        <w:t>Förslag till Europaparlamentets och rådets förordning om definitioner, beskrivning, presentation och märkning av spritdrycker</w:t>
      </w:r>
    </w:p>
    <w:p w:rsidR="0072596E" w:rsidRPr="00AA3195" w:rsidRDefault="0072596E" w:rsidP="0072596E">
      <w:pPr>
        <w:pStyle w:val="RKnormal"/>
      </w:pPr>
    </w:p>
    <w:p w:rsidR="00E565BC" w:rsidRPr="00AA3195" w:rsidRDefault="00E565BC" w:rsidP="00E565BC">
      <w:pPr>
        <w:pStyle w:val="RKnormal"/>
        <w:rPr>
          <w:b/>
          <w:bCs/>
          <w:i/>
          <w:iCs/>
        </w:rPr>
      </w:pPr>
      <w:r w:rsidRPr="00AA3195">
        <w:rPr>
          <w:b/>
          <w:bCs/>
          <w:i/>
          <w:iCs/>
        </w:rPr>
        <w:t>-</w:t>
      </w:r>
      <w:r w:rsidR="00C35DA4" w:rsidRPr="00AA3195">
        <w:rPr>
          <w:b/>
          <w:bCs/>
          <w:i/>
          <w:iCs/>
        </w:rPr>
        <w:t xml:space="preserve"> </w:t>
      </w:r>
      <w:r w:rsidRPr="00AA3195">
        <w:rPr>
          <w:b/>
          <w:bCs/>
          <w:i/>
          <w:iCs/>
        </w:rPr>
        <w:t>Antagand</w:t>
      </w:r>
      <w:r w:rsidR="00C35DA4" w:rsidRPr="00AA3195">
        <w:rPr>
          <w:b/>
          <w:bCs/>
          <w:i/>
          <w:iCs/>
        </w:rPr>
        <w:t>e</w:t>
      </w:r>
      <w:r w:rsidRPr="00AA3195">
        <w:rPr>
          <w:b/>
          <w:bCs/>
          <w:i/>
          <w:iCs/>
        </w:rPr>
        <w:t>/Offentlig debatt</w:t>
      </w:r>
    </w:p>
    <w:p w:rsidR="00E565BC" w:rsidRPr="00AA3195" w:rsidRDefault="00E565BC" w:rsidP="00E565BC">
      <w:pPr>
        <w:pStyle w:val="RKnormal"/>
        <w:rPr>
          <w:i/>
          <w:iCs/>
        </w:rPr>
      </w:pPr>
    </w:p>
    <w:p w:rsidR="00E565BC" w:rsidRPr="00AA3195" w:rsidRDefault="00E565BC" w:rsidP="00E565BC">
      <w:pPr>
        <w:pStyle w:val="RKnormal"/>
        <w:rPr>
          <w:i/>
          <w:iCs/>
        </w:rPr>
      </w:pPr>
      <w:r w:rsidRPr="00AA3195">
        <w:rPr>
          <w:i/>
          <w:iCs/>
        </w:rPr>
        <w:t>Dokumentbeteckning</w:t>
      </w:r>
    </w:p>
    <w:p w:rsidR="00E565BC" w:rsidRPr="00AA3195" w:rsidRDefault="00A90C84" w:rsidP="00E565BC">
      <w:pPr>
        <w:pStyle w:val="RKnormal"/>
      </w:pPr>
      <w:r w:rsidRPr="00AA3195">
        <w:t>-</w:t>
      </w:r>
    </w:p>
    <w:p w:rsidR="00A90C84" w:rsidRPr="00AA3195" w:rsidRDefault="00A90C84" w:rsidP="00E565BC">
      <w:pPr>
        <w:pStyle w:val="RKnormal"/>
        <w:rPr>
          <w:i/>
          <w:iCs/>
        </w:rPr>
      </w:pPr>
    </w:p>
    <w:p w:rsidR="00E565BC" w:rsidRPr="00AA3195" w:rsidRDefault="00E565BC" w:rsidP="00E565BC">
      <w:pPr>
        <w:pStyle w:val="RKnormal"/>
        <w:rPr>
          <w:i/>
          <w:iCs/>
        </w:rPr>
      </w:pPr>
      <w:r w:rsidRPr="00AA3195">
        <w:rPr>
          <w:i/>
          <w:iCs/>
        </w:rPr>
        <w:t>Rättslig grund</w:t>
      </w:r>
    </w:p>
    <w:p w:rsidR="00E565BC" w:rsidRPr="00AA3195" w:rsidRDefault="00E565BC" w:rsidP="00E565BC">
      <w:pPr>
        <w:pStyle w:val="RKnormal"/>
      </w:pPr>
      <w:r w:rsidRPr="00AA3195">
        <w:t>Artikel 95 i EG-fördraget. Beslut fattas av rådet med kvalificerad majoritet efter medbeslutandeförfarande med Europaparlamentet enligt artikel 251.</w:t>
      </w:r>
    </w:p>
    <w:p w:rsidR="00E565BC" w:rsidRPr="00AA3195" w:rsidRDefault="00E565BC" w:rsidP="00E565BC">
      <w:pPr>
        <w:pStyle w:val="RKnormal"/>
      </w:pPr>
    </w:p>
    <w:p w:rsidR="00E565BC" w:rsidRPr="00AA3195" w:rsidRDefault="00E565BC" w:rsidP="00E565BC">
      <w:pPr>
        <w:pStyle w:val="RKnormal"/>
        <w:rPr>
          <w:i/>
          <w:iCs/>
        </w:rPr>
      </w:pPr>
      <w:r w:rsidRPr="00AA3195">
        <w:rPr>
          <w:i/>
          <w:iCs/>
        </w:rPr>
        <w:t>Bakgrund</w:t>
      </w:r>
    </w:p>
    <w:p w:rsidR="00E565BC" w:rsidRPr="00AA3195" w:rsidRDefault="00E565BC" w:rsidP="00E565BC">
      <w:pPr>
        <w:pStyle w:val="RKnormal"/>
      </w:pPr>
      <w:r w:rsidRPr="00AA3195">
        <w:t xml:space="preserve">Kommissionen antog den 15 december 2005 ett förslag till en ny förordning om spritdrycker </w:t>
      </w:r>
      <w:r w:rsidR="00864D19" w:rsidRPr="00AA3195">
        <w:t xml:space="preserve">med </w:t>
      </w:r>
      <w:r w:rsidRPr="00AA3195">
        <w:t>syft</w:t>
      </w:r>
      <w:r w:rsidR="00864D19" w:rsidRPr="00AA3195">
        <w:t>e</w:t>
      </w:r>
      <w:r w:rsidRPr="00AA3195">
        <w:t xml:space="preserve"> att förenkla och göra det lättare att tillämpa regelverket om spritdrycker. Den nu gällande förordningen är från 1989. Förslaget till ny förordning är anpassat till nya tekniska krav samt WTO-regler som tillkommit efter att nu gällande regelverk beslutades.  Förslaget har varit uppe på ministerrådet i oktober 2006 och i april 2007. Den text som nu ska antas på ministerrådet har accepterats av E</w:t>
      </w:r>
      <w:r w:rsidR="009C7894" w:rsidRPr="00AA3195">
        <w:t>uropaparlamentet</w:t>
      </w:r>
      <w:r w:rsidRPr="00AA3195">
        <w:t xml:space="preserve"> och även genomgått notifieringsprocessen inom WTO.</w:t>
      </w:r>
    </w:p>
    <w:p w:rsidR="00E565BC" w:rsidRPr="00AA3195" w:rsidRDefault="00E565BC" w:rsidP="00E565BC">
      <w:pPr>
        <w:pStyle w:val="RKnormal"/>
      </w:pPr>
    </w:p>
    <w:p w:rsidR="00B658E7" w:rsidRPr="00AA3195" w:rsidRDefault="00B658E7" w:rsidP="00B658E7">
      <w:pPr>
        <w:pStyle w:val="RKnormal"/>
      </w:pPr>
      <w:r w:rsidRPr="00AA3195">
        <w:t>För mer information, se</w:t>
      </w:r>
      <w:r w:rsidR="004D2E21" w:rsidRPr="00AA3195">
        <w:t xml:space="preserve"> bilaga 3</w:t>
      </w:r>
      <w:r w:rsidRPr="00AA3195">
        <w:t>.</w:t>
      </w:r>
    </w:p>
    <w:p w:rsidR="00B658E7" w:rsidRPr="00AA3195" w:rsidRDefault="00B658E7" w:rsidP="00E565BC">
      <w:pPr>
        <w:pStyle w:val="RKnormal"/>
      </w:pPr>
    </w:p>
    <w:p w:rsidR="00E565BC" w:rsidRPr="00AA3195" w:rsidRDefault="00E565BC" w:rsidP="00E565BC">
      <w:pPr>
        <w:pStyle w:val="RKnormal"/>
        <w:rPr>
          <w:i/>
          <w:iCs/>
        </w:rPr>
      </w:pPr>
      <w:r w:rsidRPr="00AA3195">
        <w:rPr>
          <w:i/>
          <w:iCs/>
        </w:rPr>
        <w:t>Förslag till svensk ståndpunkt</w:t>
      </w:r>
    </w:p>
    <w:p w:rsidR="00F77E36" w:rsidRPr="00AA3195" w:rsidRDefault="00E565BC" w:rsidP="00F77E36">
      <w:pPr>
        <w:pStyle w:val="RKnormal"/>
      </w:pPr>
      <w:r w:rsidRPr="00AA3195">
        <w:t xml:space="preserve">Sverige välkomnar den överenskommelse i första läsningen som har uppnåtts, men ett översättningsfel  i den svenska versionen måste korrigeras innan förordningen antas. Sverige anser att det är positivt att reglerna uppdateras i takt med den tekniska utvecklingen så att tillämpningen underlättas.  Det </w:t>
      </w:r>
      <w:r w:rsidR="00AE11D5" w:rsidRPr="00AA3195">
        <w:t xml:space="preserve">har varit </w:t>
      </w:r>
      <w:r w:rsidRPr="00AA3195">
        <w:t xml:space="preserve">ytterst angeläget för Sverige, både ur ekonomisk och politisk synvinkel, att vissa begrepp och definitioner t. ex. av vodka förbättras, så att den återspeglar svenska traditioner beträffande råvaror och skyddar vodkans anseende internationellt. Sverige har för avsikt att rösta för ordförandeskapets förslag till ny förordning om spritdrycker, under förutsättning att </w:t>
      </w:r>
      <w:r w:rsidR="00D30419" w:rsidRPr="00AA3195">
        <w:t xml:space="preserve">det ovan angivna </w:t>
      </w:r>
      <w:r w:rsidRPr="00AA3195">
        <w:t>översättningsfelet rättas till, men avser att lämna en röstdeklar</w:t>
      </w:r>
      <w:r w:rsidRPr="00AA3195">
        <w:t>a</w:t>
      </w:r>
      <w:r w:rsidRPr="00AA3195">
        <w:t>tion angående märkningen av vodka och smaksatt vodka.</w:t>
      </w:r>
      <w:r w:rsidRPr="00AA3195">
        <w:rPr>
          <w:b/>
        </w:rPr>
        <w:t xml:space="preserve"> </w:t>
      </w:r>
      <w:r w:rsidR="00F77E36" w:rsidRPr="00AA3195">
        <w:t>Sverige hade helst sett att samma regler för märkning av råvarorna hade gällt för de båda kategorierna vodka respektive smaksatt vodka.</w:t>
      </w:r>
    </w:p>
    <w:p w:rsidR="00E565BC" w:rsidRPr="00AA3195" w:rsidRDefault="00E565BC" w:rsidP="00E565BC">
      <w:pPr>
        <w:pStyle w:val="RKnormal"/>
        <w:rPr>
          <w:i/>
          <w:iCs/>
        </w:rPr>
      </w:pPr>
    </w:p>
    <w:p w:rsidR="00E565BC" w:rsidRPr="00AA3195" w:rsidRDefault="00E565BC" w:rsidP="00E565BC">
      <w:pPr>
        <w:pStyle w:val="RKnormal"/>
        <w:rPr>
          <w:i/>
          <w:iCs/>
        </w:rPr>
      </w:pPr>
      <w:r w:rsidRPr="00AA3195">
        <w:rPr>
          <w:i/>
          <w:iCs/>
        </w:rPr>
        <w:t>EU-nämnden</w:t>
      </w:r>
    </w:p>
    <w:p w:rsidR="00E565BC" w:rsidRPr="00AA3195" w:rsidRDefault="00E565BC" w:rsidP="00E565BC">
      <w:pPr>
        <w:pStyle w:val="RKnormal"/>
      </w:pPr>
      <w:r w:rsidRPr="00AA3195">
        <w:t>Frågan har varit föremål för samråd i EU-nämnden inför Jordbruks-</w:t>
      </w:r>
      <w:r w:rsidR="009C7894" w:rsidRPr="00AA3195">
        <w:t xml:space="preserve"> </w:t>
      </w:r>
      <w:r w:rsidRPr="00AA3195">
        <w:t>och fiskeråden i oktober 2006 och november 2007.</w:t>
      </w:r>
    </w:p>
    <w:p w:rsidR="001807D4" w:rsidRPr="00AA3195" w:rsidRDefault="001807D4" w:rsidP="001807D4">
      <w:pPr>
        <w:pStyle w:val="RKnormal"/>
      </w:pPr>
    </w:p>
    <w:p w:rsidR="001807D4" w:rsidRPr="00AA3195" w:rsidRDefault="001807D4" w:rsidP="00891205">
      <w:pPr>
        <w:pStyle w:val="RKnormal"/>
        <w:rPr>
          <w:iCs/>
        </w:rPr>
      </w:pPr>
    </w:p>
    <w:p w:rsidR="003242B4" w:rsidRPr="00AA3195" w:rsidRDefault="0072596E" w:rsidP="003F0B54">
      <w:pPr>
        <w:pStyle w:val="RKrubrik"/>
        <w:rPr>
          <w:i/>
        </w:rPr>
      </w:pPr>
      <w:r w:rsidRPr="00AA3195">
        <w:t>10</w:t>
      </w:r>
      <w:r w:rsidR="000A5F1E" w:rsidRPr="00AA3195">
        <w:t xml:space="preserve">. </w:t>
      </w:r>
      <w:r w:rsidR="009C7894" w:rsidRPr="00AA3195">
        <w:t xml:space="preserve">(ev.) </w:t>
      </w:r>
      <w:r w:rsidR="00996848" w:rsidRPr="00AA3195">
        <w:t>Förslag till ändring av Rådets förordning om upprättande av en gemensam organisation av jordbruksmarknaderna och om särskilda bestämmelser för vissa jordbruksprodukter (Samlad marknadsordning rörande de nationella kvoterna för mjölk) (</w:t>
      </w:r>
      <w:r w:rsidR="00996848" w:rsidRPr="00AA3195">
        <w:rPr>
          <w:i/>
        </w:rPr>
        <w:t>OBS! står som nr 11 på dagordningen)</w:t>
      </w:r>
    </w:p>
    <w:p w:rsidR="00F8129C" w:rsidRPr="00AA3195" w:rsidRDefault="00CD2BD2" w:rsidP="00F8129C">
      <w:pPr>
        <w:pStyle w:val="RKnormal"/>
        <w:rPr>
          <w:b/>
          <w:i/>
        </w:rPr>
      </w:pPr>
      <w:r w:rsidRPr="00AA3195">
        <w:rPr>
          <w:b/>
          <w:i/>
        </w:rPr>
        <w:t>– Presentation från kommissionen</w:t>
      </w:r>
    </w:p>
    <w:p w:rsidR="00F8129C" w:rsidRPr="00AA3195" w:rsidRDefault="00F8129C" w:rsidP="00F8129C">
      <w:pPr>
        <w:pStyle w:val="RKnormal"/>
      </w:pPr>
    </w:p>
    <w:p w:rsidR="00CD2BD2" w:rsidRPr="00AA3195" w:rsidRDefault="00CD2BD2" w:rsidP="00CD2BD2">
      <w:pPr>
        <w:pStyle w:val="RKnormal"/>
      </w:pPr>
      <w:r w:rsidRPr="00AA3195">
        <w:rPr>
          <w:i/>
          <w:iCs/>
        </w:rPr>
        <w:t>Dokumentbeteckning</w:t>
      </w:r>
      <w:r w:rsidRPr="00AA3195">
        <w:t xml:space="preserve"> </w:t>
      </w:r>
    </w:p>
    <w:p w:rsidR="00CD2BD2" w:rsidRPr="00AA3195" w:rsidRDefault="00CD2BD2" w:rsidP="00CD2BD2">
      <w:pPr>
        <w:pStyle w:val="RKnormal"/>
      </w:pPr>
      <w:r w:rsidRPr="00AA3195">
        <w:t>-</w:t>
      </w:r>
    </w:p>
    <w:p w:rsidR="00CD2BD2" w:rsidRPr="00AA3195" w:rsidRDefault="00CD2BD2" w:rsidP="00CD2BD2">
      <w:pPr>
        <w:pStyle w:val="RKnormal"/>
      </w:pPr>
    </w:p>
    <w:p w:rsidR="00CD2BD2" w:rsidRPr="00AA3195" w:rsidRDefault="00CD2BD2" w:rsidP="00CD2BD2">
      <w:pPr>
        <w:pStyle w:val="RKnormal"/>
        <w:rPr>
          <w:i/>
          <w:iCs/>
        </w:rPr>
      </w:pPr>
      <w:r w:rsidRPr="00AA3195">
        <w:rPr>
          <w:i/>
          <w:iCs/>
        </w:rPr>
        <w:t>Rättslig grund</w:t>
      </w:r>
    </w:p>
    <w:p w:rsidR="00CD2BD2" w:rsidRPr="00AA3195" w:rsidRDefault="00CD2BD2" w:rsidP="00CD2BD2">
      <w:pPr>
        <w:pStyle w:val="RKnormal"/>
        <w:rPr>
          <w:iCs/>
        </w:rPr>
      </w:pPr>
      <w:r w:rsidRPr="00AA3195">
        <w:rPr>
          <w:iCs/>
        </w:rPr>
        <w:t xml:space="preserve">Artikel 36 och 37 i </w:t>
      </w:r>
      <w:r w:rsidR="00C24F2B" w:rsidRPr="00AA3195">
        <w:rPr>
          <w:iCs/>
        </w:rPr>
        <w:t>EG-f</w:t>
      </w:r>
      <w:r w:rsidRPr="00AA3195">
        <w:rPr>
          <w:iCs/>
        </w:rPr>
        <w:t xml:space="preserve">ördraget. Beslut </w:t>
      </w:r>
      <w:r w:rsidR="00C24F2B" w:rsidRPr="00AA3195">
        <w:rPr>
          <w:iCs/>
        </w:rPr>
        <w:t>fattas av</w:t>
      </w:r>
      <w:r w:rsidRPr="00AA3195">
        <w:rPr>
          <w:iCs/>
        </w:rPr>
        <w:t xml:space="preserve"> rådet med kvalificerad maj</w:t>
      </w:r>
      <w:r w:rsidR="00C24F2B" w:rsidRPr="00AA3195">
        <w:rPr>
          <w:iCs/>
        </w:rPr>
        <w:t>oritet efter att yttrande från Europap</w:t>
      </w:r>
      <w:r w:rsidRPr="00AA3195">
        <w:rPr>
          <w:iCs/>
        </w:rPr>
        <w:t>arlamentet inhämtats.</w:t>
      </w:r>
    </w:p>
    <w:p w:rsidR="00CD2BD2" w:rsidRPr="00AA3195" w:rsidRDefault="00CD2BD2" w:rsidP="00CD2BD2">
      <w:pPr>
        <w:pStyle w:val="RKnormal"/>
        <w:rPr>
          <w:i/>
          <w:iCs/>
        </w:rPr>
      </w:pPr>
    </w:p>
    <w:p w:rsidR="00CD2BD2" w:rsidRPr="00AA3195" w:rsidRDefault="00CD2BD2" w:rsidP="00CD2BD2">
      <w:pPr>
        <w:pStyle w:val="RKnormal"/>
        <w:rPr>
          <w:i/>
          <w:iCs/>
        </w:rPr>
      </w:pPr>
      <w:r w:rsidRPr="00AA3195">
        <w:rPr>
          <w:i/>
          <w:iCs/>
        </w:rPr>
        <w:t>Bakgrund</w:t>
      </w:r>
    </w:p>
    <w:p w:rsidR="00CD2BD2" w:rsidRPr="00AA3195" w:rsidRDefault="002A2A29" w:rsidP="00CD2BD2">
      <w:pPr>
        <w:pStyle w:val="RKnormal"/>
        <w:rPr>
          <w:iCs/>
        </w:rPr>
      </w:pPr>
      <w:r w:rsidRPr="00AA3195">
        <w:rPr>
          <w:iCs/>
        </w:rPr>
        <w:t xml:space="preserve">I samband med jordbruks- och fiskerådsmötet i september reste flera jordbruksministrar </w:t>
      </w:r>
      <w:r w:rsidR="004C6CD9" w:rsidRPr="00AA3195">
        <w:rPr>
          <w:iCs/>
        </w:rPr>
        <w:t xml:space="preserve">krav på </w:t>
      </w:r>
      <w:r w:rsidR="006010B3" w:rsidRPr="00AA3195">
        <w:rPr>
          <w:iCs/>
        </w:rPr>
        <w:t>ökade</w:t>
      </w:r>
      <w:r w:rsidR="004C6CD9" w:rsidRPr="00AA3195">
        <w:rPr>
          <w:iCs/>
        </w:rPr>
        <w:t xml:space="preserve"> nationella mjölkkvoter</w:t>
      </w:r>
      <w:r w:rsidRPr="00AA3195">
        <w:rPr>
          <w:iCs/>
        </w:rPr>
        <w:t xml:space="preserve">. Som svar </w:t>
      </w:r>
      <w:r w:rsidR="004C6CD9" w:rsidRPr="00AA3195">
        <w:rPr>
          <w:iCs/>
        </w:rPr>
        <w:t>väntas k</w:t>
      </w:r>
      <w:r w:rsidR="00CD2BD2" w:rsidRPr="00AA3195">
        <w:rPr>
          <w:iCs/>
        </w:rPr>
        <w:t xml:space="preserve">ommissionen </w:t>
      </w:r>
      <w:r w:rsidRPr="00AA3195">
        <w:rPr>
          <w:iCs/>
        </w:rPr>
        <w:t xml:space="preserve">nu </w:t>
      </w:r>
      <w:r w:rsidR="00CD2BD2" w:rsidRPr="00AA3195">
        <w:rPr>
          <w:iCs/>
        </w:rPr>
        <w:t>föreslå en ytterligare höjning av mjölkkvot</w:t>
      </w:r>
      <w:r w:rsidR="006010B3" w:rsidRPr="00AA3195">
        <w:rPr>
          <w:iCs/>
        </w:rPr>
        <w:t>erna</w:t>
      </w:r>
      <w:r w:rsidR="00CD2BD2" w:rsidRPr="00AA3195">
        <w:rPr>
          <w:iCs/>
        </w:rPr>
        <w:t xml:space="preserve"> med 2 procent från och med den 1 apr</w:t>
      </w:r>
      <w:r w:rsidR="004C6CD9" w:rsidRPr="00AA3195">
        <w:rPr>
          <w:iCs/>
        </w:rPr>
        <w:t xml:space="preserve">il 2008. </w:t>
      </w:r>
      <w:r w:rsidR="00CD2BD2" w:rsidRPr="00AA3195">
        <w:rPr>
          <w:iCs/>
        </w:rPr>
        <w:t>Sedan tidigare finns ett beslut från 2003 om en höjning av mjölkkvoterna med 0,5 procent per år under tre år. Den sista höjningen inom ramen för det gamla beslutet tas kvotåret 2008/</w:t>
      </w:r>
      <w:r w:rsidR="00CE59ED" w:rsidRPr="00AA3195">
        <w:rPr>
          <w:iCs/>
        </w:rPr>
        <w:t>20</w:t>
      </w:r>
      <w:r w:rsidR="00CD2BD2" w:rsidRPr="00AA3195">
        <w:rPr>
          <w:iCs/>
        </w:rPr>
        <w:t xml:space="preserve">09. </w:t>
      </w:r>
    </w:p>
    <w:p w:rsidR="00CD2BD2" w:rsidRPr="00AA3195" w:rsidRDefault="00CD2BD2" w:rsidP="00CD2BD2">
      <w:pPr>
        <w:pStyle w:val="RKnormal"/>
        <w:rPr>
          <w:iCs/>
        </w:rPr>
      </w:pPr>
    </w:p>
    <w:p w:rsidR="00CD2BD2" w:rsidRPr="00AA3195" w:rsidRDefault="00CD2BD2" w:rsidP="00CD2BD2">
      <w:pPr>
        <w:pStyle w:val="RKnormal"/>
        <w:rPr>
          <w:iCs/>
        </w:rPr>
      </w:pPr>
      <w:r w:rsidRPr="00AA3195">
        <w:rPr>
          <w:iCs/>
        </w:rPr>
        <w:t>Den eventuellt föreslagna kvothöjningen tillkommer utöver tidigare beslutade höjningar, vilket skulle innebära att kvoterna den 1 april nästa år höjs med sammanlagt 2,5 procent. För Sverige innebär förslaget en mjölkkvot på totalt nästan 3 420 miljoner kg från och med den 1</w:t>
      </w:r>
      <w:r w:rsidR="002C22D8" w:rsidRPr="00AA3195">
        <w:rPr>
          <w:iCs/>
        </w:rPr>
        <w:t xml:space="preserve"> april 20</w:t>
      </w:r>
      <w:r w:rsidRPr="00AA3195">
        <w:rPr>
          <w:iCs/>
        </w:rPr>
        <w:t>08.</w:t>
      </w:r>
    </w:p>
    <w:p w:rsidR="00CD2BD2" w:rsidRPr="00AA3195" w:rsidRDefault="00CD2BD2" w:rsidP="00CD2BD2">
      <w:pPr>
        <w:pStyle w:val="RKnormal"/>
        <w:rPr>
          <w:iCs/>
        </w:rPr>
      </w:pPr>
    </w:p>
    <w:p w:rsidR="00CD2BD2" w:rsidRPr="00AA3195" w:rsidRDefault="00613BE4" w:rsidP="00CD2BD2">
      <w:pPr>
        <w:pStyle w:val="RKnormal"/>
        <w:rPr>
          <w:iCs/>
        </w:rPr>
      </w:pPr>
      <w:r w:rsidRPr="00AA3195">
        <w:rPr>
          <w:iCs/>
        </w:rPr>
        <w:t xml:space="preserve">Inom ramen för den kommande översynen av jordbrukspolitiken, den så kallade </w:t>
      </w:r>
      <w:r w:rsidR="00CD2BD2" w:rsidRPr="00AA3195">
        <w:rPr>
          <w:iCs/>
        </w:rPr>
        <w:t>hälsokontrollen</w:t>
      </w:r>
      <w:r w:rsidRPr="00AA3195">
        <w:rPr>
          <w:iCs/>
        </w:rPr>
        <w:t xml:space="preserve">, </w:t>
      </w:r>
      <w:r w:rsidR="00CD2BD2" w:rsidRPr="00AA3195">
        <w:rPr>
          <w:iCs/>
        </w:rPr>
        <w:t>kommer ett framtida avvecklande av mjölkkvoterna att diskuteras.</w:t>
      </w:r>
    </w:p>
    <w:p w:rsidR="00CD2BD2" w:rsidRPr="00AA3195" w:rsidRDefault="00CD2BD2" w:rsidP="00CD2BD2">
      <w:pPr>
        <w:pStyle w:val="RKnormal"/>
        <w:rPr>
          <w:i/>
          <w:iCs/>
        </w:rPr>
      </w:pPr>
    </w:p>
    <w:p w:rsidR="00CD2BD2" w:rsidRPr="00AA3195" w:rsidRDefault="00CD2BD2" w:rsidP="00CD2BD2">
      <w:pPr>
        <w:pStyle w:val="RKnormal"/>
        <w:rPr>
          <w:iCs/>
        </w:rPr>
      </w:pPr>
      <w:r w:rsidRPr="00AA3195">
        <w:rPr>
          <w:i/>
          <w:iCs/>
        </w:rPr>
        <w:t>Förslag till svensk ståndpunkt</w:t>
      </w:r>
    </w:p>
    <w:p w:rsidR="00CD2BD2" w:rsidRPr="00AA3195" w:rsidRDefault="006231A4" w:rsidP="00CD2BD2">
      <w:pPr>
        <w:pStyle w:val="RKnormal"/>
        <w:rPr>
          <w:iCs/>
        </w:rPr>
      </w:pPr>
      <w:r w:rsidRPr="00AA3195">
        <w:rPr>
          <w:iCs/>
        </w:rPr>
        <w:t>Sverige stödjer k</w:t>
      </w:r>
      <w:r w:rsidR="00CD2BD2" w:rsidRPr="00AA3195">
        <w:rPr>
          <w:iCs/>
        </w:rPr>
        <w:t>ommissionens förslag om att öka mjölkkvoterna i samtliga medlemsländer med 2,5 procent den 1</w:t>
      </w:r>
      <w:r w:rsidRPr="00AA3195">
        <w:rPr>
          <w:iCs/>
        </w:rPr>
        <w:t xml:space="preserve"> april</w:t>
      </w:r>
      <w:r w:rsidR="00CD2BD2" w:rsidRPr="00AA3195">
        <w:rPr>
          <w:iCs/>
        </w:rPr>
        <w:t xml:space="preserve"> 2008.</w:t>
      </w:r>
      <w:r w:rsidR="00D16E6A" w:rsidRPr="00AA3195">
        <w:rPr>
          <w:iCs/>
        </w:rPr>
        <w:t xml:space="preserve"> Det ligger i linje med Sveriges ambitioner att avveckla mjölkkvotsystemet senast 2015.</w:t>
      </w:r>
    </w:p>
    <w:p w:rsidR="00F8129C" w:rsidRPr="00AA3195" w:rsidRDefault="00F8129C" w:rsidP="00F8129C">
      <w:pPr>
        <w:pStyle w:val="RKnormal"/>
        <w:rPr>
          <w:iCs/>
        </w:rPr>
      </w:pPr>
    </w:p>
    <w:p w:rsidR="00F8129C" w:rsidRPr="00AA3195" w:rsidRDefault="00F8129C" w:rsidP="00F8129C">
      <w:pPr>
        <w:pStyle w:val="RKnormal"/>
        <w:jc w:val="both"/>
        <w:rPr>
          <w:i/>
          <w:iCs/>
        </w:rPr>
      </w:pPr>
      <w:r w:rsidRPr="00AA3195">
        <w:rPr>
          <w:i/>
          <w:iCs/>
        </w:rPr>
        <w:t>EU-nämnden</w:t>
      </w:r>
    </w:p>
    <w:p w:rsidR="007E3857" w:rsidRPr="00AA3195" w:rsidRDefault="00083403" w:rsidP="007E3857">
      <w:pPr>
        <w:pStyle w:val="RKnormal"/>
      </w:pPr>
      <w:r w:rsidRPr="00AA3195">
        <w:t xml:space="preserve">Frågan har inte </w:t>
      </w:r>
      <w:r w:rsidR="009C7894" w:rsidRPr="00AA3195">
        <w:t xml:space="preserve">tidigare </w:t>
      </w:r>
      <w:r w:rsidRPr="00AA3195">
        <w:t>varit föremål fö</w:t>
      </w:r>
      <w:r w:rsidR="009C7894" w:rsidRPr="00AA3195">
        <w:t>r samråd med EU-nämnden</w:t>
      </w:r>
      <w:r w:rsidRPr="00AA3195">
        <w:t>.</w:t>
      </w:r>
    </w:p>
    <w:p w:rsidR="009C7894" w:rsidRPr="00AA3195" w:rsidRDefault="009C7894" w:rsidP="007E3857">
      <w:pPr>
        <w:pStyle w:val="RKrubrik"/>
      </w:pPr>
    </w:p>
    <w:p w:rsidR="007E3857" w:rsidRPr="00AA3195" w:rsidRDefault="007E3857" w:rsidP="007E3857">
      <w:pPr>
        <w:pStyle w:val="RKrubrik"/>
      </w:pPr>
      <w:r w:rsidRPr="00AA3195">
        <w:t>1</w:t>
      </w:r>
      <w:r w:rsidR="00F8129C" w:rsidRPr="00AA3195">
        <w:t>1</w:t>
      </w:r>
      <w:r w:rsidRPr="00AA3195">
        <w:t xml:space="preserve">. Övriga frågor </w:t>
      </w:r>
      <w:r w:rsidRPr="00AA3195">
        <w:rPr>
          <w:i/>
        </w:rPr>
        <w:t>(</w:t>
      </w:r>
      <w:r w:rsidR="00E00479" w:rsidRPr="00AA3195">
        <w:rPr>
          <w:i/>
        </w:rPr>
        <w:t xml:space="preserve">OBS! </w:t>
      </w:r>
      <w:r w:rsidRPr="00AA3195">
        <w:rPr>
          <w:i/>
        </w:rPr>
        <w:t>står som nr 12 på dagordningen)</w:t>
      </w:r>
    </w:p>
    <w:p w:rsidR="007E3857" w:rsidRPr="00AA3195" w:rsidRDefault="007E3857" w:rsidP="007E3857">
      <w:pPr>
        <w:pStyle w:val="RKnormal"/>
      </w:pPr>
    </w:p>
    <w:p w:rsidR="003242B4" w:rsidRPr="00AA3195" w:rsidRDefault="003F0B54">
      <w:pPr>
        <w:pStyle w:val="RKrubrik"/>
      </w:pPr>
      <w:r w:rsidRPr="00AA3195">
        <w:t>a</w:t>
      </w:r>
      <w:r w:rsidR="004C7354" w:rsidRPr="00AA3195">
        <w:t>)</w:t>
      </w:r>
      <w:r w:rsidR="003242B4" w:rsidRPr="00AA3195">
        <w:t xml:space="preserve"> </w:t>
      </w:r>
      <w:r w:rsidR="009C7894" w:rsidRPr="00AA3195">
        <w:t>Förslag till Europaparlamentets och rådets förordning om inrättandet av ett gemenskapsförfarande för att fastställa gränsvärden för högsta tillåtna restmängder av farmakologiskt verksamma ämnen i livsmedel med animalisk ursprung och om upphävande av förordning (EEG) nr 2377/90</w:t>
      </w:r>
    </w:p>
    <w:p w:rsidR="003242B4" w:rsidRPr="00AA3195" w:rsidRDefault="004C7354">
      <w:pPr>
        <w:pStyle w:val="RKnormal"/>
        <w:rPr>
          <w:b/>
          <w:bCs/>
          <w:i/>
          <w:iCs/>
        </w:rPr>
      </w:pPr>
      <w:r w:rsidRPr="00AA3195">
        <w:rPr>
          <w:b/>
          <w:bCs/>
          <w:i/>
          <w:iCs/>
        </w:rPr>
        <w:t xml:space="preserve">- </w:t>
      </w:r>
      <w:r w:rsidR="006C2505" w:rsidRPr="00AA3195">
        <w:rPr>
          <w:b/>
          <w:bCs/>
          <w:i/>
          <w:iCs/>
        </w:rPr>
        <w:t>Lägesrapport</w:t>
      </w:r>
      <w:r w:rsidRPr="00AA3195">
        <w:rPr>
          <w:b/>
          <w:bCs/>
          <w:i/>
          <w:iCs/>
        </w:rPr>
        <w:t xml:space="preserve"> </w:t>
      </w:r>
    </w:p>
    <w:p w:rsidR="003242B4" w:rsidRPr="00AA3195" w:rsidRDefault="003242B4">
      <w:pPr>
        <w:pStyle w:val="RKnormal"/>
        <w:rPr>
          <w:b/>
          <w:bCs/>
          <w:i/>
          <w:iCs/>
        </w:rPr>
      </w:pPr>
    </w:p>
    <w:p w:rsidR="002A2C24" w:rsidRPr="00AA3195" w:rsidRDefault="002A2C24" w:rsidP="002A2C24">
      <w:pPr>
        <w:pStyle w:val="RKnormal"/>
        <w:rPr>
          <w:i/>
          <w:iCs/>
        </w:rPr>
      </w:pPr>
      <w:r w:rsidRPr="00AA3195">
        <w:rPr>
          <w:i/>
          <w:iCs/>
        </w:rPr>
        <w:t>Dokumentbeteckning</w:t>
      </w:r>
    </w:p>
    <w:p w:rsidR="002A2C24" w:rsidRPr="00AA3195" w:rsidRDefault="002A2C24" w:rsidP="002A2C24">
      <w:pPr>
        <w:pStyle w:val="RKnormal"/>
        <w:rPr>
          <w:i/>
          <w:iCs/>
        </w:rPr>
      </w:pPr>
      <w:r w:rsidRPr="00AA3195">
        <w:rPr>
          <w:i/>
          <w:iCs/>
        </w:rPr>
        <w:t>-</w:t>
      </w:r>
    </w:p>
    <w:p w:rsidR="002A2C24" w:rsidRPr="00AA3195" w:rsidRDefault="002A2C24" w:rsidP="002A2C24">
      <w:pPr>
        <w:pStyle w:val="RKnormal"/>
        <w:rPr>
          <w:i/>
          <w:iCs/>
        </w:rPr>
      </w:pPr>
    </w:p>
    <w:p w:rsidR="002A2C24" w:rsidRPr="00AA3195" w:rsidRDefault="002A2C24" w:rsidP="002A2C24">
      <w:pPr>
        <w:pStyle w:val="RKnormal"/>
        <w:rPr>
          <w:i/>
          <w:iCs/>
        </w:rPr>
      </w:pPr>
      <w:r w:rsidRPr="00AA3195">
        <w:rPr>
          <w:i/>
          <w:iCs/>
        </w:rPr>
        <w:t>Rättslig grund</w:t>
      </w:r>
    </w:p>
    <w:p w:rsidR="002A2C24" w:rsidRPr="00AA3195" w:rsidRDefault="002A2C24" w:rsidP="002A2C24">
      <w:pPr>
        <w:pStyle w:val="RKnormal"/>
        <w:rPr>
          <w:i/>
          <w:iCs/>
        </w:rPr>
      </w:pPr>
      <w:r w:rsidRPr="00AA3195">
        <w:rPr>
          <w:i/>
          <w:iCs/>
        </w:rPr>
        <w:t>-</w:t>
      </w:r>
    </w:p>
    <w:p w:rsidR="002A2C24" w:rsidRPr="00AA3195" w:rsidRDefault="002A2C24" w:rsidP="002A2C24">
      <w:pPr>
        <w:pStyle w:val="RKnormal"/>
        <w:rPr>
          <w:i/>
          <w:iCs/>
        </w:rPr>
      </w:pPr>
    </w:p>
    <w:p w:rsidR="002A2C24" w:rsidRPr="00AA3195" w:rsidRDefault="002A2C24" w:rsidP="002A2C24">
      <w:pPr>
        <w:pStyle w:val="RKnormal"/>
        <w:rPr>
          <w:i/>
          <w:iCs/>
        </w:rPr>
      </w:pPr>
      <w:r w:rsidRPr="00AA3195">
        <w:rPr>
          <w:i/>
          <w:iCs/>
        </w:rPr>
        <w:t>Bakgrund</w:t>
      </w:r>
    </w:p>
    <w:p w:rsidR="002A2C24" w:rsidRPr="00AA3195" w:rsidRDefault="002A2C24" w:rsidP="002A2C24">
      <w:pPr>
        <w:pStyle w:val="RKnormal"/>
        <w:rPr>
          <w:iCs/>
        </w:rPr>
      </w:pPr>
      <w:r w:rsidRPr="00AA3195">
        <w:rPr>
          <w:iCs/>
        </w:rPr>
        <w:t>Tillämpningen av nuvarande lagstiftning om fastställande av gränsvärden för läkemedel</w:t>
      </w:r>
      <w:r w:rsidRPr="00AA3195">
        <w:rPr>
          <w:iCs/>
        </w:rPr>
        <w:t>s</w:t>
      </w:r>
      <w:r w:rsidRPr="00AA3195">
        <w:rPr>
          <w:iCs/>
        </w:rPr>
        <w:t>rester i livsmedel har lett till vissa problem. Bl.a. har de höga kraven för godkännande av läkemedel för livsmedelsproducerande djur lett till att tillgången till sådana läkemedel har minskat. Kommissi</w:t>
      </w:r>
      <w:r w:rsidRPr="00AA3195">
        <w:rPr>
          <w:iCs/>
        </w:rPr>
        <w:t>o</w:t>
      </w:r>
      <w:r w:rsidRPr="00AA3195">
        <w:rPr>
          <w:iCs/>
        </w:rPr>
        <w:t>nens förslag till ny förordning syftar till att komma till rätta med dessa problem samtidigt som konsumentskyddet säkerställs. En nyhet är att föror</w:t>
      </w:r>
      <w:r w:rsidRPr="00AA3195">
        <w:rPr>
          <w:iCs/>
        </w:rPr>
        <w:t>d</w:t>
      </w:r>
      <w:r w:rsidRPr="00AA3195">
        <w:rPr>
          <w:iCs/>
        </w:rPr>
        <w:t>ningen föreslås omfatta regler för harmonisering av åtgärderna vid fynd av förbjudna substanser i livsmedel. En annan nyhet är att föror</w:t>
      </w:r>
      <w:r w:rsidRPr="00AA3195">
        <w:rPr>
          <w:iCs/>
        </w:rPr>
        <w:t>d</w:t>
      </w:r>
      <w:r w:rsidRPr="00AA3195">
        <w:rPr>
          <w:iCs/>
        </w:rPr>
        <w:t>ningen även ska tillämpas på farmakologiskt aktiva su</w:t>
      </w:r>
      <w:r w:rsidRPr="00AA3195">
        <w:rPr>
          <w:iCs/>
        </w:rPr>
        <w:t>b</w:t>
      </w:r>
      <w:r w:rsidRPr="00AA3195">
        <w:rPr>
          <w:iCs/>
        </w:rPr>
        <w:t xml:space="preserve">stanser som ingår i vissa biocider. Samtliga </w:t>
      </w:r>
      <w:r w:rsidR="00924C61" w:rsidRPr="00AA3195">
        <w:rPr>
          <w:iCs/>
        </w:rPr>
        <w:t>medlemsstater</w:t>
      </w:r>
      <w:r w:rsidRPr="00AA3195">
        <w:rPr>
          <w:iCs/>
        </w:rPr>
        <w:t xml:space="preserve"> stöder i princip kommissi</w:t>
      </w:r>
      <w:r w:rsidRPr="00AA3195">
        <w:rPr>
          <w:iCs/>
        </w:rPr>
        <w:t>o</w:t>
      </w:r>
      <w:r w:rsidRPr="00AA3195">
        <w:rPr>
          <w:iCs/>
        </w:rPr>
        <w:t>nens förslag men formerna för godkännande av biocider och om harmonisering av ko</w:t>
      </w:r>
      <w:r w:rsidRPr="00AA3195">
        <w:rPr>
          <w:iCs/>
        </w:rPr>
        <w:t>n</w:t>
      </w:r>
      <w:r w:rsidRPr="00AA3195">
        <w:rPr>
          <w:iCs/>
        </w:rPr>
        <w:t>trollerna är fortfarande föremål för diskussioner i rådsarbet</w:t>
      </w:r>
      <w:r w:rsidRPr="00AA3195">
        <w:rPr>
          <w:iCs/>
        </w:rPr>
        <w:t>s</w:t>
      </w:r>
      <w:r w:rsidRPr="00AA3195">
        <w:rPr>
          <w:iCs/>
        </w:rPr>
        <w:t xml:space="preserve">gruppen. </w:t>
      </w:r>
    </w:p>
    <w:p w:rsidR="002A2C24" w:rsidRPr="00AA3195" w:rsidRDefault="002A2C24" w:rsidP="002A2C24">
      <w:pPr>
        <w:pStyle w:val="RKnormal"/>
        <w:rPr>
          <w:i/>
          <w:iCs/>
        </w:rPr>
      </w:pPr>
    </w:p>
    <w:p w:rsidR="002A2C24" w:rsidRPr="00AA3195" w:rsidRDefault="002A2C24" w:rsidP="002A2C24">
      <w:pPr>
        <w:pStyle w:val="RKnormal"/>
        <w:rPr>
          <w:i/>
          <w:iCs/>
        </w:rPr>
      </w:pPr>
      <w:r w:rsidRPr="00AA3195">
        <w:rPr>
          <w:i/>
          <w:iCs/>
        </w:rPr>
        <w:t>Förslag till svensk ståndpunkt</w:t>
      </w:r>
    </w:p>
    <w:p w:rsidR="002A2C24" w:rsidRPr="00AA3195" w:rsidRDefault="002A2C24" w:rsidP="002A2C24">
      <w:pPr>
        <w:pStyle w:val="RKnormal"/>
        <w:rPr>
          <w:iCs/>
        </w:rPr>
      </w:pPr>
      <w:r w:rsidRPr="00AA3195">
        <w:rPr>
          <w:iCs/>
        </w:rPr>
        <w:t>Sverige stöder i princip kommissionens förslag. Sverige deltar aktivt i arbetet på rådsarbetsgruppsn</w:t>
      </w:r>
      <w:r w:rsidRPr="00AA3195">
        <w:rPr>
          <w:iCs/>
        </w:rPr>
        <w:t>i</w:t>
      </w:r>
      <w:r w:rsidRPr="00AA3195">
        <w:rPr>
          <w:iCs/>
        </w:rPr>
        <w:t xml:space="preserve">vå för att enighet ska kunna nås kring de utestående frågorna. </w:t>
      </w:r>
    </w:p>
    <w:p w:rsidR="002A2C24" w:rsidRPr="00AA3195" w:rsidRDefault="002A2C24" w:rsidP="002A2C24">
      <w:pPr>
        <w:pStyle w:val="RKnormal"/>
        <w:rPr>
          <w:i/>
          <w:iCs/>
        </w:rPr>
      </w:pPr>
    </w:p>
    <w:p w:rsidR="00924C61" w:rsidRPr="00AA3195" w:rsidRDefault="00924C61" w:rsidP="002A2C24">
      <w:pPr>
        <w:pStyle w:val="RKnormal"/>
        <w:rPr>
          <w:i/>
          <w:iCs/>
        </w:rPr>
      </w:pPr>
      <w:r w:rsidRPr="00AA3195">
        <w:rPr>
          <w:i/>
          <w:iCs/>
        </w:rPr>
        <w:t>EU-nämnden</w:t>
      </w:r>
    </w:p>
    <w:p w:rsidR="002A2C24" w:rsidRPr="00AA3195" w:rsidRDefault="002A2C24" w:rsidP="002A2C24">
      <w:pPr>
        <w:pStyle w:val="RKnormal"/>
      </w:pPr>
      <w:r w:rsidRPr="00AA3195">
        <w:t>Frågan har inte tid</w:t>
      </w:r>
      <w:r w:rsidR="00924C61" w:rsidRPr="00AA3195">
        <w:t>igare varit föremål för samråd med</w:t>
      </w:r>
      <w:r w:rsidRPr="00AA3195">
        <w:t xml:space="preserve"> EU-nämnden. </w:t>
      </w:r>
    </w:p>
    <w:p w:rsidR="00F8129C" w:rsidRPr="00AA3195" w:rsidRDefault="00F8129C" w:rsidP="00F24235">
      <w:pPr>
        <w:pStyle w:val="RKnormal"/>
        <w:jc w:val="both"/>
        <w:rPr>
          <w:i/>
          <w:iCs/>
        </w:rPr>
      </w:pPr>
    </w:p>
    <w:p w:rsidR="00F8129C" w:rsidRPr="00AA3195" w:rsidRDefault="00F8129C" w:rsidP="00F8129C">
      <w:pPr>
        <w:pStyle w:val="RKrubrik"/>
      </w:pPr>
      <w:r w:rsidRPr="00AA3195">
        <w:t>b) Fågelinfluensa</w:t>
      </w:r>
    </w:p>
    <w:p w:rsidR="00F8129C" w:rsidRPr="00AA3195" w:rsidRDefault="00F8129C" w:rsidP="00F8129C">
      <w:pPr>
        <w:pStyle w:val="RKnormal"/>
        <w:rPr>
          <w:b/>
          <w:bCs/>
          <w:i/>
          <w:iCs/>
        </w:rPr>
      </w:pPr>
      <w:r w:rsidRPr="00AA3195">
        <w:rPr>
          <w:b/>
          <w:bCs/>
          <w:i/>
          <w:iCs/>
        </w:rPr>
        <w:t xml:space="preserve">- Information från kommissionen </w:t>
      </w:r>
    </w:p>
    <w:p w:rsidR="00F8129C" w:rsidRPr="00AA3195" w:rsidRDefault="00F8129C" w:rsidP="00F8129C">
      <w:pPr>
        <w:pStyle w:val="RKnormal"/>
        <w:rPr>
          <w:b/>
          <w:bCs/>
          <w:i/>
          <w:iCs/>
        </w:rPr>
      </w:pPr>
    </w:p>
    <w:p w:rsidR="00924C61" w:rsidRPr="00AA3195" w:rsidRDefault="00924C61" w:rsidP="00924C61">
      <w:pPr>
        <w:pStyle w:val="RKnormal"/>
        <w:rPr>
          <w:i/>
          <w:iCs/>
        </w:rPr>
      </w:pPr>
      <w:r w:rsidRPr="00AA3195">
        <w:rPr>
          <w:i/>
          <w:iCs/>
        </w:rPr>
        <w:t>Dokumentbeteckning</w:t>
      </w:r>
    </w:p>
    <w:p w:rsidR="00924C61" w:rsidRPr="00AA3195" w:rsidRDefault="00924C61" w:rsidP="00924C61">
      <w:pPr>
        <w:pStyle w:val="RKnormal"/>
        <w:rPr>
          <w:i/>
          <w:iCs/>
        </w:rPr>
      </w:pPr>
      <w:r w:rsidRPr="00AA3195">
        <w:rPr>
          <w:i/>
          <w:iCs/>
        </w:rPr>
        <w:t>-</w:t>
      </w:r>
    </w:p>
    <w:p w:rsidR="00924C61" w:rsidRPr="00AA3195" w:rsidRDefault="00924C61" w:rsidP="00924C61">
      <w:pPr>
        <w:pStyle w:val="RKnormal"/>
        <w:rPr>
          <w:i/>
          <w:iCs/>
        </w:rPr>
      </w:pPr>
    </w:p>
    <w:p w:rsidR="00924C61" w:rsidRPr="00AA3195" w:rsidRDefault="00924C61" w:rsidP="00924C61">
      <w:pPr>
        <w:pStyle w:val="RKnormal"/>
        <w:rPr>
          <w:i/>
          <w:iCs/>
        </w:rPr>
      </w:pPr>
      <w:r w:rsidRPr="00AA3195">
        <w:rPr>
          <w:i/>
          <w:iCs/>
        </w:rPr>
        <w:t>Rättslig grund</w:t>
      </w:r>
    </w:p>
    <w:p w:rsidR="00924C61" w:rsidRPr="00AA3195" w:rsidRDefault="00924C61" w:rsidP="00924C61">
      <w:pPr>
        <w:pStyle w:val="RKnormal"/>
        <w:rPr>
          <w:i/>
          <w:iCs/>
        </w:rPr>
      </w:pPr>
      <w:r w:rsidRPr="00AA3195">
        <w:rPr>
          <w:i/>
          <w:iCs/>
        </w:rPr>
        <w:t>-</w:t>
      </w:r>
    </w:p>
    <w:p w:rsidR="007E23DC" w:rsidRPr="00AA3195" w:rsidRDefault="007E23DC" w:rsidP="007E23DC">
      <w:pPr>
        <w:pStyle w:val="RKnormal"/>
        <w:rPr>
          <w:i/>
          <w:iCs/>
        </w:rPr>
      </w:pPr>
    </w:p>
    <w:p w:rsidR="007E23DC" w:rsidRPr="00AA3195" w:rsidRDefault="007E23DC" w:rsidP="007E23DC">
      <w:pPr>
        <w:pStyle w:val="RKnormal"/>
        <w:rPr>
          <w:i/>
          <w:iCs/>
        </w:rPr>
      </w:pPr>
      <w:r w:rsidRPr="00AA3195">
        <w:rPr>
          <w:i/>
          <w:iCs/>
        </w:rPr>
        <w:t>Bakgrund</w:t>
      </w:r>
    </w:p>
    <w:p w:rsidR="007E23DC" w:rsidRPr="00AA3195" w:rsidRDefault="007E23DC" w:rsidP="007E23DC">
      <w:pPr>
        <w:pStyle w:val="RKnormal"/>
      </w:pPr>
      <w:r w:rsidRPr="00AA3195">
        <w:t xml:space="preserve">Efter flera utbrott i </w:t>
      </w:r>
      <w:r w:rsidR="00924C61" w:rsidRPr="00AA3195">
        <w:t>Tyskland</w:t>
      </w:r>
      <w:r w:rsidRPr="00AA3195">
        <w:t xml:space="preserve"> i augusti och </w:t>
      </w:r>
      <w:r w:rsidR="00924C61" w:rsidRPr="00AA3195">
        <w:t xml:space="preserve">i </w:t>
      </w:r>
      <w:r w:rsidRPr="00AA3195">
        <w:t xml:space="preserve">början av september 2007 rapporterades inga nya utbrott av den aggressiva H5N1-typen från EU eller dess omedelbara närhet förrän den 13 november </w:t>
      </w:r>
      <w:r w:rsidR="00924C61" w:rsidRPr="00AA3195">
        <w:t xml:space="preserve">2007 </w:t>
      </w:r>
      <w:r w:rsidRPr="00AA3195">
        <w:t xml:space="preserve">då ett utbrott rapporterades från en kalkongård i Suffolk, England. Detta följdes av rapporter om utbrott hos fjäderfä i Donau-deltat i Rumänien i slutet av november och från Polen den 1 december. Situationen hos fjäderfä liknar den under samma period 2006, d.v.s. enstaka utbrott som bekämpas framgångsrikt genom åtgärder för att utrota smittämnet, bl.a. avlivning av djur, desinfektion och rengöring. En skillnad gentemot förra året är att mycket få smittade vilda fåglar hittats i år trots en fortsatt övervakning. </w:t>
      </w:r>
    </w:p>
    <w:p w:rsidR="007E23DC" w:rsidRPr="00AA3195" w:rsidRDefault="007E23DC" w:rsidP="007E23DC">
      <w:pPr>
        <w:pStyle w:val="RKnormal"/>
      </w:pPr>
    </w:p>
    <w:p w:rsidR="007E23DC" w:rsidRPr="00AA3195" w:rsidRDefault="007E23DC" w:rsidP="007E23DC">
      <w:pPr>
        <w:pStyle w:val="RKnormal"/>
      </w:pPr>
      <w:r w:rsidRPr="00AA3195">
        <w:t xml:space="preserve">Nya utbrott hos fjäderfä rapporteras stadigt från länder i Asien och Afrika. Smittade människor rapporteras från flera asiatiska länder. Fram till början av november i år hade 72 människor smittats varav 48 hade avlidit. Under hela 2006 var antalet smittade och döda 115 respektive 79.  </w:t>
      </w:r>
    </w:p>
    <w:p w:rsidR="007E23DC" w:rsidRPr="00AA3195" w:rsidRDefault="007E23DC" w:rsidP="007E23DC">
      <w:pPr>
        <w:pStyle w:val="RKnormal"/>
        <w:rPr>
          <w:i/>
          <w:iCs/>
        </w:rPr>
      </w:pPr>
    </w:p>
    <w:p w:rsidR="007E23DC" w:rsidRPr="00AA3195" w:rsidRDefault="007E23DC" w:rsidP="007E23DC">
      <w:pPr>
        <w:pStyle w:val="RKnormal"/>
        <w:rPr>
          <w:i/>
          <w:iCs/>
        </w:rPr>
      </w:pPr>
      <w:r w:rsidRPr="00AA3195">
        <w:rPr>
          <w:i/>
          <w:iCs/>
        </w:rPr>
        <w:t>Förslag till svensk ståndpunkt</w:t>
      </w:r>
    </w:p>
    <w:p w:rsidR="007E23DC" w:rsidRPr="00AA3195" w:rsidRDefault="007E23DC" w:rsidP="007E23DC">
      <w:pPr>
        <w:pStyle w:val="RKnormal"/>
      </w:pPr>
      <w:r w:rsidRPr="00AA3195">
        <w:t xml:space="preserve">Sverige stöder de beslut som tagits av kommissionen. </w:t>
      </w:r>
    </w:p>
    <w:p w:rsidR="007E23DC" w:rsidRPr="00AA3195" w:rsidRDefault="007E23DC" w:rsidP="007E23DC">
      <w:pPr>
        <w:pStyle w:val="RKnormal"/>
        <w:rPr>
          <w:i/>
          <w:iCs/>
        </w:rPr>
      </w:pPr>
    </w:p>
    <w:p w:rsidR="007E23DC" w:rsidRPr="00AA3195" w:rsidRDefault="007E23DC" w:rsidP="007E23DC">
      <w:pPr>
        <w:pStyle w:val="RKnormal"/>
        <w:jc w:val="both"/>
        <w:rPr>
          <w:i/>
          <w:iCs/>
        </w:rPr>
      </w:pPr>
      <w:r w:rsidRPr="00AA3195">
        <w:rPr>
          <w:i/>
          <w:iCs/>
        </w:rPr>
        <w:t>EU-nämnden</w:t>
      </w:r>
    </w:p>
    <w:p w:rsidR="007E23DC" w:rsidRPr="00AA3195" w:rsidRDefault="007E23DC" w:rsidP="007E23DC">
      <w:pPr>
        <w:pStyle w:val="RKnormal"/>
      </w:pPr>
      <w:r w:rsidRPr="00AA3195">
        <w:t>Situationen med avseende på fågelinfluensa har varit föremål för samråd i EU-nämnden inför varje jordbruks- och fiskeråd sedan september 2005, med undantag för råden i juni, oktober och november 2007.</w:t>
      </w:r>
    </w:p>
    <w:p w:rsidR="001807D4" w:rsidRPr="00AA3195" w:rsidRDefault="001807D4" w:rsidP="001807D4">
      <w:pPr>
        <w:pStyle w:val="RKnormal"/>
        <w:jc w:val="both"/>
        <w:rPr>
          <w:rFonts w:ascii="Times New Roman" w:hAnsi="Times New Roman"/>
          <w:b/>
        </w:rPr>
      </w:pPr>
    </w:p>
    <w:p w:rsidR="00F8129C" w:rsidRPr="00AA3195" w:rsidRDefault="00F8129C" w:rsidP="00F8129C">
      <w:pPr>
        <w:pStyle w:val="RKrubrik"/>
      </w:pPr>
      <w:r w:rsidRPr="00AA3195">
        <w:t xml:space="preserve">c) </w:t>
      </w:r>
      <w:r w:rsidR="00924C61" w:rsidRPr="00AA3195">
        <w:t>G</w:t>
      </w:r>
      <w:r w:rsidR="00C35DA4" w:rsidRPr="00AA3195">
        <w:t>emensam handlingsp</w:t>
      </w:r>
      <w:r w:rsidR="00924C61" w:rsidRPr="00AA3195">
        <w:t>lan</w:t>
      </w:r>
      <w:r w:rsidR="00C35DA4" w:rsidRPr="00AA3195">
        <w:t xml:space="preserve"> </w:t>
      </w:r>
      <w:r w:rsidR="00924C61" w:rsidRPr="00AA3195">
        <w:t>avseende</w:t>
      </w:r>
      <w:r w:rsidR="00C35DA4" w:rsidRPr="00AA3195">
        <w:t xml:space="preserve"> haj</w:t>
      </w:r>
      <w:r w:rsidRPr="00AA3195">
        <w:t xml:space="preserve"> </w:t>
      </w:r>
    </w:p>
    <w:p w:rsidR="00C35DA4" w:rsidRPr="00AA3195" w:rsidRDefault="00C35DA4" w:rsidP="00C35DA4">
      <w:pPr>
        <w:pStyle w:val="RKnormal"/>
        <w:rPr>
          <w:b/>
          <w:bCs/>
          <w:i/>
          <w:iCs/>
        </w:rPr>
      </w:pPr>
      <w:r w:rsidRPr="00AA3195">
        <w:rPr>
          <w:b/>
          <w:bCs/>
          <w:i/>
          <w:iCs/>
        </w:rPr>
        <w:t xml:space="preserve">- </w:t>
      </w:r>
      <w:r w:rsidR="00924C61" w:rsidRPr="00AA3195">
        <w:rPr>
          <w:b/>
          <w:bCs/>
          <w:i/>
          <w:iCs/>
        </w:rPr>
        <w:t>B</w:t>
      </w:r>
      <w:r w:rsidRPr="00AA3195">
        <w:rPr>
          <w:b/>
          <w:bCs/>
          <w:i/>
          <w:iCs/>
        </w:rPr>
        <w:t xml:space="preserve">egäran </w:t>
      </w:r>
      <w:r w:rsidR="00924C61" w:rsidRPr="00AA3195">
        <w:rPr>
          <w:b/>
          <w:bCs/>
          <w:i/>
          <w:iCs/>
        </w:rPr>
        <w:t>från</w:t>
      </w:r>
      <w:r w:rsidRPr="00AA3195">
        <w:rPr>
          <w:b/>
          <w:bCs/>
          <w:i/>
          <w:iCs/>
        </w:rPr>
        <w:t xml:space="preserve"> den tyska delegationen</w:t>
      </w:r>
    </w:p>
    <w:p w:rsidR="00C35DA4" w:rsidRPr="00AA3195" w:rsidRDefault="00C35DA4" w:rsidP="00C35DA4">
      <w:pPr>
        <w:pStyle w:val="RKnormal"/>
        <w:rPr>
          <w:i/>
          <w:iCs/>
        </w:rPr>
      </w:pPr>
    </w:p>
    <w:p w:rsidR="00C35DA4" w:rsidRPr="00AA3195" w:rsidRDefault="00C35DA4" w:rsidP="00C35DA4">
      <w:pPr>
        <w:pStyle w:val="RKnormal"/>
        <w:rPr>
          <w:i/>
          <w:iCs/>
        </w:rPr>
      </w:pPr>
      <w:r w:rsidRPr="00AA3195">
        <w:rPr>
          <w:i/>
          <w:iCs/>
        </w:rPr>
        <w:t>Dokumentbeteckning</w:t>
      </w:r>
    </w:p>
    <w:p w:rsidR="00C35DA4" w:rsidRPr="00AA3195" w:rsidRDefault="00C35DA4" w:rsidP="00C35DA4">
      <w:pPr>
        <w:pStyle w:val="RKnormal"/>
        <w:rPr>
          <w:i/>
          <w:iCs/>
        </w:rPr>
      </w:pPr>
      <w:r w:rsidRPr="00AA3195">
        <w:rPr>
          <w:i/>
          <w:iCs/>
        </w:rPr>
        <w:t>-</w:t>
      </w:r>
    </w:p>
    <w:p w:rsidR="00C35DA4" w:rsidRPr="00AA3195" w:rsidRDefault="00C35DA4" w:rsidP="00C35DA4">
      <w:pPr>
        <w:pStyle w:val="RKnormal"/>
        <w:rPr>
          <w:iCs/>
        </w:rPr>
      </w:pPr>
    </w:p>
    <w:p w:rsidR="00C35DA4" w:rsidRPr="00AA3195" w:rsidRDefault="00C35DA4" w:rsidP="00C35DA4">
      <w:pPr>
        <w:pStyle w:val="RKnormal"/>
        <w:rPr>
          <w:i/>
          <w:iCs/>
        </w:rPr>
      </w:pPr>
      <w:r w:rsidRPr="00AA3195">
        <w:rPr>
          <w:i/>
          <w:iCs/>
        </w:rPr>
        <w:t>Rättslig grund</w:t>
      </w:r>
    </w:p>
    <w:p w:rsidR="00C35DA4" w:rsidRPr="00AA3195" w:rsidRDefault="00C35DA4" w:rsidP="00C35DA4">
      <w:pPr>
        <w:pStyle w:val="RKnormal"/>
        <w:rPr>
          <w:i/>
          <w:iCs/>
        </w:rPr>
      </w:pPr>
      <w:r w:rsidRPr="00AA3195">
        <w:rPr>
          <w:i/>
          <w:iCs/>
        </w:rPr>
        <w:t>-</w:t>
      </w:r>
    </w:p>
    <w:p w:rsidR="00C35DA4" w:rsidRPr="00AA3195" w:rsidRDefault="00C35DA4" w:rsidP="00C35DA4">
      <w:pPr>
        <w:pStyle w:val="RKnormal"/>
        <w:rPr>
          <w:i/>
          <w:iCs/>
        </w:rPr>
      </w:pPr>
    </w:p>
    <w:p w:rsidR="00C35DA4" w:rsidRPr="00AA3195" w:rsidRDefault="00C35DA4" w:rsidP="00C35DA4">
      <w:pPr>
        <w:pStyle w:val="RKnormal"/>
        <w:rPr>
          <w:i/>
          <w:iCs/>
        </w:rPr>
      </w:pPr>
      <w:r w:rsidRPr="00AA3195">
        <w:rPr>
          <w:i/>
          <w:iCs/>
        </w:rPr>
        <w:t>Bakgrund</w:t>
      </w:r>
    </w:p>
    <w:p w:rsidR="00C35DA4" w:rsidRPr="00AA3195" w:rsidRDefault="006C36D1" w:rsidP="00C35DA4">
      <w:pPr>
        <w:pStyle w:val="RKnormal"/>
      </w:pPr>
      <w:r w:rsidRPr="00AA3195">
        <w:t>Inga dokument har ännu distribuerats, men troligen</w:t>
      </w:r>
      <w:r w:rsidR="00C35DA4" w:rsidRPr="00AA3195">
        <w:t xml:space="preserve"> kommer den tyska delegationen att efterfråga när EU ska påbörja sin konsultation om gemenskapens handlingsprogram för hajar. Detta är ett första steg mot ett för EU gemensamt handlingsprogram för hajar. Arbetet baseras på FAO:s riktlinjer från 1999 om uppförande av en internationell aktionsplan för bevarande och förvaltning av hajar, rockor och havsmusfiskar</w:t>
      </w:r>
      <w:r w:rsidR="00C35DA4" w:rsidRPr="00AA3195">
        <w:rPr>
          <w:rStyle w:val="Fotnotsreferens"/>
        </w:rPr>
        <w:footnoteReference w:id="2"/>
      </w:r>
      <w:r w:rsidR="00C35DA4" w:rsidRPr="00AA3195">
        <w:t xml:space="preserve">. </w:t>
      </w:r>
    </w:p>
    <w:p w:rsidR="00C35DA4" w:rsidRPr="00AA3195" w:rsidRDefault="00C35DA4" w:rsidP="00C35DA4">
      <w:pPr>
        <w:pStyle w:val="RKnormal"/>
      </w:pPr>
    </w:p>
    <w:p w:rsidR="00C35DA4" w:rsidRPr="00AA3195" w:rsidRDefault="00C35DA4" w:rsidP="00C35DA4">
      <w:pPr>
        <w:pStyle w:val="RKnormal"/>
      </w:pPr>
      <w:r w:rsidRPr="00AA3195">
        <w:t xml:space="preserve">Troligen kommer Tyskland att på Jordbruks- och fiskerådet be övriga medlemsstater om stöd för denna fråga. </w:t>
      </w:r>
    </w:p>
    <w:p w:rsidR="00C35DA4" w:rsidRPr="00AA3195" w:rsidRDefault="00C35DA4" w:rsidP="00C35DA4">
      <w:pPr>
        <w:pStyle w:val="RKnormal"/>
        <w:rPr>
          <w:i/>
          <w:iCs/>
        </w:rPr>
      </w:pPr>
    </w:p>
    <w:p w:rsidR="00C35DA4" w:rsidRPr="00AA3195" w:rsidRDefault="00C35DA4" w:rsidP="00C35DA4">
      <w:pPr>
        <w:pStyle w:val="RKnormal"/>
        <w:rPr>
          <w:i/>
          <w:iCs/>
        </w:rPr>
      </w:pPr>
      <w:r w:rsidRPr="00AA3195">
        <w:rPr>
          <w:i/>
          <w:iCs/>
        </w:rPr>
        <w:t>Förslag till svensk ståndpunkt</w:t>
      </w:r>
    </w:p>
    <w:p w:rsidR="00C35DA4" w:rsidRPr="00AA3195" w:rsidRDefault="00C35DA4" w:rsidP="00C35DA4">
      <w:pPr>
        <w:pStyle w:val="RKnormal"/>
      </w:pPr>
      <w:r w:rsidRPr="00AA3195">
        <w:t xml:space="preserve">Sverige välkomnar att kommissionen påbörjar sin konsultation. Denna har utlovats under flera år och det är angeläget att konsultationen kommer till stånd snarast. </w:t>
      </w:r>
    </w:p>
    <w:p w:rsidR="00C35DA4" w:rsidRPr="00AA3195" w:rsidRDefault="00C35DA4" w:rsidP="00C35DA4">
      <w:pPr>
        <w:pStyle w:val="RKnormal"/>
        <w:rPr>
          <w:i/>
          <w:iCs/>
        </w:rPr>
      </w:pPr>
    </w:p>
    <w:p w:rsidR="00C35DA4" w:rsidRPr="00AA3195" w:rsidRDefault="00C35DA4" w:rsidP="00C35DA4">
      <w:pPr>
        <w:pStyle w:val="RKnormal"/>
        <w:jc w:val="both"/>
        <w:rPr>
          <w:i/>
          <w:iCs/>
        </w:rPr>
      </w:pPr>
      <w:r w:rsidRPr="00AA3195">
        <w:rPr>
          <w:i/>
          <w:iCs/>
        </w:rPr>
        <w:t>EU-nämnden</w:t>
      </w:r>
    </w:p>
    <w:p w:rsidR="00C35DA4" w:rsidRPr="00AA3195" w:rsidRDefault="00C35DA4" w:rsidP="00C35DA4">
      <w:pPr>
        <w:pStyle w:val="RKnormal"/>
      </w:pPr>
      <w:r w:rsidRPr="00AA3195">
        <w:t xml:space="preserve">Frågan har inte tidigare varit föremål för samråd med EU-nämnden </w:t>
      </w:r>
    </w:p>
    <w:sectPr w:rsidR="00C35DA4" w:rsidRPr="00AA319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033" w:rsidRPr="00AA3195" w:rsidRDefault="00FF1033">
      <w:r w:rsidRPr="00AA3195">
        <w:separator/>
      </w:r>
    </w:p>
  </w:endnote>
  <w:endnote w:type="continuationSeparator" w:id="0">
    <w:p w:rsidR="00FF1033" w:rsidRPr="00AA3195" w:rsidRDefault="00FF1033">
      <w:r w:rsidRPr="00AA3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033" w:rsidRPr="00AA3195" w:rsidRDefault="00FF1033">
      <w:r w:rsidRPr="00AA3195">
        <w:separator/>
      </w:r>
    </w:p>
  </w:footnote>
  <w:footnote w:type="continuationSeparator" w:id="0">
    <w:p w:rsidR="00FF1033" w:rsidRPr="00AA3195" w:rsidRDefault="00FF1033">
      <w:r w:rsidRPr="00AA3195">
        <w:continuationSeparator/>
      </w:r>
    </w:p>
  </w:footnote>
  <w:footnote w:id="1">
    <w:p w:rsidR="005D1B28" w:rsidRPr="00AA3195" w:rsidRDefault="005D1B28" w:rsidP="00C00459">
      <w:pPr>
        <w:pStyle w:val="RKrubrik"/>
        <w:rPr>
          <w:rFonts w:ascii="Times New Roman" w:hAnsi="Times New Roman"/>
          <w:b w:val="0"/>
          <w:sz w:val="20"/>
          <w:szCs w:val="24"/>
        </w:rPr>
      </w:pPr>
      <w:r w:rsidRPr="00AA3195">
        <w:rPr>
          <w:rStyle w:val="Fotnotsreferens"/>
        </w:rPr>
        <w:footnoteRef/>
      </w:r>
      <w:r w:rsidRPr="00AA3195">
        <w:t xml:space="preserve"> </w:t>
      </w:r>
      <w:r w:rsidRPr="00AA3195">
        <w:rPr>
          <w:rFonts w:ascii="Times New Roman" w:hAnsi="Times New Roman"/>
          <w:b w:val="0"/>
          <w:sz w:val="20"/>
        </w:rPr>
        <w:t>Total allowable catch, d v s totalt tillåten fångstmängd. Rådets förordning om fastställande för år 2008 av fiskemöjligheter etc. benämns TAC- och kvotförordningen.</w:t>
      </w:r>
    </w:p>
    <w:p w:rsidR="005D1B28" w:rsidRPr="00AA3195" w:rsidRDefault="005D1B28" w:rsidP="00C00459">
      <w:pPr>
        <w:pStyle w:val="Fotnotstext"/>
      </w:pPr>
    </w:p>
  </w:footnote>
  <w:footnote w:id="2">
    <w:p w:rsidR="005D1B28" w:rsidRPr="00AA3195" w:rsidRDefault="005D1B28" w:rsidP="00C35DA4">
      <w:pPr>
        <w:pStyle w:val="Fotnotstext"/>
      </w:pPr>
      <w:r w:rsidRPr="00AA3195">
        <w:rPr>
          <w:rStyle w:val="Fotnotsreferens"/>
        </w:rPr>
        <w:footnoteRef/>
      </w:r>
      <w:r w:rsidRPr="00AA3195">
        <w:t xml:space="preserve"> International Plans of Action for the Conservation and Management of Sharks (IPOA – sharks).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B28" w:rsidRPr="00AA3195" w:rsidRDefault="005D1B28">
    <w:pPr>
      <w:pStyle w:val="Sidhuvud"/>
      <w:framePr w:wrap="around" w:vAnchor="text" w:hAnchor="margin" w:xAlign="right" w:y="1"/>
      <w:rPr>
        <w:rStyle w:val="Sidnummer"/>
      </w:rPr>
    </w:pPr>
    <w:r w:rsidRPr="00AA3195">
      <w:rPr>
        <w:rStyle w:val="Sidnummer"/>
      </w:rPr>
      <w:fldChar w:fldCharType="begin" w:fldLock="1"/>
    </w:r>
    <w:r w:rsidRPr="00AA3195">
      <w:rPr>
        <w:rStyle w:val="Sidnummer"/>
      </w:rPr>
      <w:instrText xml:space="preserve">PAGE  </w:instrText>
    </w:r>
    <w:r w:rsidRPr="00AA3195">
      <w:rPr>
        <w:rStyle w:val="Sidnummer"/>
      </w:rPr>
      <w:fldChar w:fldCharType="separate"/>
    </w:r>
    <w:r w:rsidRPr="00AA3195">
      <w:rPr>
        <w:rStyle w:val="Sidnummer"/>
      </w:rPr>
      <w:t>8</w:t>
    </w:r>
    <w:r w:rsidRPr="00AA3195">
      <w:rPr>
        <w:rStyle w:val="Sidnummer"/>
      </w:rPr>
      <w:fldChar w:fldCharType="end"/>
    </w:r>
  </w:p>
  <w:p w:rsidR="005D1B28" w:rsidRPr="00AA3195" w:rsidRDefault="005D1B28">
    <w:pPr>
      <w:pStyle w:val="Sidhuvud"/>
      <w:ind w:right="360"/>
    </w:pPr>
  </w:p>
  <w:p w:rsidR="005D1B28" w:rsidRPr="00AA3195" w:rsidRDefault="005D1B2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B28" w:rsidRPr="00AA3195" w:rsidRDefault="005D1B28">
    <w:pPr>
      <w:pStyle w:val="Sidhuvud"/>
      <w:framePr w:wrap="around" w:vAnchor="text" w:hAnchor="margin" w:xAlign="right" w:y="1"/>
      <w:rPr>
        <w:rStyle w:val="Sidnummer"/>
      </w:rPr>
    </w:pPr>
    <w:r w:rsidRPr="00AA3195">
      <w:rPr>
        <w:rStyle w:val="Sidnummer"/>
      </w:rPr>
      <w:fldChar w:fldCharType="begin" w:fldLock="1"/>
    </w:r>
    <w:r w:rsidRPr="00AA3195">
      <w:rPr>
        <w:rStyle w:val="Sidnummer"/>
      </w:rPr>
      <w:instrText xml:space="preserve">PAGE  </w:instrText>
    </w:r>
    <w:r w:rsidRPr="00AA3195">
      <w:rPr>
        <w:rStyle w:val="Sidnummer"/>
      </w:rPr>
      <w:fldChar w:fldCharType="separate"/>
    </w:r>
    <w:r w:rsidRPr="00AA3195">
      <w:rPr>
        <w:rStyle w:val="Sidnummer"/>
      </w:rPr>
      <w:t>9</w:t>
    </w:r>
    <w:r w:rsidRPr="00AA3195">
      <w:rPr>
        <w:rStyle w:val="Sidnummer"/>
      </w:rPr>
      <w:fldChar w:fldCharType="end"/>
    </w:r>
  </w:p>
  <w:p w:rsidR="005D1B28" w:rsidRPr="00AA3195" w:rsidRDefault="005D1B28">
    <w:pPr>
      <w:pStyle w:val="Sidhuvud"/>
      <w:ind w:right="360"/>
    </w:pPr>
  </w:p>
  <w:p w:rsidR="005D1B28" w:rsidRPr="00AA3195" w:rsidRDefault="005D1B2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B28" w:rsidRPr="00AA3195" w:rsidRDefault="00AA3195">
    <w:pPr>
      <w:framePr w:w="2948" w:h="1321" w:hRule="exact" w:wrap="notBeside" w:vAnchor="page" w:hAnchor="page" w:x="1362" w:y="653"/>
    </w:pPr>
    <w:r w:rsidRPr="00AA319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D1B28" w:rsidRPr="00AA3195" w:rsidRDefault="005D1B28">
    <w:pPr>
      <w:pStyle w:val="RKrubrik"/>
      <w:keepNext w:val="0"/>
      <w:tabs>
        <w:tab w:val="clear" w:pos="1134"/>
        <w:tab w:val="clear" w:pos="2835"/>
      </w:tabs>
      <w:spacing w:before="0" w:after="0" w:line="320" w:lineRule="atLeast"/>
      <w:rPr>
        <w:bCs/>
      </w:rPr>
    </w:pPr>
  </w:p>
  <w:p w:rsidR="005D1B28" w:rsidRPr="00AA3195" w:rsidRDefault="005D1B28">
    <w:pPr>
      <w:rPr>
        <w:rFonts w:ascii="TradeGothic" w:hAnsi="TradeGothic"/>
        <w:b/>
        <w:bCs/>
        <w:spacing w:val="12"/>
        <w:sz w:val="22"/>
      </w:rPr>
    </w:pPr>
  </w:p>
  <w:p w:rsidR="005D1B28" w:rsidRPr="00AA3195" w:rsidRDefault="005D1B28">
    <w:pPr>
      <w:pStyle w:val="RKrubrik"/>
      <w:keepNext w:val="0"/>
      <w:tabs>
        <w:tab w:val="clear" w:pos="1134"/>
        <w:tab w:val="clear" w:pos="2835"/>
      </w:tabs>
      <w:spacing w:before="0" w:after="0" w:line="320" w:lineRule="atLeast"/>
      <w:rPr>
        <w:bCs/>
      </w:rPr>
    </w:pPr>
  </w:p>
  <w:p w:rsidR="005D1B28" w:rsidRPr="00AA3195" w:rsidRDefault="005D1B2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5"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694068742">
    <w:abstractNumId w:val="11"/>
  </w:num>
  <w:num w:numId="2" w16cid:durableId="2005427708">
    <w:abstractNumId w:val="8"/>
  </w:num>
  <w:num w:numId="3" w16cid:durableId="1247612655">
    <w:abstractNumId w:val="7"/>
  </w:num>
  <w:num w:numId="4" w16cid:durableId="646133208">
    <w:abstractNumId w:val="14"/>
  </w:num>
  <w:num w:numId="5" w16cid:durableId="1663239821">
    <w:abstractNumId w:val="13"/>
  </w:num>
  <w:num w:numId="6" w16cid:durableId="2132819024">
    <w:abstractNumId w:val="0"/>
  </w:num>
  <w:num w:numId="7" w16cid:durableId="157426235">
    <w:abstractNumId w:val="3"/>
  </w:num>
  <w:num w:numId="8" w16cid:durableId="1640762987">
    <w:abstractNumId w:val="9"/>
  </w:num>
  <w:num w:numId="9" w16cid:durableId="1101149852">
    <w:abstractNumId w:val="5"/>
  </w:num>
  <w:num w:numId="10" w16cid:durableId="1069769051">
    <w:abstractNumId w:val="1"/>
  </w:num>
  <w:num w:numId="11" w16cid:durableId="1018310700">
    <w:abstractNumId w:val="4"/>
  </w:num>
  <w:num w:numId="12" w16cid:durableId="1470130573">
    <w:abstractNumId w:val="15"/>
  </w:num>
  <w:num w:numId="13" w16cid:durableId="260920605">
    <w:abstractNumId w:val="6"/>
  </w:num>
  <w:num w:numId="14" w16cid:durableId="2090810569">
    <w:abstractNumId w:val="12"/>
  </w:num>
  <w:num w:numId="15" w16cid:durableId="532153353">
    <w:abstractNumId w:val="10"/>
  </w:num>
  <w:num w:numId="16" w16cid:durableId="1985968093">
    <w:abstractNumId w:val="16"/>
  </w:num>
  <w:num w:numId="17" w16cid:durableId="75335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4AF5"/>
    <w:rsid w:val="00006E13"/>
    <w:rsid w:val="00006E85"/>
    <w:rsid w:val="0001014D"/>
    <w:rsid w:val="00010838"/>
    <w:rsid w:val="00013125"/>
    <w:rsid w:val="000177AC"/>
    <w:rsid w:val="00025745"/>
    <w:rsid w:val="00026455"/>
    <w:rsid w:val="00032471"/>
    <w:rsid w:val="000379B9"/>
    <w:rsid w:val="00045BB1"/>
    <w:rsid w:val="00050F70"/>
    <w:rsid w:val="00057C06"/>
    <w:rsid w:val="0006118F"/>
    <w:rsid w:val="000726B6"/>
    <w:rsid w:val="00073158"/>
    <w:rsid w:val="00073DB5"/>
    <w:rsid w:val="00075458"/>
    <w:rsid w:val="00075488"/>
    <w:rsid w:val="0007764E"/>
    <w:rsid w:val="00081FB1"/>
    <w:rsid w:val="00083403"/>
    <w:rsid w:val="0008779F"/>
    <w:rsid w:val="00096041"/>
    <w:rsid w:val="00097F54"/>
    <w:rsid w:val="000A0D7B"/>
    <w:rsid w:val="000A5F1E"/>
    <w:rsid w:val="000B193D"/>
    <w:rsid w:val="000B29D4"/>
    <w:rsid w:val="000B57B6"/>
    <w:rsid w:val="000B669E"/>
    <w:rsid w:val="000C49A2"/>
    <w:rsid w:val="000C64FD"/>
    <w:rsid w:val="000D150E"/>
    <w:rsid w:val="000E0B12"/>
    <w:rsid w:val="000E1A24"/>
    <w:rsid w:val="000E46AB"/>
    <w:rsid w:val="000F2398"/>
    <w:rsid w:val="000F2BC3"/>
    <w:rsid w:val="000F4B48"/>
    <w:rsid w:val="000F5929"/>
    <w:rsid w:val="00103859"/>
    <w:rsid w:val="00103F9C"/>
    <w:rsid w:val="001107F3"/>
    <w:rsid w:val="00112476"/>
    <w:rsid w:val="00113009"/>
    <w:rsid w:val="001137E3"/>
    <w:rsid w:val="00113B17"/>
    <w:rsid w:val="00113E60"/>
    <w:rsid w:val="001141A3"/>
    <w:rsid w:val="001251CF"/>
    <w:rsid w:val="001325F7"/>
    <w:rsid w:val="0014279D"/>
    <w:rsid w:val="00142AE3"/>
    <w:rsid w:val="00152E93"/>
    <w:rsid w:val="00162029"/>
    <w:rsid w:val="00164DEE"/>
    <w:rsid w:val="00171CCC"/>
    <w:rsid w:val="00172185"/>
    <w:rsid w:val="001769F7"/>
    <w:rsid w:val="001807D4"/>
    <w:rsid w:val="0018342B"/>
    <w:rsid w:val="001849F9"/>
    <w:rsid w:val="00185240"/>
    <w:rsid w:val="00185A9F"/>
    <w:rsid w:val="00187B6C"/>
    <w:rsid w:val="00190A3B"/>
    <w:rsid w:val="00191AC6"/>
    <w:rsid w:val="0019246D"/>
    <w:rsid w:val="00196BF3"/>
    <w:rsid w:val="00196E76"/>
    <w:rsid w:val="001979BD"/>
    <w:rsid w:val="001A42BB"/>
    <w:rsid w:val="001B1B91"/>
    <w:rsid w:val="001B2530"/>
    <w:rsid w:val="001B5438"/>
    <w:rsid w:val="001B7E9B"/>
    <w:rsid w:val="001C69FF"/>
    <w:rsid w:val="001D04A1"/>
    <w:rsid w:val="001D1BDE"/>
    <w:rsid w:val="001D6AD9"/>
    <w:rsid w:val="001E3BA1"/>
    <w:rsid w:val="001E6F92"/>
    <w:rsid w:val="001F59C0"/>
    <w:rsid w:val="001F7D0B"/>
    <w:rsid w:val="00200D64"/>
    <w:rsid w:val="00204C43"/>
    <w:rsid w:val="002075BA"/>
    <w:rsid w:val="00212444"/>
    <w:rsid w:val="00215A25"/>
    <w:rsid w:val="00216F2F"/>
    <w:rsid w:val="002268ED"/>
    <w:rsid w:val="002270F1"/>
    <w:rsid w:val="00230FAC"/>
    <w:rsid w:val="0023514D"/>
    <w:rsid w:val="00235E84"/>
    <w:rsid w:val="00242BB8"/>
    <w:rsid w:val="002475E2"/>
    <w:rsid w:val="0025067B"/>
    <w:rsid w:val="00250C61"/>
    <w:rsid w:val="00253CB6"/>
    <w:rsid w:val="00260471"/>
    <w:rsid w:val="00260CC1"/>
    <w:rsid w:val="002623EC"/>
    <w:rsid w:val="00270748"/>
    <w:rsid w:val="00273D36"/>
    <w:rsid w:val="0028068B"/>
    <w:rsid w:val="0029342C"/>
    <w:rsid w:val="002A2A29"/>
    <w:rsid w:val="002A2C24"/>
    <w:rsid w:val="002A34A5"/>
    <w:rsid w:val="002A5D7F"/>
    <w:rsid w:val="002A6EDA"/>
    <w:rsid w:val="002B40C6"/>
    <w:rsid w:val="002B64B6"/>
    <w:rsid w:val="002C22D8"/>
    <w:rsid w:val="002C68CE"/>
    <w:rsid w:val="002D4739"/>
    <w:rsid w:val="002D4E32"/>
    <w:rsid w:val="002D5026"/>
    <w:rsid w:val="002E02CC"/>
    <w:rsid w:val="002E47F0"/>
    <w:rsid w:val="002F570E"/>
    <w:rsid w:val="00304137"/>
    <w:rsid w:val="0030452B"/>
    <w:rsid w:val="00305CEB"/>
    <w:rsid w:val="0032252C"/>
    <w:rsid w:val="00323462"/>
    <w:rsid w:val="00323630"/>
    <w:rsid w:val="003236C5"/>
    <w:rsid w:val="003242B4"/>
    <w:rsid w:val="00326AFB"/>
    <w:rsid w:val="00327695"/>
    <w:rsid w:val="00332622"/>
    <w:rsid w:val="00333806"/>
    <w:rsid w:val="0033480F"/>
    <w:rsid w:val="0033500B"/>
    <w:rsid w:val="00335285"/>
    <w:rsid w:val="0033596A"/>
    <w:rsid w:val="00335E92"/>
    <w:rsid w:val="003376CB"/>
    <w:rsid w:val="003512F6"/>
    <w:rsid w:val="00352B38"/>
    <w:rsid w:val="00357660"/>
    <w:rsid w:val="00362C8F"/>
    <w:rsid w:val="003717C9"/>
    <w:rsid w:val="00376BC3"/>
    <w:rsid w:val="00377920"/>
    <w:rsid w:val="00381511"/>
    <w:rsid w:val="00385592"/>
    <w:rsid w:val="00385763"/>
    <w:rsid w:val="00391002"/>
    <w:rsid w:val="0039183C"/>
    <w:rsid w:val="00392A93"/>
    <w:rsid w:val="003A375B"/>
    <w:rsid w:val="003A461C"/>
    <w:rsid w:val="003A6CE8"/>
    <w:rsid w:val="003A7833"/>
    <w:rsid w:val="003B30E5"/>
    <w:rsid w:val="003B6D22"/>
    <w:rsid w:val="003C5B9F"/>
    <w:rsid w:val="003C6989"/>
    <w:rsid w:val="003E0D8B"/>
    <w:rsid w:val="003F0B54"/>
    <w:rsid w:val="003F325F"/>
    <w:rsid w:val="003F3A4A"/>
    <w:rsid w:val="003F5F62"/>
    <w:rsid w:val="003F7888"/>
    <w:rsid w:val="00404395"/>
    <w:rsid w:val="004051F6"/>
    <w:rsid w:val="004132B5"/>
    <w:rsid w:val="004140F3"/>
    <w:rsid w:val="00417BF0"/>
    <w:rsid w:val="00421F31"/>
    <w:rsid w:val="00422E61"/>
    <w:rsid w:val="0042328E"/>
    <w:rsid w:val="00424EF2"/>
    <w:rsid w:val="00426FC2"/>
    <w:rsid w:val="00427B6F"/>
    <w:rsid w:val="00430D56"/>
    <w:rsid w:val="00435955"/>
    <w:rsid w:val="004473A6"/>
    <w:rsid w:val="00451424"/>
    <w:rsid w:val="00457474"/>
    <w:rsid w:val="00464459"/>
    <w:rsid w:val="004646F7"/>
    <w:rsid w:val="00464C80"/>
    <w:rsid w:val="00472930"/>
    <w:rsid w:val="0047353F"/>
    <w:rsid w:val="004856EE"/>
    <w:rsid w:val="004A0A67"/>
    <w:rsid w:val="004C1330"/>
    <w:rsid w:val="004C6CD9"/>
    <w:rsid w:val="004C7354"/>
    <w:rsid w:val="004D2E21"/>
    <w:rsid w:val="004D4BB9"/>
    <w:rsid w:val="004D64C9"/>
    <w:rsid w:val="004E1A11"/>
    <w:rsid w:val="004E3E43"/>
    <w:rsid w:val="004E5E98"/>
    <w:rsid w:val="004E6D07"/>
    <w:rsid w:val="004F3222"/>
    <w:rsid w:val="00502BAA"/>
    <w:rsid w:val="00505895"/>
    <w:rsid w:val="00507D43"/>
    <w:rsid w:val="005117C2"/>
    <w:rsid w:val="00511A41"/>
    <w:rsid w:val="00517FC3"/>
    <w:rsid w:val="00533612"/>
    <w:rsid w:val="00535084"/>
    <w:rsid w:val="0054092A"/>
    <w:rsid w:val="005427BE"/>
    <w:rsid w:val="005457E6"/>
    <w:rsid w:val="0054711C"/>
    <w:rsid w:val="00556F5F"/>
    <w:rsid w:val="00561322"/>
    <w:rsid w:val="005646D2"/>
    <w:rsid w:val="00573DC6"/>
    <w:rsid w:val="0057436B"/>
    <w:rsid w:val="00577C52"/>
    <w:rsid w:val="00582DAF"/>
    <w:rsid w:val="0058380D"/>
    <w:rsid w:val="00584AF8"/>
    <w:rsid w:val="005863F1"/>
    <w:rsid w:val="0059234C"/>
    <w:rsid w:val="00596923"/>
    <w:rsid w:val="00596B94"/>
    <w:rsid w:val="00596DB3"/>
    <w:rsid w:val="00596ECC"/>
    <w:rsid w:val="005B5104"/>
    <w:rsid w:val="005B64D9"/>
    <w:rsid w:val="005C17D0"/>
    <w:rsid w:val="005C2DDD"/>
    <w:rsid w:val="005C530A"/>
    <w:rsid w:val="005C61A3"/>
    <w:rsid w:val="005C7295"/>
    <w:rsid w:val="005D0E77"/>
    <w:rsid w:val="005D1053"/>
    <w:rsid w:val="005D15B0"/>
    <w:rsid w:val="005D1B28"/>
    <w:rsid w:val="005D3A09"/>
    <w:rsid w:val="005D4F4B"/>
    <w:rsid w:val="005D6AFB"/>
    <w:rsid w:val="005F0BCC"/>
    <w:rsid w:val="006010B3"/>
    <w:rsid w:val="006139E3"/>
    <w:rsid w:val="00613BE4"/>
    <w:rsid w:val="006213C8"/>
    <w:rsid w:val="006231A4"/>
    <w:rsid w:val="006232B5"/>
    <w:rsid w:val="0062575D"/>
    <w:rsid w:val="00631CD7"/>
    <w:rsid w:val="00632915"/>
    <w:rsid w:val="00634F33"/>
    <w:rsid w:val="006373F8"/>
    <w:rsid w:val="006418CB"/>
    <w:rsid w:val="006421E9"/>
    <w:rsid w:val="00643176"/>
    <w:rsid w:val="00643F4B"/>
    <w:rsid w:val="00645684"/>
    <w:rsid w:val="00647637"/>
    <w:rsid w:val="00653833"/>
    <w:rsid w:val="00656A95"/>
    <w:rsid w:val="00664A14"/>
    <w:rsid w:val="00665671"/>
    <w:rsid w:val="00676190"/>
    <w:rsid w:val="00676DA1"/>
    <w:rsid w:val="0068210A"/>
    <w:rsid w:val="00686635"/>
    <w:rsid w:val="00686872"/>
    <w:rsid w:val="006871D0"/>
    <w:rsid w:val="0069536B"/>
    <w:rsid w:val="0069611E"/>
    <w:rsid w:val="0069740F"/>
    <w:rsid w:val="006A24DA"/>
    <w:rsid w:val="006B24DC"/>
    <w:rsid w:val="006B6F49"/>
    <w:rsid w:val="006B7510"/>
    <w:rsid w:val="006C2505"/>
    <w:rsid w:val="006C36D1"/>
    <w:rsid w:val="006E121D"/>
    <w:rsid w:val="006E5F39"/>
    <w:rsid w:val="006E6137"/>
    <w:rsid w:val="006E6F2E"/>
    <w:rsid w:val="0070149F"/>
    <w:rsid w:val="00703457"/>
    <w:rsid w:val="00707377"/>
    <w:rsid w:val="00716459"/>
    <w:rsid w:val="0072596E"/>
    <w:rsid w:val="007267DD"/>
    <w:rsid w:val="007269D7"/>
    <w:rsid w:val="00727FA6"/>
    <w:rsid w:val="00735D9A"/>
    <w:rsid w:val="00735DBB"/>
    <w:rsid w:val="00736563"/>
    <w:rsid w:val="00740891"/>
    <w:rsid w:val="007454D3"/>
    <w:rsid w:val="007518EE"/>
    <w:rsid w:val="00753592"/>
    <w:rsid w:val="007661C7"/>
    <w:rsid w:val="0076683D"/>
    <w:rsid w:val="00767D16"/>
    <w:rsid w:val="0077167D"/>
    <w:rsid w:val="00780891"/>
    <w:rsid w:val="00784B2A"/>
    <w:rsid w:val="0078607C"/>
    <w:rsid w:val="00792485"/>
    <w:rsid w:val="00794A06"/>
    <w:rsid w:val="007C063A"/>
    <w:rsid w:val="007C3C00"/>
    <w:rsid w:val="007D1844"/>
    <w:rsid w:val="007D1BDF"/>
    <w:rsid w:val="007D1C8B"/>
    <w:rsid w:val="007D70B2"/>
    <w:rsid w:val="007E23DC"/>
    <w:rsid w:val="007E2874"/>
    <w:rsid w:val="007E3857"/>
    <w:rsid w:val="007E6D0C"/>
    <w:rsid w:val="007F1388"/>
    <w:rsid w:val="007F3947"/>
    <w:rsid w:val="007F79A0"/>
    <w:rsid w:val="00802C4C"/>
    <w:rsid w:val="008044A0"/>
    <w:rsid w:val="008047E2"/>
    <w:rsid w:val="00815553"/>
    <w:rsid w:val="00821916"/>
    <w:rsid w:val="0082442D"/>
    <w:rsid w:val="00830756"/>
    <w:rsid w:val="0084346F"/>
    <w:rsid w:val="0084423D"/>
    <w:rsid w:val="00845C7D"/>
    <w:rsid w:val="008510B0"/>
    <w:rsid w:val="008532E8"/>
    <w:rsid w:val="00855379"/>
    <w:rsid w:val="00856CCC"/>
    <w:rsid w:val="00862513"/>
    <w:rsid w:val="00862F49"/>
    <w:rsid w:val="00864D19"/>
    <w:rsid w:val="00865373"/>
    <w:rsid w:val="0087089B"/>
    <w:rsid w:val="00885738"/>
    <w:rsid w:val="00887E5F"/>
    <w:rsid w:val="00891205"/>
    <w:rsid w:val="0089778B"/>
    <w:rsid w:val="008A05FC"/>
    <w:rsid w:val="008A3079"/>
    <w:rsid w:val="008A3A02"/>
    <w:rsid w:val="008B417C"/>
    <w:rsid w:val="008C441E"/>
    <w:rsid w:val="008C5E4A"/>
    <w:rsid w:val="008D39AD"/>
    <w:rsid w:val="008D6113"/>
    <w:rsid w:val="008D63F9"/>
    <w:rsid w:val="008D65CD"/>
    <w:rsid w:val="008D7310"/>
    <w:rsid w:val="008E04A2"/>
    <w:rsid w:val="008E426E"/>
    <w:rsid w:val="008E4B1E"/>
    <w:rsid w:val="008F37B0"/>
    <w:rsid w:val="008F3B5F"/>
    <w:rsid w:val="009117E7"/>
    <w:rsid w:val="009146FA"/>
    <w:rsid w:val="00916059"/>
    <w:rsid w:val="00920115"/>
    <w:rsid w:val="00923F93"/>
    <w:rsid w:val="00924AA9"/>
    <w:rsid w:val="00924C61"/>
    <w:rsid w:val="00926700"/>
    <w:rsid w:val="009300A0"/>
    <w:rsid w:val="009312D0"/>
    <w:rsid w:val="00931FC2"/>
    <w:rsid w:val="0093498B"/>
    <w:rsid w:val="00934E88"/>
    <w:rsid w:val="009360AD"/>
    <w:rsid w:val="009403D5"/>
    <w:rsid w:val="009414AF"/>
    <w:rsid w:val="0095582C"/>
    <w:rsid w:val="00955A00"/>
    <w:rsid w:val="00955B26"/>
    <w:rsid w:val="00955B63"/>
    <w:rsid w:val="0096519F"/>
    <w:rsid w:val="00965CDD"/>
    <w:rsid w:val="0097196E"/>
    <w:rsid w:val="00972FE1"/>
    <w:rsid w:val="00975330"/>
    <w:rsid w:val="009767FA"/>
    <w:rsid w:val="00983902"/>
    <w:rsid w:val="00984F68"/>
    <w:rsid w:val="00990C94"/>
    <w:rsid w:val="009929EF"/>
    <w:rsid w:val="0099344C"/>
    <w:rsid w:val="00995FFF"/>
    <w:rsid w:val="00996848"/>
    <w:rsid w:val="00996A47"/>
    <w:rsid w:val="00996BDA"/>
    <w:rsid w:val="009A195B"/>
    <w:rsid w:val="009A4BDE"/>
    <w:rsid w:val="009B017A"/>
    <w:rsid w:val="009B2DE9"/>
    <w:rsid w:val="009B47FF"/>
    <w:rsid w:val="009B7261"/>
    <w:rsid w:val="009C169C"/>
    <w:rsid w:val="009C4156"/>
    <w:rsid w:val="009C7894"/>
    <w:rsid w:val="009F3B36"/>
    <w:rsid w:val="009F7627"/>
    <w:rsid w:val="00A0470C"/>
    <w:rsid w:val="00A13E0C"/>
    <w:rsid w:val="00A167BF"/>
    <w:rsid w:val="00A20789"/>
    <w:rsid w:val="00A325EB"/>
    <w:rsid w:val="00A366C4"/>
    <w:rsid w:val="00A41C08"/>
    <w:rsid w:val="00A43788"/>
    <w:rsid w:val="00A43D2C"/>
    <w:rsid w:val="00A45E09"/>
    <w:rsid w:val="00A47845"/>
    <w:rsid w:val="00A50B8D"/>
    <w:rsid w:val="00A63A7B"/>
    <w:rsid w:val="00A6580B"/>
    <w:rsid w:val="00A66080"/>
    <w:rsid w:val="00A670E6"/>
    <w:rsid w:val="00A67D56"/>
    <w:rsid w:val="00A71574"/>
    <w:rsid w:val="00A7437B"/>
    <w:rsid w:val="00A77283"/>
    <w:rsid w:val="00A77EEA"/>
    <w:rsid w:val="00A909B8"/>
    <w:rsid w:val="00A90C84"/>
    <w:rsid w:val="00A96139"/>
    <w:rsid w:val="00AA3195"/>
    <w:rsid w:val="00AA4AB4"/>
    <w:rsid w:val="00AB5BB0"/>
    <w:rsid w:val="00AC27F4"/>
    <w:rsid w:val="00AD1ABE"/>
    <w:rsid w:val="00AD3BC2"/>
    <w:rsid w:val="00AD7F76"/>
    <w:rsid w:val="00AE0DA0"/>
    <w:rsid w:val="00AE11D5"/>
    <w:rsid w:val="00AE2AC3"/>
    <w:rsid w:val="00AE598A"/>
    <w:rsid w:val="00AF768F"/>
    <w:rsid w:val="00B00680"/>
    <w:rsid w:val="00B00B26"/>
    <w:rsid w:val="00B01B53"/>
    <w:rsid w:val="00B03B18"/>
    <w:rsid w:val="00B1287A"/>
    <w:rsid w:val="00B14A1F"/>
    <w:rsid w:val="00B1697C"/>
    <w:rsid w:val="00B21F20"/>
    <w:rsid w:val="00B22253"/>
    <w:rsid w:val="00B243D8"/>
    <w:rsid w:val="00B25F2E"/>
    <w:rsid w:val="00B30A1C"/>
    <w:rsid w:val="00B34630"/>
    <w:rsid w:val="00B36647"/>
    <w:rsid w:val="00B366A8"/>
    <w:rsid w:val="00B374DA"/>
    <w:rsid w:val="00B41750"/>
    <w:rsid w:val="00B4763D"/>
    <w:rsid w:val="00B52048"/>
    <w:rsid w:val="00B52410"/>
    <w:rsid w:val="00B52B51"/>
    <w:rsid w:val="00B54EF7"/>
    <w:rsid w:val="00B577CC"/>
    <w:rsid w:val="00B60D61"/>
    <w:rsid w:val="00B639BB"/>
    <w:rsid w:val="00B658E7"/>
    <w:rsid w:val="00B6642F"/>
    <w:rsid w:val="00B71AFA"/>
    <w:rsid w:val="00B71C5E"/>
    <w:rsid w:val="00B72B32"/>
    <w:rsid w:val="00B97EB1"/>
    <w:rsid w:val="00BA1DC5"/>
    <w:rsid w:val="00BA2186"/>
    <w:rsid w:val="00BA3900"/>
    <w:rsid w:val="00BA4804"/>
    <w:rsid w:val="00BA653F"/>
    <w:rsid w:val="00BB4D53"/>
    <w:rsid w:val="00BB6DD6"/>
    <w:rsid w:val="00BC117F"/>
    <w:rsid w:val="00BC3EB9"/>
    <w:rsid w:val="00BC411B"/>
    <w:rsid w:val="00BD0A18"/>
    <w:rsid w:val="00BD0D81"/>
    <w:rsid w:val="00BD1417"/>
    <w:rsid w:val="00BD1CF1"/>
    <w:rsid w:val="00BD2E35"/>
    <w:rsid w:val="00BD7DAF"/>
    <w:rsid w:val="00BE2BDF"/>
    <w:rsid w:val="00BE6A54"/>
    <w:rsid w:val="00BE7BBA"/>
    <w:rsid w:val="00BE7C88"/>
    <w:rsid w:val="00BF0A2E"/>
    <w:rsid w:val="00BF24E8"/>
    <w:rsid w:val="00BF25FA"/>
    <w:rsid w:val="00C00459"/>
    <w:rsid w:val="00C011B8"/>
    <w:rsid w:val="00C043D1"/>
    <w:rsid w:val="00C0452B"/>
    <w:rsid w:val="00C06163"/>
    <w:rsid w:val="00C062A1"/>
    <w:rsid w:val="00C14256"/>
    <w:rsid w:val="00C204FC"/>
    <w:rsid w:val="00C24F2B"/>
    <w:rsid w:val="00C267B3"/>
    <w:rsid w:val="00C27234"/>
    <w:rsid w:val="00C32A1B"/>
    <w:rsid w:val="00C35DA4"/>
    <w:rsid w:val="00C361F3"/>
    <w:rsid w:val="00C37858"/>
    <w:rsid w:val="00C37994"/>
    <w:rsid w:val="00C50663"/>
    <w:rsid w:val="00C51C67"/>
    <w:rsid w:val="00C5276B"/>
    <w:rsid w:val="00C63EBA"/>
    <w:rsid w:val="00C65901"/>
    <w:rsid w:val="00C66B5A"/>
    <w:rsid w:val="00C72021"/>
    <w:rsid w:val="00C85CB8"/>
    <w:rsid w:val="00C91BE0"/>
    <w:rsid w:val="00C95E90"/>
    <w:rsid w:val="00CA3A6E"/>
    <w:rsid w:val="00CA40BC"/>
    <w:rsid w:val="00CA658A"/>
    <w:rsid w:val="00CA6B68"/>
    <w:rsid w:val="00CB2EEB"/>
    <w:rsid w:val="00CB6655"/>
    <w:rsid w:val="00CB7556"/>
    <w:rsid w:val="00CB79CA"/>
    <w:rsid w:val="00CB7EF8"/>
    <w:rsid w:val="00CC54BD"/>
    <w:rsid w:val="00CD126D"/>
    <w:rsid w:val="00CD23E7"/>
    <w:rsid w:val="00CD2533"/>
    <w:rsid w:val="00CD271E"/>
    <w:rsid w:val="00CD2BD2"/>
    <w:rsid w:val="00CE194E"/>
    <w:rsid w:val="00CE3C59"/>
    <w:rsid w:val="00CE566E"/>
    <w:rsid w:val="00CE59ED"/>
    <w:rsid w:val="00CE6885"/>
    <w:rsid w:val="00CE7157"/>
    <w:rsid w:val="00CE7182"/>
    <w:rsid w:val="00CF075A"/>
    <w:rsid w:val="00CF34B2"/>
    <w:rsid w:val="00CF440F"/>
    <w:rsid w:val="00D008DE"/>
    <w:rsid w:val="00D058F4"/>
    <w:rsid w:val="00D075DB"/>
    <w:rsid w:val="00D16E6A"/>
    <w:rsid w:val="00D170A4"/>
    <w:rsid w:val="00D178AA"/>
    <w:rsid w:val="00D25EC8"/>
    <w:rsid w:val="00D278CF"/>
    <w:rsid w:val="00D30419"/>
    <w:rsid w:val="00D41017"/>
    <w:rsid w:val="00D41153"/>
    <w:rsid w:val="00D45D65"/>
    <w:rsid w:val="00D5347B"/>
    <w:rsid w:val="00D54BA1"/>
    <w:rsid w:val="00D55657"/>
    <w:rsid w:val="00D5699D"/>
    <w:rsid w:val="00D61648"/>
    <w:rsid w:val="00D71113"/>
    <w:rsid w:val="00D74099"/>
    <w:rsid w:val="00D75520"/>
    <w:rsid w:val="00D75A5A"/>
    <w:rsid w:val="00D75EB5"/>
    <w:rsid w:val="00D7655D"/>
    <w:rsid w:val="00D7660B"/>
    <w:rsid w:val="00D827C3"/>
    <w:rsid w:val="00D867CF"/>
    <w:rsid w:val="00D8704E"/>
    <w:rsid w:val="00D91AE2"/>
    <w:rsid w:val="00D954AD"/>
    <w:rsid w:val="00D97029"/>
    <w:rsid w:val="00D97B28"/>
    <w:rsid w:val="00DB319A"/>
    <w:rsid w:val="00DC1BE2"/>
    <w:rsid w:val="00DC1FB4"/>
    <w:rsid w:val="00DC5A96"/>
    <w:rsid w:val="00DD0A5C"/>
    <w:rsid w:val="00DD1F51"/>
    <w:rsid w:val="00DE0C02"/>
    <w:rsid w:val="00DE283D"/>
    <w:rsid w:val="00DE3D29"/>
    <w:rsid w:val="00DE59D9"/>
    <w:rsid w:val="00DE6B6D"/>
    <w:rsid w:val="00DF0185"/>
    <w:rsid w:val="00DF16B3"/>
    <w:rsid w:val="00DF5945"/>
    <w:rsid w:val="00DF7939"/>
    <w:rsid w:val="00E00479"/>
    <w:rsid w:val="00E2269C"/>
    <w:rsid w:val="00E25734"/>
    <w:rsid w:val="00E27F65"/>
    <w:rsid w:val="00E32F16"/>
    <w:rsid w:val="00E46A69"/>
    <w:rsid w:val="00E51D65"/>
    <w:rsid w:val="00E52C68"/>
    <w:rsid w:val="00E5351A"/>
    <w:rsid w:val="00E5482F"/>
    <w:rsid w:val="00E55FD4"/>
    <w:rsid w:val="00E565BC"/>
    <w:rsid w:val="00E62612"/>
    <w:rsid w:val="00E62B9B"/>
    <w:rsid w:val="00E639F6"/>
    <w:rsid w:val="00E63AB4"/>
    <w:rsid w:val="00E643F8"/>
    <w:rsid w:val="00E6509D"/>
    <w:rsid w:val="00E7210E"/>
    <w:rsid w:val="00E7338B"/>
    <w:rsid w:val="00E865DE"/>
    <w:rsid w:val="00E920D1"/>
    <w:rsid w:val="00E94365"/>
    <w:rsid w:val="00E9594D"/>
    <w:rsid w:val="00EA0080"/>
    <w:rsid w:val="00EA4DB1"/>
    <w:rsid w:val="00EB381B"/>
    <w:rsid w:val="00EC13EC"/>
    <w:rsid w:val="00EC7FD1"/>
    <w:rsid w:val="00ED39C1"/>
    <w:rsid w:val="00EE4C1A"/>
    <w:rsid w:val="00EF2908"/>
    <w:rsid w:val="00EF6CDE"/>
    <w:rsid w:val="00F07497"/>
    <w:rsid w:val="00F13D59"/>
    <w:rsid w:val="00F22043"/>
    <w:rsid w:val="00F22124"/>
    <w:rsid w:val="00F23B67"/>
    <w:rsid w:val="00F24235"/>
    <w:rsid w:val="00F305F0"/>
    <w:rsid w:val="00F32065"/>
    <w:rsid w:val="00F33953"/>
    <w:rsid w:val="00F366EB"/>
    <w:rsid w:val="00F436AD"/>
    <w:rsid w:val="00F516BB"/>
    <w:rsid w:val="00F5436E"/>
    <w:rsid w:val="00F554FC"/>
    <w:rsid w:val="00F76E4E"/>
    <w:rsid w:val="00F77E36"/>
    <w:rsid w:val="00F8129C"/>
    <w:rsid w:val="00F81B16"/>
    <w:rsid w:val="00F84D39"/>
    <w:rsid w:val="00F85B34"/>
    <w:rsid w:val="00F903DE"/>
    <w:rsid w:val="00F91879"/>
    <w:rsid w:val="00FA49E2"/>
    <w:rsid w:val="00FA601E"/>
    <w:rsid w:val="00FA7176"/>
    <w:rsid w:val="00FB1497"/>
    <w:rsid w:val="00FB4FF9"/>
    <w:rsid w:val="00FC1779"/>
    <w:rsid w:val="00FC4A20"/>
    <w:rsid w:val="00FC4E89"/>
    <w:rsid w:val="00FE5007"/>
    <w:rsid w:val="00FE57D0"/>
    <w:rsid w:val="00FE7B39"/>
    <w:rsid w:val="00FF0C7E"/>
    <w:rsid w:val="00FF1033"/>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554826-7FFD-473D-817D-0E67ED77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link w:val="Standardstycketeckensnitt"/>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Dokumentbeteckning-titel">
    <w:name w:val="Dokumentbeteckning - titel"/>
    <w:basedOn w:val="Normal"/>
    <w:rsid w:val="00152E93"/>
    <w:pPr>
      <w:overflowPunct/>
      <w:autoSpaceDE/>
      <w:autoSpaceDN/>
      <w:adjustRightInd/>
      <w:spacing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3620</Words>
  <Characters>22559</Characters>
  <Application>Microsoft Office Word</Application>
  <DocSecurity>4</DocSecurity>
  <Lines>626</Lines>
  <Paragraphs>229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2007-12-04T20:48:00Z</cp:lastPrinted>
  <dcterms:created xsi:type="dcterms:W3CDTF">2025-12-17T13:03:00Z</dcterms:created>
  <dcterms:modified xsi:type="dcterms:W3CDTF">2025-12-17T13:03:00Z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