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1AF" w:rsidRDefault="0073613E" w14:paraId="761AF9F4" w14:textId="77777777">
      <w:pPr>
        <w:pStyle w:val="Rubrik1"/>
        <w:spacing w:after="300"/>
      </w:pPr>
      <w:sdt>
        <w:sdtPr>
          <w:alias w:val="CC_Boilerplate_4"/>
          <w:tag w:val="CC_Boilerplate_4"/>
          <w:id w:val="-1644581176"/>
          <w:lock w:val="sdtLocked"/>
          <w:placeholder>
            <w:docPart w:val="B33134262C6C4790ABD365E876288274"/>
          </w:placeholder>
          <w:text/>
        </w:sdtPr>
        <w:sdtEndPr/>
        <w:sdtContent>
          <w:r w:rsidRPr="009B062B" w:rsidR="00AF30DD">
            <w:t>Förslag till riksdagsbeslut</w:t>
          </w:r>
        </w:sdtContent>
      </w:sdt>
      <w:bookmarkEnd w:id="0"/>
      <w:bookmarkEnd w:id="1"/>
    </w:p>
    <w:sdt>
      <w:sdtPr>
        <w:alias w:val="Yrkande 1"/>
        <w:tag w:val="236539f3-3b51-48f7-8d2d-07f5884b28f5"/>
        <w:id w:val="199598534"/>
        <w:lock w:val="sdtLocked"/>
      </w:sdtPr>
      <w:sdtEndPr/>
      <w:sdtContent>
        <w:p w:rsidR="00341DBE" w:rsidRDefault="005721A2" w14:paraId="435F3202" w14:textId="77777777">
          <w:pPr>
            <w:pStyle w:val="Frslagstext"/>
            <w:numPr>
              <w:ilvl w:val="0"/>
              <w:numId w:val="0"/>
            </w:numPr>
          </w:pPr>
          <w:r>
            <w:t>Riksdagen ställer sig bakom det som anförs i motionen om föreslagna takbelopp för arbetslöshetsförsäkringen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97EED8BF3F4DAA80F00F850AD029A0"/>
        </w:placeholder>
        <w:text/>
      </w:sdtPr>
      <w:sdtEndPr/>
      <w:sdtContent>
        <w:p w:rsidRPr="009B062B" w:rsidR="006D79C9" w:rsidP="00333E95" w:rsidRDefault="006D79C9" w14:paraId="3FCB2CAB" w14:textId="77777777">
          <w:pPr>
            <w:pStyle w:val="Rubrik1"/>
          </w:pPr>
          <w:r>
            <w:t>Motivering</w:t>
          </w:r>
        </w:p>
      </w:sdtContent>
    </w:sdt>
    <w:bookmarkEnd w:displacedByCustomXml="prev" w:id="3"/>
    <w:bookmarkEnd w:displacedByCustomXml="prev" w:id="4"/>
    <w:p w:rsidR="00D02876" w:rsidP="00830823" w:rsidRDefault="00830823" w14:paraId="2905CDDF" w14:textId="77777777">
      <w:pPr>
        <w:pStyle w:val="Normalutanindragellerluft"/>
      </w:pPr>
      <w:r>
        <w:t>En bärande del av en liberal ekonomisk politik är att det ska löna sig att arbeta. Den höga inflationen innebär att riksnormen i försörjningsstödet, garantipensionen och ett antal andra stöd har räknats upp kraftigt, i nominella termer. Ökningarna har varit klart större än löne</w:t>
      </w:r>
      <w:r w:rsidR="00D30D03">
        <w:t>ökningarn</w:t>
      </w:r>
      <w:r>
        <w:t>a. Det innebär att det i</w:t>
      </w:r>
      <w:r w:rsidR="00542FB7">
        <w:t xml:space="preserve"> </w:t>
      </w:r>
      <w:r>
        <w:t xml:space="preserve">dag lönar sig sämre, inom vissa trygghetssystem, att gå från bidrag till arbete. Regeringen har samtidigt permanentat de högre nivåer inom arbetslöshetsförsäkringen som tillkom under pandemin, samtidigt som man höjt arbetsgivaravgifterna kraftigt. Detta är inte en rimlig prioritering. Centerpartiet står bakom att det grundläggande ekonomiska skyddsnätet är prisindexerat. Men i tider av hög inflation ökar behovet av åtgärder som säkerställer att inte arbetslinjen undergrävs. </w:t>
      </w:r>
    </w:p>
    <w:p w:rsidR="00D02876" w:rsidP="00D02876" w:rsidRDefault="00830823" w14:paraId="498DEAC8" w14:textId="77777777">
      <w:r>
        <w:t xml:space="preserve">I föreliggande proposition har regeringen presenterat förslag för en ny arbetslöshetsförsäkring, baserad på en utredning som Centerpartiet var med om att tillsätta. Den nya arbetslöshetsförsäkringen kommer genom utredningens förslag att moderniseras på flera viktiga punkter, inte minst genom att på ett mer flexibelt sätt baseras på faktiskt inkomst. Dessutom kommer den, som Centerpartiet drev fram, trappas av något snabbare än tidigare, samtidigt som den är mer generös inledningsvis, en riktig omställningsförsäkring. </w:t>
      </w:r>
    </w:p>
    <w:p w:rsidR="00830823" w:rsidP="00D02876" w:rsidRDefault="00830823" w14:paraId="74ED74EE" w14:textId="5EB7BB00">
      <w:r>
        <w:t xml:space="preserve">Men genom att permanenta de höga tak i arbetslöshetsförsäkringen som tillfälligt fanns under pandemin har regeringen gått på tvären mot vad arbetslinjen borde </w:t>
      </w:r>
      <w:r>
        <w:lastRenderedPageBreak/>
        <w:t>innebära. Med tanke på att de som omfattas av arbetslöshetsförsäkringen har goda möjligheter att få ett nytt jobb</w:t>
      </w:r>
      <w:r w:rsidR="002077D6">
        <w:t>,</w:t>
      </w:r>
      <w:r>
        <w:t xml:space="preserve"> jämfört med andra grupper</w:t>
      </w:r>
      <w:r w:rsidR="002077D6">
        <w:t>, så</w:t>
      </w:r>
      <w:r>
        <w:t xml:space="preserve"> är det en märklig prioritering, som är kostsam i form av </w:t>
      </w:r>
      <w:r w:rsidR="00542FB7">
        <w:t xml:space="preserve">både </w:t>
      </w:r>
      <w:r>
        <w:t xml:space="preserve">högre arbetslöshet och utrymme i budgeten. Regeringen bedömde själv, i budgetpropositionen för år 2023, effekten av sin politik som följer: </w:t>
      </w:r>
    </w:p>
    <w:p w:rsidRPr="00E06B53" w:rsidR="00E06B53" w:rsidP="00D02876" w:rsidRDefault="00830823" w14:paraId="2FA302E9" w14:textId="63821132">
      <w:pPr>
        <w:pStyle w:val="Citat"/>
      </w:pPr>
      <w:r>
        <w:t xml:space="preserve">”De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w:t>
      </w:r>
    </w:p>
    <w:p w:rsidR="00830823" w:rsidP="00D02876" w:rsidRDefault="00830823" w14:paraId="5D8EA83A" w14:textId="5A12BA14">
      <w:pPr>
        <w:spacing w:before="150"/>
      </w:pPr>
      <w:r>
        <w:t>Konjunkturinstitutet konstaterar följande:</w:t>
      </w:r>
    </w:p>
    <w:p w:rsidR="00830823" w:rsidP="00D02876" w:rsidRDefault="00830823" w14:paraId="44D8AFE8" w14:textId="77777777">
      <w:pPr>
        <w:pStyle w:val="Citat"/>
      </w:pPr>
      <w:r>
        <w:t xml:space="preserve">”Höjningen av taket och grundnivån i arbetslöshetsersättningen gör att det ekonomiska utbytet av att vara arbetslös jämfört med att arbeta ökar, vilket i sin tur bedöms leda till en ökad arbetslöshet och minskad sysselsättning på sikt.” </w:t>
      </w:r>
    </w:p>
    <w:p w:rsidR="00830823" w:rsidP="00D02876" w:rsidRDefault="00830823" w14:paraId="47E13444" w14:textId="01E5CA71">
      <w:pPr>
        <w:pStyle w:val="Normalutanindragellerluft"/>
        <w:spacing w:before="150"/>
      </w:pPr>
      <w:r>
        <w:t>Inga åtgärder har genomförts av regeringen därefter för att motverka dessa effekter</w:t>
      </w:r>
      <w:r w:rsidR="00542FB7">
        <w:t>,</w:t>
      </w:r>
      <w:r>
        <w:t xml:space="preserve"> och utifrån innehållet i propositionen kommer de höga beloppen inte att justeras nu heller. </w:t>
      </w:r>
    </w:p>
    <w:p w:rsidR="00D02876" w:rsidP="00022CC3" w:rsidRDefault="00830823" w14:paraId="71705926" w14:textId="11391C03">
      <w:pPr>
        <w:spacing w:after="150"/>
      </w:pPr>
      <w:r>
        <w:t>Centerpartiet anser istället att ersättningsnivåerna utifrån dagens system bör reformeras i enlighet med följande förslag till modell</w:t>
      </w:r>
      <w:r w:rsidR="00C24357">
        <w:t xml:space="preserve"> (exempel)</w:t>
      </w:r>
      <w:r>
        <w:t>:</w:t>
      </w:r>
    </w:p>
    <w:tbl>
      <w:tblPr>
        <w:tblStyle w:val="Tabellrutnt"/>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34"/>
        <w:gridCol w:w="1701"/>
        <w:gridCol w:w="1134"/>
        <w:gridCol w:w="1417"/>
        <w:gridCol w:w="1418"/>
      </w:tblGrid>
      <w:tr w:rsidR="00022CC3" w:rsidTr="0073613E" w14:paraId="5FE00429" w14:textId="77777777">
        <w:tc>
          <w:tcPr>
            <w:tcW w:w="1134" w:type="dxa"/>
            <w:tcMar>
              <w:left w:w="0" w:type="dxa"/>
            </w:tcMar>
          </w:tcPr>
          <w:p w:rsidR="00022CC3" w:rsidP="0073613E" w:rsidRDefault="00022CC3" w14:paraId="1D6D41B2" w14:textId="4872894E">
            <w:pPr>
              <w:spacing w:after="70"/>
              <w:ind w:firstLine="0"/>
            </w:pPr>
            <w:r>
              <w:t>Period</w:t>
            </w:r>
          </w:p>
        </w:tc>
        <w:tc>
          <w:tcPr>
            <w:tcW w:w="1701" w:type="dxa"/>
          </w:tcPr>
          <w:p w:rsidR="00022CC3" w:rsidP="0073613E" w:rsidRDefault="00022CC3" w14:paraId="037E0D67" w14:textId="4DCEC4FF">
            <w:pPr>
              <w:spacing w:after="70"/>
              <w:ind w:firstLine="0"/>
              <w:jc w:val="right"/>
            </w:pPr>
            <w:r>
              <w:t>Ersättningsgrad</w:t>
            </w:r>
          </w:p>
        </w:tc>
        <w:tc>
          <w:tcPr>
            <w:tcW w:w="1134" w:type="dxa"/>
          </w:tcPr>
          <w:p w:rsidR="00022CC3" w:rsidP="0073613E" w:rsidRDefault="00022CC3" w14:paraId="15D4E3B0" w14:textId="42B4A4F7">
            <w:pPr>
              <w:spacing w:after="70"/>
              <w:ind w:firstLine="0"/>
              <w:jc w:val="right"/>
            </w:pPr>
            <w:r>
              <w:t>Tak</w:t>
            </w:r>
          </w:p>
        </w:tc>
        <w:tc>
          <w:tcPr>
            <w:tcW w:w="1417" w:type="dxa"/>
          </w:tcPr>
          <w:p w:rsidR="00022CC3" w:rsidP="0073613E" w:rsidRDefault="00022CC3" w14:paraId="232FA46A" w14:textId="67D6E8F0">
            <w:pPr>
              <w:spacing w:after="70"/>
              <w:ind w:firstLine="0"/>
              <w:jc w:val="right"/>
            </w:pPr>
            <w:r>
              <w:t>Golv</w:t>
            </w:r>
          </w:p>
        </w:tc>
        <w:tc>
          <w:tcPr>
            <w:tcW w:w="1418" w:type="dxa"/>
          </w:tcPr>
          <w:p w:rsidR="00022CC3" w:rsidP="0073613E" w:rsidRDefault="00022CC3" w14:paraId="75C3494D" w14:textId="53DB9E25">
            <w:pPr>
              <w:spacing w:after="70"/>
              <w:ind w:firstLine="0"/>
              <w:jc w:val="right"/>
            </w:pPr>
            <w:r>
              <w:t>Lönetak</w:t>
            </w:r>
          </w:p>
        </w:tc>
      </w:tr>
      <w:tr w:rsidR="00022CC3" w:rsidTr="0073613E" w14:paraId="267FBD03" w14:textId="77777777">
        <w:tc>
          <w:tcPr>
            <w:tcW w:w="1134" w:type="dxa"/>
            <w:tcMar>
              <w:left w:w="0" w:type="dxa"/>
            </w:tcMar>
          </w:tcPr>
          <w:p w:rsidR="00022CC3" w:rsidP="00D02876" w:rsidRDefault="00022CC3" w14:paraId="300C7608" w14:textId="1114F6BF">
            <w:pPr>
              <w:ind w:firstLine="0"/>
            </w:pPr>
            <w:r>
              <w:t>0–100</w:t>
            </w:r>
          </w:p>
        </w:tc>
        <w:tc>
          <w:tcPr>
            <w:tcW w:w="1701" w:type="dxa"/>
          </w:tcPr>
          <w:p w:rsidR="00022CC3" w:rsidP="00022CC3" w:rsidRDefault="00022CC3" w14:paraId="6918E247" w14:textId="10982A2E">
            <w:pPr>
              <w:ind w:firstLine="0"/>
              <w:jc w:val="right"/>
            </w:pPr>
            <w:r>
              <w:t>80 %</w:t>
            </w:r>
          </w:p>
        </w:tc>
        <w:tc>
          <w:tcPr>
            <w:tcW w:w="1134" w:type="dxa"/>
          </w:tcPr>
          <w:p w:rsidR="00022CC3" w:rsidP="00022CC3" w:rsidRDefault="00022CC3" w14:paraId="7AADA1AB" w14:textId="4FC91BF5">
            <w:pPr>
              <w:ind w:firstLine="0"/>
              <w:jc w:val="right"/>
            </w:pPr>
            <w:r>
              <w:t>1 090</w:t>
            </w:r>
          </w:p>
        </w:tc>
        <w:tc>
          <w:tcPr>
            <w:tcW w:w="1417" w:type="dxa"/>
          </w:tcPr>
          <w:p w:rsidR="00022CC3" w:rsidP="00022CC3" w:rsidRDefault="00022CC3" w14:paraId="72202231" w14:textId="50D1C9EE">
            <w:pPr>
              <w:ind w:firstLine="0"/>
              <w:jc w:val="right"/>
            </w:pPr>
            <w:r>
              <w:t xml:space="preserve">500 </w:t>
            </w:r>
          </w:p>
        </w:tc>
        <w:tc>
          <w:tcPr>
            <w:tcW w:w="1418" w:type="dxa"/>
          </w:tcPr>
          <w:p w:rsidR="00022CC3" w:rsidP="00022CC3" w:rsidRDefault="00022CC3" w14:paraId="55CCA26B" w14:textId="5F3F3DE0">
            <w:pPr>
              <w:ind w:firstLine="0"/>
              <w:jc w:val="right"/>
            </w:pPr>
            <w:r>
              <w:t>30 000</w:t>
            </w:r>
          </w:p>
        </w:tc>
      </w:tr>
      <w:tr w:rsidR="00022CC3" w:rsidTr="0073613E" w14:paraId="36816224" w14:textId="77777777">
        <w:tc>
          <w:tcPr>
            <w:tcW w:w="1134" w:type="dxa"/>
            <w:tcMar>
              <w:left w:w="0" w:type="dxa"/>
            </w:tcMar>
          </w:tcPr>
          <w:p w:rsidR="00022CC3" w:rsidP="00D02876" w:rsidRDefault="00022CC3" w14:paraId="0D82E346" w14:textId="529725FD">
            <w:pPr>
              <w:ind w:firstLine="0"/>
            </w:pPr>
            <w:r>
              <w:t>101–200</w:t>
            </w:r>
          </w:p>
        </w:tc>
        <w:tc>
          <w:tcPr>
            <w:tcW w:w="1701" w:type="dxa"/>
          </w:tcPr>
          <w:p w:rsidR="00022CC3" w:rsidP="00022CC3" w:rsidRDefault="00022CC3" w14:paraId="7155BD55" w14:textId="180CBB15">
            <w:pPr>
              <w:ind w:firstLine="0"/>
              <w:jc w:val="right"/>
            </w:pPr>
            <w:r>
              <w:t>70 %</w:t>
            </w:r>
          </w:p>
        </w:tc>
        <w:tc>
          <w:tcPr>
            <w:tcW w:w="1134" w:type="dxa"/>
          </w:tcPr>
          <w:p w:rsidR="00022CC3" w:rsidP="00022CC3" w:rsidRDefault="00022CC3" w14:paraId="014D5BF8" w14:textId="010B7102">
            <w:pPr>
              <w:ind w:firstLine="0"/>
              <w:jc w:val="right"/>
            </w:pPr>
            <w:r>
              <w:t>950</w:t>
            </w:r>
          </w:p>
        </w:tc>
        <w:tc>
          <w:tcPr>
            <w:tcW w:w="1417" w:type="dxa"/>
          </w:tcPr>
          <w:p w:rsidR="00022CC3" w:rsidP="00022CC3" w:rsidRDefault="00022CC3" w14:paraId="0FCDF6C3" w14:textId="5C97A2F7">
            <w:pPr>
              <w:ind w:firstLine="0"/>
              <w:jc w:val="right"/>
            </w:pPr>
            <w:r>
              <w:t>440</w:t>
            </w:r>
          </w:p>
        </w:tc>
        <w:tc>
          <w:tcPr>
            <w:tcW w:w="1418" w:type="dxa"/>
          </w:tcPr>
          <w:p w:rsidR="00022CC3" w:rsidP="00022CC3" w:rsidRDefault="00022CC3" w14:paraId="6B805D1F" w14:textId="1D06100C">
            <w:pPr>
              <w:ind w:firstLine="0"/>
              <w:jc w:val="right"/>
            </w:pPr>
            <w:r>
              <w:t>29 857</w:t>
            </w:r>
          </w:p>
        </w:tc>
      </w:tr>
      <w:tr w:rsidR="00022CC3" w:rsidTr="0073613E" w14:paraId="35D42C8F" w14:textId="77777777">
        <w:tc>
          <w:tcPr>
            <w:tcW w:w="1134" w:type="dxa"/>
            <w:tcMar>
              <w:left w:w="0" w:type="dxa"/>
            </w:tcMar>
          </w:tcPr>
          <w:p w:rsidR="00022CC3" w:rsidP="00D02876" w:rsidRDefault="00022CC3" w14:paraId="1C9EC24B" w14:textId="7ABF5960">
            <w:pPr>
              <w:ind w:firstLine="0"/>
            </w:pPr>
            <w:r>
              <w:t>201–300</w:t>
            </w:r>
          </w:p>
        </w:tc>
        <w:tc>
          <w:tcPr>
            <w:tcW w:w="1701" w:type="dxa"/>
          </w:tcPr>
          <w:p w:rsidR="00022CC3" w:rsidP="00022CC3" w:rsidRDefault="00022CC3" w14:paraId="1190681A" w14:textId="37D0A49F">
            <w:pPr>
              <w:ind w:firstLine="0"/>
              <w:jc w:val="right"/>
            </w:pPr>
            <w:r>
              <w:t>65 %</w:t>
            </w:r>
          </w:p>
        </w:tc>
        <w:tc>
          <w:tcPr>
            <w:tcW w:w="1134" w:type="dxa"/>
          </w:tcPr>
          <w:p w:rsidR="00022CC3" w:rsidP="00022CC3" w:rsidRDefault="00022CC3" w14:paraId="6BF67167" w14:textId="791EEBA0">
            <w:pPr>
              <w:ind w:firstLine="0"/>
              <w:jc w:val="right"/>
            </w:pPr>
            <w:r>
              <w:t>890</w:t>
            </w:r>
          </w:p>
        </w:tc>
        <w:tc>
          <w:tcPr>
            <w:tcW w:w="1417" w:type="dxa"/>
          </w:tcPr>
          <w:p w:rsidR="00022CC3" w:rsidP="00022CC3" w:rsidRDefault="00022CC3" w14:paraId="686972F4" w14:textId="0D15637E">
            <w:pPr>
              <w:ind w:firstLine="0"/>
              <w:jc w:val="right"/>
            </w:pPr>
            <w:r>
              <w:t>410</w:t>
            </w:r>
          </w:p>
        </w:tc>
        <w:tc>
          <w:tcPr>
            <w:tcW w:w="1418" w:type="dxa"/>
          </w:tcPr>
          <w:p w:rsidR="00022CC3" w:rsidP="00022CC3" w:rsidRDefault="00022CC3" w14:paraId="306BE245" w14:textId="730A570C">
            <w:pPr>
              <w:ind w:firstLine="0"/>
              <w:jc w:val="right"/>
            </w:pPr>
            <w:r>
              <w:t>30 123</w:t>
            </w:r>
          </w:p>
        </w:tc>
      </w:tr>
      <w:tr w:rsidR="00022CC3" w:rsidTr="0073613E" w14:paraId="39B4CA47" w14:textId="77777777">
        <w:tc>
          <w:tcPr>
            <w:tcW w:w="1134" w:type="dxa"/>
            <w:tcMar>
              <w:left w:w="0" w:type="dxa"/>
            </w:tcMar>
          </w:tcPr>
          <w:p w:rsidR="00022CC3" w:rsidP="00D02876" w:rsidRDefault="00022CC3" w14:paraId="7D48AA06" w14:textId="0A78F69E">
            <w:pPr>
              <w:ind w:firstLine="0"/>
            </w:pPr>
            <w:r>
              <w:t>301–800</w:t>
            </w:r>
          </w:p>
        </w:tc>
        <w:tc>
          <w:tcPr>
            <w:tcW w:w="1701" w:type="dxa"/>
          </w:tcPr>
          <w:p w:rsidR="00022CC3" w:rsidP="00022CC3" w:rsidRDefault="00022CC3" w14:paraId="67AF9978" w14:textId="35DA03A7">
            <w:pPr>
              <w:ind w:firstLine="0"/>
              <w:jc w:val="right"/>
            </w:pPr>
            <w:r>
              <w:t>60 %</w:t>
            </w:r>
          </w:p>
        </w:tc>
        <w:tc>
          <w:tcPr>
            <w:tcW w:w="1134" w:type="dxa"/>
          </w:tcPr>
          <w:p w:rsidR="00022CC3" w:rsidP="00022CC3" w:rsidRDefault="00022CC3" w14:paraId="569F8302" w14:textId="1E5A546C">
            <w:pPr>
              <w:ind w:firstLine="0"/>
              <w:jc w:val="right"/>
            </w:pPr>
            <w:r>
              <w:t>820</w:t>
            </w:r>
          </w:p>
        </w:tc>
        <w:tc>
          <w:tcPr>
            <w:tcW w:w="1417" w:type="dxa"/>
          </w:tcPr>
          <w:p w:rsidR="00022CC3" w:rsidP="00022CC3" w:rsidRDefault="00022CC3" w14:paraId="4071CB94" w14:textId="2C0EDE8A">
            <w:pPr>
              <w:ind w:firstLine="0"/>
              <w:jc w:val="right"/>
            </w:pPr>
            <w:r>
              <w:t>380</w:t>
            </w:r>
          </w:p>
        </w:tc>
        <w:tc>
          <w:tcPr>
            <w:tcW w:w="1418" w:type="dxa"/>
          </w:tcPr>
          <w:p w:rsidR="00022CC3" w:rsidP="00022CC3" w:rsidRDefault="00022CC3" w14:paraId="689BBD29" w14:textId="33F2D5ED">
            <w:pPr>
              <w:ind w:firstLine="0"/>
              <w:jc w:val="right"/>
            </w:pPr>
            <w:r>
              <w:t>30 067</w:t>
            </w:r>
          </w:p>
        </w:tc>
      </w:tr>
    </w:tbl>
    <w:p w:rsidR="00D02876" w:rsidP="0073613E" w:rsidRDefault="00830823" w14:paraId="738EA4F8" w14:textId="77777777">
      <w:pPr>
        <w:pStyle w:val="Normalutanindragellerluft"/>
        <w:spacing w:before="150"/>
      </w:pPr>
      <w:r>
        <w:t>Med Centerpartiets förslag kombineras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sdt>
      <w:sdtPr>
        <w:rPr>
          <w:i/>
          <w:noProof/>
        </w:rPr>
        <w:alias w:val="CC_Underskrifter"/>
        <w:tag w:val="CC_Underskrifter"/>
        <w:id w:val="583496634"/>
        <w:lock w:val="sdtContentLocked"/>
        <w:placeholder>
          <w:docPart w:val="0F3B877208FF4207A1FE04D036D39461"/>
        </w:placeholder>
      </w:sdtPr>
      <w:sdtEndPr>
        <w:rPr>
          <w:i w:val="0"/>
          <w:noProof w:val="0"/>
        </w:rPr>
      </w:sdtEndPr>
      <w:sdtContent>
        <w:p w:rsidR="00A243DC" w:rsidP="00A243DC" w:rsidRDefault="00A243DC" w14:paraId="6A1175AF" w14:textId="4B360C9C"/>
        <w:p w:rsidRPr="008E0FE2" w:rsidR="004801AC" w:rsidP="00A243DC" w:rsidRDefault="0073613E" w14:paraId="0BCBE4A7" w14:textId="11115C0B"/>
      </w:sdtContent>
    </w:sdt>
    <w:tbl>
      <w:tblPr>
        <w:tblW w:w="5000" w:type="pct"/>
        <w:tblLook w:val="04A0" w:firstRow="1" w:lastRow="0" w:firstColumn="1" w:lastColumn="0" w:noHBand="0" w:noVBand="1"/>
        <w:tblCaption w:val="underskrifter"/>
      </w:tblPr>
      <w:tblGrid>
        <w:gridCol w:w="4252"/>
        <w:gridCol w:w="4252"/>
      </w:tblGrid>
      <w:tr w:rsidR="00341DBE" w14:paraId="399190E9" w14:textId="77777777">
        <w:trPr>
          <w:cantSplit/>
        </w:trPr>
        <w:tc>
          <w:tcPr>
            <w:tcW w:w="50" w:type="pct"/>
            <w:vAlign w:val="bottom"/>
          </w:tcPr>
          <w:p w:rsidR="00341DBE" w:rsidRDefault="005721A2" w14:paraId="4E4DAA0A" w14:textId="77777777">
            <w:pPr>
              <w:pStyle w:val="Underskrifter"/>
              <w:spacing w:after="0"/>
            </w:pPr>
            <w:r>
              <w:t>Jonny Cato (C)</w:t>
            </w:r>
          </w:p>
        </w:tc>
        <w:tc>
          <w:tcPr>
            <w:tcW w:w="50" w:type="pct"/>
            <w:vAlign w:val="bottom"/>
          </w:tcPr>
          <w:p w:rsidR="00341DBE" w:rsidRDefault="00341DBE" w14:paraId="148125BD" w14:textId="77777777">
            <w:pPr>
              <w:pStyle w:val="Underskrifter"/>
              <w:spacing w:after="0"/>
            </w:pPr>
          </w:p>
        </w:tc>
      </w:tr>
      <w:tr w:rsidR="00341DBE" w14:paraId="5F7CAD09" w14:textId="77777777">
        <w:trPr>
          <w:cantSplit/>
        </w:trPr>
        <w:tc>
          <w:tcPr>
            <w:tcW w:w="50" w:type="pct"/>
            <w:vAlign w:val="bottom"/>
          </w:tcPr>
          <w:p w:rsidR="00341DBE" w:rsidRDefault="005721A2" w14:paraId="20711EE7" w14:textId="77777777">
            <w:pPr>
              <w:pStyle w:val="Underskrifter"/>
              <w:spacing w:after="0"/>
            </w:pPr>
            <w:r>
              <w:t>Emelie Nyman (C)</w:t>
            </w:r>
          </w:p>
        </w:tc>
        <w:tc>
          <w:tcPr>
            <w:tcW w:w="50" w:type="pct"/>
            <w:vAlign w:val="bottom"/>
          </w:tcPr>
          <w:p w:rsidR="00341DBE" w:rsidRDefault="005721A2" w14:paraId="2EBB38BE" w14:textId="77777777">
            <w:pPr>
              <w:pStyle w:val="Underskrifter"/>
              <w:spacing w:after="0"/>
            </w:pPr>
            <w:r>
              <w:t>Helena Vilhelmsson (C)</w:t>
            </w:r>
          </w:p>
        </w:tc>
      </w:tr>
    </w:tbl>
    <w:p w:rsidR="00654974" w:rsidRDefault="00654974" w14:paraId="1D82EEC3" w14:textId="77777777"/>
    <w:sectPr w:rsidR="00654974" w:rsidSect="00EA121C">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85AC" w14:textId="77777777" w:rsidR="00C52981" w:rsidRDefault="00C52981" w:rsidP="000C1CAD">
      <w:pPr>
        <w:spacing w:line="240" w:lineRule="auto"/>
      </w:pPr>
      <w:r>
        <w:separator/>
      </w:r>
    </w:p>
  </w:endnote>
  <w:endnote w:type="continuationSeparator" w:id="0">
    <w:p w14:paraId="7C1CB918" w14:textId="77777777" w:rsidR="00C52981" w:rsidRDefault="00C52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5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9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C7BF" w14:textId="2A4994C5" w:rsidR="00262EA3" w:rsidRPr="00A243DC" w:rsidRDefault="00262EA3" w:rsidP="00A24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8AAC" w14:textId="77777777" w:rsidR="00C52981" w:rsidRDefault="00C52981" w:rsidP="000C1CAD">
      <w:pPr>
        <w:spacing w:line="240" w:lineRule="auto"/>
      </w:pPr>
      <w:r>
        <w:separator/>
      </w:r>
    </w:p>
  </w:footnote>
  <w:footnote w:type="continuationSeparator" w:id="0">
    <w:p w14:paraId="5207249A" w14:textId="77777777" w:rsidR="00C52981" w:rsidRDefault="00C529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5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7F3E7" wp14:editId="75F49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B5535" w14:textId="1176BDC1" w:rsidR="00262EA3" w:rsidRDefault="0073613E" w:rsidP="008103B5">
                          <w:pPr>
                            <w:jc w:val="right"/>
                          </w:pPr>
                          <w:sdt>
                            <w:sdtPr>
                              <w:alias w:val="CC_Noformat_Partikod"/>
                              <w:tag w:val="CC_Noformat_Partikod"/>
                              <w:id w:val="-53464382"/>
                              <w:text/>
                            </w:sdtPr>
                            <w:sdtEndPr/>
                            <w:sdtContent>
                              <w:r w:rsidR="0083082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7F3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5B5535" w14:textId="1176BDC1" w:rsidR="00262EA3" w:rsidRDefault="0073613E" w:rsidP="008103B5">
                    <w:pPr>
                      <w:jc w:val="right"/>
                    </w:pPr>
                    <w:sdt>
                      <w:sdtPr>
                        <w:alias w:val="CC_Noformat_Partikod"/>
                        <w:tag w:val="CC_Noformat_Partikod"/>
                        <w:id w:val="-53464382"/>
                        <w:text/>
                      </w:sdtPr>
                      <w:sdtEndPr/>
                      <w:sdtContent>
                        <w:r w:rsidR="0083082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9D0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4618" w14:textId="77777777" w:rsidR="00262EA3" w:rsidRDefault="00262EA3" w:rsidP="008563AC">
    <w:pPr>
      <w:jc w:val="right"/>
    </w:pPr>
  </w:p>
  <w:p w14:paraId="0FD6DE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A0F6" w14:textId="77777777" w:rsidR="00262EA3" w:rsidRDefault="00736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43189" wp14:editId="78BD3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7C2C1" w14:textId="3A905958" w:rsidR="00262EA3" w:rsidRDefault="0073613E" w:rsidP="00A314CF">
    <w:pPr>
      <w:pStyle w:val="FSHNormal"/>
      <w:spacing w:before="40"/>
    </w:pPr>
    <w:sdt>
      <w:sdtPr>
        <w:alias w:val="CC_Noformat_Motionstyp"/>
        <w:tag w:val="CC_Noformat_Motionstyp"/>
        <w:id w:val="1162973129"/>
        <w:lock w:val="sdtContentLocked"/>
        <w15:appearance w15:val="hidden"/>
        <w:text/>
      </w:sdtPr>
      <w:sdtEndPr/>
      <w:sdtContent>
        <w:r w:rsidR="00A243DC">
          <w:t>Kommittémotion</w:t>
        </w:r>
      </w:sdtContent>
    </w:sdt>
    <w:r w:rsidR="00821B36">
      <w:t xml:space="preserve"> </w:t>
    </w:r>
    <w:sdt>
      <w:sdtPr>
        <w:alias w:val="CC_Noformat_Partikod"/>
        <w:tag w:val="CC_Noformat_Partikod"/>
        <w:id w:val="1471015553"/>
        <w:lock w:val="contentLocked"/>
        <w:text/>
      </w:sdtPr>
      <w:sdtEndPr/>
      <w:sdtContent>
        <w:r w:rsidR="00830823">
          <w:t>C</w:t>
        </w:r>
      </w:sdtContent>
    </w:sdt>
    <w:sdt>
      <w:sdtPr>
        <w:alias w:val="CC_Noformat_Partinummer"/>
        <w:tag w:val="CC_Noformat_Partinummer"/>
        <w:id w:val="-2014525982"/>
        <w:lock w:val="contentLocked"/>
        <w:showingPlcHdr/>
        <w:text/>
      </w:sdtPr>
      <w:sdtEndPr/>
      <w:sdtContent>
        <w:r w:rsidR="00821B36">
          <w:t xml:space="preserve"> </w:t>
        </w:r>
      </w:sdtContent>
    </w:sdt>
  </w:p>
  <w:p w14:paraId="5807213B" w14:textId="77777777" w:rsidR="00262EA3" w:rsidRPr="008227B3" w:rsidRDefault="00736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2BA57" w14:textId="55C4FB89" w:rsidR="00262EA3" w:rsidRPr="008227B3" w:rsidRDefault="00736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3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43DC">
          <w:t>:2886</w:t>
        </w:r>
      </w:sdtContent>
    </w:sdt>
  </w:p>
  <w:p w14:paraId="2C035048" w14:textId="14D4E80A" w:rsidR="00262EA3" w:rsidRDefault="0073613E" w:rsidP="00E03A3D">
    <w:pPr>
      <w:pStyle w:val="Motionr"/>
    </w:pPr>
    <w:sdt>
      <w:sdtPr>
        <w:alias w:val="CC_Noformat_Avtext"/>
        <w:tag w:val="CC_Noformat_Avtext"/>
        <w:id w:val="-2020768203"/>
        <w:lock w:val="sdtContentLocked"/>
        <w15:appearance w15:val="hidden"/>
        <w:text/>
      </w:sdtPr>
      <w:sdtEndPr/>
      <w:sdtContent>
        <w:r w:rsidR="00A243DC">
          <w:t>av Jonny Cato m.fl. (C)</w:t>
        </w:r>
      </w:sdtContent>
    </w:sdt>
  </w:p>
  <w:sdt>
    <w:sdtPr>
      <w:alias w:val="CC_Noformat_Rubtext"/>
      <w:tag w:val="CC_Noformat_Rubtext"/>
      <w:id w:val="-218060500"/>
      <w:lock w:val="sdtLocked"/>
      <w:text/>
    </w:sdtPr>
    <w:sdtEndPr/>
    <w:sdtContent>
      <w:p w14:paraId="162BA83C" w14:textId="1C11DD3A" w:rsidR="00262EA3" w:rsidRDefault="00156612" w:rsidP="00283E0F">
        <w:pPr>
          <w:pStyle w:val="FSHRub2"/>
        </w:pPr>
        <w:r>
          <w:t>med anledning av prop. 2023/24:128 En arbetslöshetsförsäkring baserad på inkomster</w:t>
        </w:r>
      </w:p>
    </w:sdtContent>
  </w:sdt>
  <w:sdt>
    <w:sdtPr>
      <w:alias w:val="CC_Boilerplate_3"/>
      <w:tag w:val="CC_Boilerplate_3"/>
      <w:id w:val="1606463544"/>
      <w:lock w:val="sdtContentLocked"/>
      <w15:appearance w15:val="hidden"/>
      <w:text w:multiLine="1"/>
    </w:sdtPr>
    <w:sdtEndPr/>
    <w:sdtContent>
      <w:p w14:paraId="23E1C3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8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C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A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1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80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D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9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AE"/>
    <w:rsid w:val="00314099"/>
    <w:rsid w:val="003140DC"/>
    <w:rsid w:val="0031417D"/>
    <w:rsid w:val="00314D2A"/>
    <w:rsid w:val="00314E5A"/>
    <w:rsid w:val="00315784"/>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DB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18"/>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FB7"/>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A2"/>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91"/>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7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8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D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3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2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1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DC"/>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1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9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0E"/>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5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8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876"/>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03"/>
    <w:rsid w:val="00D30F1B"/>
    <w:rsid w:val="00D3131A"/>
    <w:rsid w:val="00D3134F"/>
    <w:rsid w:val="00D31CB7"/>
    <w:rsid w:val="00D324FF"/>
    <w:rsid w:val="00D328D4"/>
    <w:rsid w:val="00D3290D"/>
    <w:rsid w:val="00D32A4F"/>
    <w:rsid w:val="00D3396C"/>
    <w:rsid w:val="00D33B16"/>
    <w:rsid w:val="00D347DB"/>
    <w:rsid w:val="00D3481A"/>
    <w:rsid w:val="00D34F2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5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1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79F9FC"/>
  <w15:chartTrackingRefBased/>
  <w15:docId w15:val="{3408A65F-9278-4795-8767-392383AC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313FA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134262C6C4790ABD365E876288274"/>
        <w:category>
          <w:name w:val="Allmänt"/>
          <w:gallery w:val="placeholder"/>
        </w:category>
        <w:types>
          <w:type w:val="bbPlcHdr"/>
        </w:types>
        <w:behaviors>
          <w:behavior w:val="content"/>
        </w:behaviors>
        <w:guid w:val="{348DEA17-0B79-4EFF-9AC5-FE890DDC2D54}"/>
      </w:docPartPr>
      <w:docPartBody>
        <w:p w:rsidR="00CD7890" w:rsidRDefault="0026559A">
          <w:pPr>
            <w:pStyle w:val="B33134262C6C4790ABD365E876288274"/>
          </w:pPr>
          <w:r w:rsidRPr="005A0A93">
            <w:rPr>
              <w:rStyle w:val="Platshllartext"/>
            </w:rPr>
            <w:t>Förslag till riksdagsbeslut</w:t>
          </w:r>
        </w:p>
      </w:docPartBody>
    </w:docPart>
    <w:docPart>
      <w:docPartPr>
        <w:name w:val="AB97EED8BF3F4DAA80F00F850AD029A0"/>
        <w:category>
          <w:name w:val="Allmänt"/>
          <w:gallery w:val="placeholder"/>
        </w:category>
        <w:types>
          <w:type w:val="bbPlcHdr"/>
        </w:types>
        <w:behaviors>
          <w:behavior w:val="content"/>
        </w:behaviors>
        <w:guid w:val="{CF3B1348-5353-4B5C-AAF1-33BAB7AD8A3F}"/>
      </w:docPartPr>
      <w:docPartBody>
        <w:p w:rsidR="00CD7890" w:rsidRDefault="0026559A">
          <w:pPr>
            <w:pStyle w:val="AB97EED8BF3F4DAA80F00F850AD029A0"/>
          </w:pPr>
          <w:r w:rsidRPr="005A0A93">
            <w:rPr>
              <w:rStyle w:val="Platshllartext"/>
            </w:rPr>
            <w:t>Motivering</w:t>
          </w:r>
        </w:p>
      </w:docPartBody>
    </w:docPart>
    <w:docPart>
      <w:docPartPr>
        <w:name w:val="0F3B877208FF4207A1FE04D036D39461"/>
        <w:category>
          <w:name w:val="Allmänt"/>
          <w:gallery w:val="placeholder"/>
        </w:category>
        <w:types>
          <w:type w:val="bbPlcHdr"/>
        </w:types>
        <w:behaviors>
          <w:behavior w:val="content"/>
        </w:behaviors>
        <w:guid w:val="{D85CCB27-20A5-491A-A6FF-0236E262923E}"/>
      </w:docPartPr>
      <w:docPartBody>
        <w:p w:rsidR="00A15A3C" w:rsidRDefault="00A15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90"/>
    <w:rsid w:val="00032931"/>
    <w:rsid w:val="00233547"/>
    <w:rsid w:val="0026559A"/>
    <w:rsid w:val="002E405A"/>
    <w:rsid w:val="00753284"/>
    <w:rsid w:val="009376B0"/>
    <w:rsid w:val="00A15A3C"/>
    <w:rsid w:val="00AE5E2E"/>
    <w:rsid w:val="00CA4C37"/>
    <w:rsid w:val="00CD7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134262C6C4790ABD365E876288274">
    <w:name w:val="B33134262C6C4790ABD365E876288274"/>
  </w:style>
  <w:style w:type="paragraph" w:customStyle="1" w:styleId="AB97EED8BF3F4DAA80F00F850AD029A0">
    <w:name w:val="AB97EED8BF3F4DAA80F00F850AD02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A0F13-6932-4A37-8829-81E41526EC7D}"/>
</file>

<file path=customXml/itemProps2.xml><?xml version="1.0" encoding="utf-8"?>
<ds:datastoreItem xmlns:ds="http://schemas.openxmlformats.org/officeDocument/2006/customXml" ds:itemID="{A6AB7E6A-E241-4A5F-B33B-0EFF015FAB7C}"/>
</file>

<file path=customXml/itemProps3.xml><?xml version="1.0" encoding="utf-8"?>
<ds:datastoreItem xmlns:ds="http://schemas.openxmlformats.org/officeDocument/2006/customXml" ds:itemID="{6B653833-ECC8-417D-99CB-DD67CF5ED859}"/>
</file>

<file path=docProps/app.xml><?xml version="1.0" encoding="utf-8"?>
<Properties xmlns="http://schemas.openxmlformats.org/officeDocument/2006/extended-properties" xmlns:vt="http://schemas.openxmlformats.org/officeDocument/2006/docPropsVTypes">
  <Template>Normal</Template>
  <TotalTime>41</TotalTime>
  <Pages>2</Pages>
  <Words>521</Words>
  <Characters>3087</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24 128 En arbetslöshetsförsäkring baserad på inkomster</vt:lpstr>
      <vt:lpstr>
      </vt:lpstr>
    </vt:vector>
  </TitlesOfParts>
  <Company>Sveriges riksdag</Company>
  <LinksUpToDate>false</LinksUpToDate>
  <CharactersWithSpaces>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