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004457">
              <w:rPr>
                <w:b/>
                <w:sz w:val="20"/>
              </w:rPr>
              <w:t>20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</w:t>
            </w:r>
            <w:r w:rsidR="00A41C2C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A41C2C">
              <w:rPr>
                <w:sz w:val="20"/>
              </w:rPr>
              <w:t>0</w:t>
            </w:r>
            <w:r w:rsidR="00DF104C">
              <w:rPr>
                <w:sz w:val="20"/>
              </w:rPr>
              <w:t>3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463D5" w:rsidRPr="00EF33A8" w:rsidRDefault="002944C4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</w:t>
            </w:r>
            <w:r w:rsidR="00E4389B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E4389B">
              <w:rPr>
                <w:sz w:val="20"/>
              </w:rPr>
              <w:t>0-</w:t>
            </w:r>
            <w:r w:rsidR="00277D9E" w:rsidRPr="00277D9E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277D9E" w:rsidRPr="00277D9E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277D9E" w:rsidRPr="00277D9E">
              <w:rPr>
                <w:sz w:val="20"/>
              </w:rPr>
              <w:t>0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311B6" w:rsidRPr="004B367D" w:rsidTr="00EB67C8">
        <w:trPr>
          <w:trHeight w:val="884"/>
        </w:trPr>
        <w:tc>
          <w:tcPr>
            <w:tcW w:w="567" w:type="dxa"/>
          </w:tcPr>
          <w:p w:rsidR="002311B6" w:rsidRPr="00904ABB" w:rsidRDefault="002311B6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:rsidR="002311B6" w:rsidRPr="002A1D92" w:rsidRDefault="00E4389B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delta på distans </w:t>
            </w:r>
          </w:p>
          <w:p w:rsidR="002311B6" w:rsidRPr="002A1D92" w:rsidRDefault="002311B6" w:rsidP="002311B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11B6" w:rsidRPr="002C61AA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C61A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medgav deltagande på distans för följande ordinarie ledamöter och suppleanter: </w:t>
            </w:r>
            <w:r w:rsidR="009940C6"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Kenneth G. Forslund (S), </w:t>
            </w:r>
            <w:r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Hans Wallmark (M), Olle Thorell (S</w:t>
            </w:r>
            <w:proofErr w:type="gramStart"/>
            <w:r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),</w:t>
            </w:r>
            <w:r w:rsidR="00277D9E"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Markus</w:t>
            </w:r>
            <w:proofErr w:type="gramEnd"/>
            <w:r w:rsidR="00277D9E"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Wiechel</w:t>
            </w:r>
            <w:r w:rsidR="009123BD"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(SD)</w:t>
            </w:r>
            <w:r w:rsidR="00277D9E"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, </w:t>
            </w:r>
            <w:r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Jamal El-Haj (S), Håkan Svenneling (V), Margareta </w:t>
            </w:r>
            <w:proofErr w:type="spellStart"/>
            <w:r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Cederfeldt</w:t>
            </w:r>
            <w:proofErr w:type="spellEnd"/>
            <w:r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(M), Björn Söder (SD), Diana Laitinen Carlsson (S), Lars Adaktusson (KD), Joar Forssell (L), </w:t>
            </w:r>
            <w:r w:rsidR="00004457"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Aron Emilsson (SD), </w:t>
            </w:r>
            <w:r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Maria Ferm (MP), Magnus Ek (C), Helena Storckenfeldt (M),</w:t>
            </w:r>
            <w:r w:rsidR="009940C6"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Yasmine Posio (V), Mats Nordberg (SD),</w:t>
            </w:r>
            <w:r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Gudrun Brunegård (KD)</w:t>
            </w:r>
            <w:r w:rsidR="00BB02E0" w:rsidRPr="002C61AA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E4389B" w:rsidRPr="002C61AA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89B" w:rsidRDefault="002C61AA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C61AA">
              <w:rPr>
                <w:rFonts w:eastAsiaTheme="minorHAnsi"/>
                <w:bCs/>
                <w:color w:val="000000"/>
                <w:szCs w:val="24"/>
                <w:lang w:eastAsia="en-US"/>
              </w:rPr>
              <w:t>Sex</w:t>
            </w:r>
            <w:r w:rsidR="002A5F97" w:rsidRPr="002C61A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4389B" w:rsidRPr="002C61AA">
              <w:rPr>
                <w:rFonts w:eastAsiaTheme="minorHAnsi"/>
                <w:bCs/>
                <w:color w:val="000000"/>
                <w:szCs w:val="24"/>
                <w:lang w:eastAsia="en-US"/>
              </w:rPr>
              <w:t>tjänstemän</w:t>
            </w:r>
            <w:r w:rsidR="00E4389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utrikesutskottets kansli var uppkopplade på distans. </w:t>
            </w:r>
          </w:p>
          <w:p w:rsid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E4389B" w:rsidRP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 xml:space="preserve">§ </w:t>
            </w:r>
            <w:r w:rsidR="002A1D92">
              <w:rPr>
                <w:b/>
                <w:snapToGrid w:val="0"/>
                <w:szCs w:val="24"/>
              </w:rPr>
              <w:t>2</w:t>
            </w: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77D9E" w:rsidRPr="00904ABB" w:rsidRDefault="00277D9E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A7417" w:rsidRDefault="002944C4" w:rsidP="00C568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FN:s konvention om förbud mot kärnvapen</w:t>
            </w:r>
          </w:p>
          <w:p w:rsidR="0039340D" w:rsidRDefault="0039340D" w:rsidP="00C5683B">
            <w:pPr>
              <w:rPr>
                <w:szCs w:val="24"/>
              </w:rPr>
            </w:pPr>
          </w:p>
          <w:p w:rsidR="0039340D" w:rsidRDefault="002944C4" w:rsidP="0039340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Kabinettssekreterare</w:t>
            </w:r>
            <w:r w:rsidR="0039340D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Robert Rydberg</w:t>
            </w:r>
            <w:r w:rsidR="0039340D">
              <w:rPr>
                <w:bCs/>
                <w:color w:val="000000"/>
                <w:szCs w:val="24"/>
              </w:rPr>
              <w:t xml:space="preserve"> med medarbetare från Utrikesdepartementet informerade utskottet </w:t>
            </w:r>
            <w:r>
              <w:rPr>
                <w:bCs/>
                <w:color w:val="000000"/>
                <w:szCs w:val="24"/>
              </w:rPr>
              <w:t>om FN:s konvention om förbud mot kärnvapen.</w:t>
            </w:r>
          </w:p>
          <w:p w:rsidR="0039340D" w:rsidRDefault="0039340D" w:rsidP="0039340D">
            <w:pPr>
              <w:autoSpaceDE w:val="0"/>
              <w:autoSpaceDN w:val="0"/>
              <w:adjustRightInd w:val="0"/>
            </w:pPr>
          </w:p>
          <w:p w:rsidR="0039340D" w:rsidRPr="002944C4" w:rsidRDefault="0039340D" w:rsidP="0039340D">
            <w:r>
              <w:t>Ledamöternas frågor besvarades.</w:t>
            </w: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944C4">
              <w:rPr>
                <w:b/>
              </w:rPr>
              <w:t>3</w:t>
            </w:r>
          </w:p>
        </w:tc>
        <w:tc>
          <w:tcPr>
            <w:tcW w:w="6947" w:type="dxa"/>
          </w:tcPr>
          <w:p w:rsidR="006C7198" w:rsidRDefault="002944C4" w:rsidP="00C5683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säkerhetspolitiska frågor (UU11)</w:t>
            </w:r>
          </w:p>
          <w:p w:rsidR="006C7198" w:rsidRDefault="00E4389B" w:rsidP="002A1D9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2944C4"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2944C4" w:rsidRDefault="002944C4" w:rsidP="002A1D9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944C4" w:rsidRDefault="002944C4" w:rsidP="002A1D9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E4389B" w:rsidRDefault="00E4389B" w:rsidP="002A1D9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930BF6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944C4">
              <w:rPr>
                <w:b/>
              </w:rPr>
              <w:t>4</w:t>
            </w:r>
          </w:p>
        </w:tc>
        <w:tc>
          <w:tcPr>
            <w:tcW w:w="6947" w:type="dxa"/>
          </w:tcPr>
          <w:p w:rsidR="006C7198" w:rsidRDefault="002944C4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i länder och regioner m.m. (UU15)</w:t>
            </w:r>
          </w:p>
          <w:p w:rsidR="006C7198" w:rsidRPr="00A760BC" w:rsidRDefault="006C7198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B02E0" w:rsidRDefault="0031471F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motioner.</w:t>
            </w:r>
          </w:p>
          <w:p w:rsidR="0031471F" w:rsidRDefault="0031471F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1471F" w:rsidRDefault="0031471F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B386C" w:rsidRPr="006C7198" w:rsidRDefault="00CB386C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8E5D3A" w:rsidRDefault="00E755ED" w:rsidP="00E755ED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31471F">
              <w:rPr>
                <w:b/>
              </w:rPr>
              <w:t>5</w:t>
            </w:r>
          </w:p>
        </w:tc>
        <w:tc>
          <w:tcPr>
            <w:tcW w:w="6947" w:type="dxa"/>
          </w:tcPr>
          <w:p w:rsidR="00E755ED" w:rsidRDefault="0031471F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Mänskliga rättigheter ur ett tematiskt perspektiv (UU7)</w:t>
            </w:r>
          </w:p>
          <w:p w:rsidR="00EF0994" w:rsidRDefault="00EF0994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1471F" w:rsidRDefault="0031471F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motioner.</w:t>
            </w:r>
          </w:p>
          <w:p w:rsidR="0031471F" w:rsidRDefault="0031471F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1471F" w:rsidRPr="0031471F" w:rsidRDefault="0031471F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901A2" w:rsidRPr="0031471F" w:rsidRDefault="009901A2" w:rsidP="0031471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95CC1" w:rsidRPr="008E5D3A" w:rsidTr="004756A5">
        <w:trPr>
          <w:trHeight w:val="884"/>
        </w:trPr>
        <w:tc>
          <w:tcPr>
            <w:tcW w:w="567" w:type="dxa"/>
          </w:tcPr>
          <w:p w:rsidR="00E95CC1" w:rsidRPr="008E5D3A" w:rsidRDefault="00E95CC1" w:rsidP="004756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31471F">
              <w:rPr>
                <w:b/>
              </w:rPr>
              <w:t>6</w:t>
            </w:r>
            <w:r w:rsidR="006C7198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C7198" w:rsidRDefault="0031471F" w:rsidP="006C719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Makroekonomiskt stöd till republiken Moldavien</w:t>
            </w:r>
          </w:p>
          <w:p w:rsidR="006C7198" w:rsidRDefault="006C7198" w:rsidP="006C719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1471F" w:rsidRDefault="0031471F" w:rsidP="0031471F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lang w:eastAsia="en-US"/>
              </w:rPr>
              <w:t>COM(</w:t>
            </w:r>
            <w:proofErr w:type="gramEnd"/>
            <w:r>
              <w:rPr>
                <w:color w:val="000000"/>
                <w:lang w:eastAsia="en-US"/>
              </w:rPr>
              <w:t>2022) 4 final.</w:t>
            </w:r>
          </w:p>
          <w:p w:rsidR="0031471F" w:rsidRDefault="0031471F" w:rsidP="0031471F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31471F" w:rsidRDefault="0031471F" w:rsidP="0031471F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Utskottet ansåg att förslaget inte strider mot subsidiaritetsprincipen.</w:t>
            </w:r>
          </w:p>
          <w:p w:rsidR="0031471F" w:rsidRDefault="0031471F" w:rsidP="0031471F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E95CC1" w:rsidRPr="00175CF2" w:rsidRDefault="0031471F" w:rsidP="0031471F">
            <w:pPr>
              <w:autoSpaceDE w:val="0"/>
              <w:autoSpaceDN w:val="0"/>
              <w:adjustRightInd w:val="0"/>
            </w:pPr>
            <w:r>
              <w:rPr>
                <w:color w:val="000000"/>
                <w:lang w:eastAsia="en-US"/>
              </w:rPr>
              <w:t>Denna paragraf förklarades omedelbart justerad.</w:t>
            </w:r>
            <w:r w:rsidR="00175CF2" w:rsidRPr="00175CF2">
              <w:br/>
            </w:r>
          </w:p>
        </w:tc>
      </w:tr>
      <w:tr w:rsidR="001A2839" w:rsidRPr="008E5D3A" w:rsidTr="004756A5">
        <w:trPr>
          <w:trHeight w:val="884"/>
        </w:trPr>
        <w:tc>
          <w:tcPr>
            <w:tcW w:w="567" w:type="dxa"/>
          </w:tcPr>
          <w:p w:rsidR="001A2839" w:rsidRDefault="001A2839" w:rsidP="001A2839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752457">
              <w:rPr>
                <w:b/>
              </w:rPr>
              <w:t>7</w:t>
            </w:r>
          </w:p>
        </w:tc>
        <w:tc>
          <w:tcPr>
            <w:tcW w:w="6947" w:type="dxa"/>
          </w:tcPr>
          <w:p w:rsidR="001A2839" w:rsidRDefault="00D53FAE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 w:rsidR="00C90B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C90BD2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A2839" w:rsidRPr="00D53FAE" w:rsidRDefault="00D53FAE" w:rsidP="001A283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2021/22:19</w:t>
            </w:r>
            <w:r w:rsidR="00E53E4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1A283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D53FAE" w:rsidRPr="008E5D3A" w:rsidTr="004756A5">
        <w:trPr>
          <w:trHeight w:val="884"/>
        </w:trPr>
        <w:tc>
          <w:tcPr>
            <w:tcW w:w="567" w:type="dxa"/>
          </w:tcPr>
          <w:p w:rsidR="00D53FAE" w:rsidRDefault="00D53FAE" w:rsidP="001A2839">
            <w:pPr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6947" w:type="dxa"/>
          </w:tcPr>
          <w:p w:rsidR="00D53FAE" w:rsidRDefault="00D53FAE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53FAE" w:rsidRDefault="00D53FAE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53FAE" w:rsidRDefault="00D53FAE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om:</w:t>
            </w:r>
          </w:p>
          <w:p w:rsidR="00D53FAE" w:rsidRDefault="00D53FAE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ta emot </w:t>
            </w:r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FN:s </w:t>
            </w:r>
            <w:proofErr w:type="spellStart"/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>flyktinghögkommissarie</w:t>
            </w:r>
            <w:proofErr w:type="spellEnd"/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Filippo </w:t>
            </w:r>
            <w:proofErr w:type="spellStart"/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>Grandi</w:t>
            </w:r>
            <w:proofErr w:type="spellEnd"/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</w:t>
            </w:r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mars</w:t>
            </w:r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11:00-11:45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53FAE" w:rsidRPr="00D53FAE" w:rsidRDefault="00D53FAE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53FAE" w:rsidRPr="004B367D" w:rsidTr="00EB67C8">
        <w:trPr>
          <w:trHeight w:val="884"/>
        </w:trPr>
        <w:tc>
          <w:tcPr>
            <w:tcW w:w="567" w:type="dxa"/>
          </w:tcPr>
          <w:p w:rsidR="00D53FAE" w:rsidRDefault="00D53FAE" w:rsidP="001A2839">
            <w:pPr>
              <w:rPr>
                <w:b/>
              </w:rPr>
            </w:pPr>
            <w:r>
              <w:rPr>
                <w:b/>
              </w:rPr>
              <w:t>§ 9</w:t>
            </w:r>
          </w:p>
        </w:tc>
        <w:tc>
          <w:tcPr>
            <w:tcW w:w="6947" w:type="dxa"/>
          </w:tcPr>
          <w:p w:rsidR="00D53FAE" w:rsidRDefault="00D53FAE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D53FAE" w:rsidRDefault="00D53FAE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53FAE" w:rsidRDefault="00D53FAE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3FAE"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D53FAE" w:rsidRPr="00D53FAE" w:rsidRDefault="00D53FAE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D53FAE" w:rsidRPr="004B367D" w:rsidTr="00EB67C8">
        <w:trPr>
          <w:trHeight w:val="884"/>
        </w:trPr>
        <w:tc>
          <w:tcPr>
            <w:tcW w:w="567" w:type="dxa"/>
          </w:tcPr>
          <w:p w:rsidR="00D53FAE" w:rsidRDefault="00D53FAE" w:rsidP="001A2839">
            <w:pPr>
              <w:rPr>
                <w:b/>
              </w:rPr>
            </w:pPr>
            <w:r>
              <w:rPr>
                <w:b/>
              </w:rPr>
              <w:t>§ 10</w:t>
            </w:r>
          </w:p>
        </w:tc>
        <w:tc>
          <w:tcPr>
            <w:tcW w:w="6947" w:type="dxa"/>
          </w:tcPr>
          <w:p w:rsidR="00BD5CDA" w:rsidRPr="00BD5CDA" w:rsidRDefault="00BD5CDA" w:rsidP="00BD5CD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D5C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BD5CDA" w:rsidRPr="00BD5CDA" w:rsidRDefault="00BD5CDA" w:rsidP="00BD5CD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D5CDA" w:rsidRDefault="00BD5CDA" w:rsidP="00BD5CD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D5CDA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tjänstemän och ledamöter från försvarsutskottet fick närvara under sammanträdet vid punkt 10 på föredragningslistan.</w:t>
            </w:r>
          </w:p>
          <w:p w:rsidR="005D1C50" w:rsidRDefault="005D1C50" w:rsidP="00BD5CD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D1C50" w:rsidRDefault="005D1C50" w:rsidP="00BD5CD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D53FAE" w:rsidRDefault="00D53FAE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0424C" w:rsidRPr="004B367D" w:rsidTr="00EB67C8">
        <w:trPr>
          <w:trHeight w:val="884"/>
        </w:trPr>
        <w:tc>
          <w:tcPr>
            <w:tcW w:w="567" w:type="dxa"/>
          </w:tcPr>
          <w:p w:rsidR="00B0424C" w:rsidRDefault="00B0424C" w:rsidP="001A2839">
            <w:pPr>
              <w:rPr>
                <w:b/>
              </w:rPr>
            </w:pPr>
            <w:r>
              <w:rPr>
                <w:b/>
              </w:rPr>
              <w:t>§ 11</w:t>
            </w:r>
          </w:p>
        </w:tc>
        <w:tc>
          <w:tcPr>
            <w:tcW w:w="6947" w:type="dxa"/>
          </w:tcPr>
          <w:p w:rsidR="00B0424C" w:rsidRDefault="00B0424C" w:rsidP="00BD5CD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Fördjupningsseminarium om EU:s strategiska kompass (tillsammans med försvarsutskottet)</w:t>
            </w:r>
          </w:p>
          <w:p w:rsidR="00AA6D7F" w:rsidRDefault="00AA6D7F" w:rsidP="00BD5CD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A6D7F" w:rsidRDefault="00AA6D7F" w:rsidP="00BD5CD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Björn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Fägersten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Utrikespolitiska Institutet och Göran von Sydow från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Sieps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gav presentationer om EU:s strategiska kompass.</w:t>
            </w:r>
          </w:p>
          <w:p w:rsidR="00AA6D7F" w:rsidRDefault="00AA6D7F" w:rsidP="00BD5CD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6D7F" w:rsidRDefault="00AA6D7F" w:rsidP="00BD5CD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AA6D7F" w:rsidRPr="00AA6D7F" w:rsidRDefault="00AA6D7F" w:rsidP="00BD5CD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A6D7F" w:rsidRPr="004B367D" w:rsidTr="00EB67C8">
        <w:trPr>
          <w:trHeight w:val="884"/>
        </w:trPr>
        <w:tc>
          <w:tcPr>
            <w:tcW w:w="567" w:type="dxa"/>
          </w:tcPr>
          <w:p w:rsidR="00AA6D7F" w:rsidRDefault="00AA6D7F" w:rsidP="001A2839">
            <w:pPr>
              <w:rPr>
                <w:b/>
              </w:rPr>
            </w:pPr>
            <w:r>
              <w:rPr>
                <w:b/>
              </w:rPr>
              <w:t xml:space="preserve">§ 12 </w:t>
            </w:r>
          </w:p>
        </w:tc>
        <w:tc>
          <w:tcPr>
            <w:tcW w:w="6947" w:type="dxa"/>
          </w:tcPr>
          <w:p w:rsidR="00AA6D7F" w:rsidRDefault="00AA6D7F" w:rsidP="00BD5CD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AA6D7F" w:rsidRDefault="00AA6D7F" w:rsidP="00BD5CD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A6D7F" w:rsidRPr="00DC09D7" w:rsidRDefault="00DC09D7" w:rsidP="00BD5CD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C09D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tisdagen den 15 februari kl. 09:30.</w:t>
            </w:r>
          </w:p>
        </w:tc>
      </w:tr>
      <w:tr w:rsidR="00DA544F" w:rsidRPr="004B367D" w:rsidTr="00EB67C8">
        <w:trPr>
          <w:trHeight w:val="884"/>
        </w:trPr>
        <w:tc>
          <w:tcPr>
            <w:tcW w:w="567" w:type="dxa"/>
          </w:tcPr>
          <w:p w:rsidR="00DA544F" w:rsidRDefault="00DA544F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DA544F" w:rsidRPr="001A2839" w:rsidRDefault="00DA544F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175CF2" w:rsidRPr="004B367D" w:rsidRDefault="00175CF2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812C87" w:rsidRDefault="002944C4" w:rsidP="00812C87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7969BD">
              <w:t>1</w:t>
            </w:r>
            <w:r w:rsidR="00DC09D7">
              <w:t>5</w:t>
            </w:r>
            <w:r w:rsidR="009B73BE">
              <w:t xml:space="preserve"> </w:t>
            </w:r>
            <w:r w:rsidR="007969BD">
              <w:t>februari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2944C4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004457">
              <w:rPr>
                <w:sz w:val="20"/>
              </w:rPr>
              <w:t>20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 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A115DD">
              <w:rPr>
                <w:sz w:val="19"/>
                <w:szCs w:val="19"/>
              </w:rPr>
              <w:t>2-4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  <w:proofErr w:type="gramStart"/>
            <w:r w:rsidR="00A115DD">
              <w:rPr>
                <w:sz w:val="19"/>
                <w:szCs w:val="19"/>
              </w:rPr>
              <w:t>5-10</w:t>
            </w:r>
            <w:proofErr w:type="gram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  <w:r w:rsidR="009940C6">
              <w:rPr>
                <w:sz w:val="19"/>
                <w:szCs w:val="19"/>
              </w:rPr>
              <w:t>11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  <w:r w:rsidR="009940C6">
              <w:rPr>
                <w:sz w:val="19"/>
                <w:szCs w:val="19"/>
              </w:rPr>
              <w:t>12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940C6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277D9E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A115D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E84544" w:rsidRDefault="009123BD" w:rsidP="005A0B0D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9940C6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7969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D4BA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7969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Vakant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E84544"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E84544"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E84544"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  <w:r w:rsidR="00FE2742" w:rsidRPr="00E84544">
              <w:rPr>
                <w:sz w:val="20"/>
              </w:rPr>
              <w:t xml:space="preserve"> 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9940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1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940C6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940C6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A115D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940C6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940C6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7969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123BD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E84544" w:rsidRDefault="009940C6" w:rsidP="00FE2742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9940C6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b/>
                <w:sz w:val="20"/>
              </w:rPr>
            </w:pPr>
            <w:r w:rsidRPr="00E84544">
              <w:rPr>
                <w:b/>
                <w:strike/>
                <w:sz w:val="20"/>
              </w:rPr>
              <w:softHyphen/>
            </w:r>
            <w:r w:rsidRPr="00E84544">
              <w:rPr>
                <w:b/>
                <w:strike/>
                <w:sz w:val="20"/>
              </w:rPr>
              <w:softHyphen/>
            </w:r>
            <w:r w:rsidRPr="00E84544">
              <w:rPr>
                <w:b/>
                <w:strike/>
                <w:sz w:val="20"/>
              </w:rPr>
              <w:softHyphen/>
            </w:r>
            <w:r w:rsidRPr="00E84544">
              <w:rPr>
                <w:b/>
                <w:strike/>
                <w:sz w:val="20"/>
              </w:rPr>
              <w:softHyphen/>
            </w: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0A66D7">
              <w:rPr>
                <w:snapToGrid w:val="0"/>
                <w:sz w:val="21"/>
                <w:szCs w:val="21"/>
              </w:rPr>
              <w:t>MP</w:t>
            </w:r>
            <w:bookmarkStart w:id="0" w:name="_GoBack"/>
            <w:bookmarkEnd w:id="0"/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E84544" w:rsidRDefault="007C6DFE" w:rsidP="007C6DFE">
            <w:pPr>
              <w:rPr>
                <w:sz w:val="20"/>
              </w:rPr>
            </w:pPr>
            <w:r w:rsidRPr="00E84544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Default="007C6DFE" w:rsidP="007C6DF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6DFE" w:rsidRPr="003504FA" w:rsidRDefault="007C6DFE" w:rsidP="007C6DFE">
            <w:pPr>
              <w:rPr>
                <w:sz w:val="20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7C6DF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7C6DFE" w:rsidRPr="003504FA" w:rsidRDefault="007C6DFE" w:rsidP="007C6D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44" w:rsidRDefault="00E84544" w:rsidP="00286A5C">
      <w:r>
        <w:separator/>
      </w:r>
    </w:p>
  </w:endnote>
  <w:endnote w:type="continuationSeparator" w:id="0">
    <w:p w:rsidR="00E84544" w:rsidRDefault="00E8454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44" w:rsidRDefault="00E84544" w:rsidP="00286A5C">
      <w:r>
        <w:separator/>
      </w:r>
    </w:p>
  </w:footnote>
  <w:footnote w:type="continuationSeparator" w:id="0">
    <w:p w:rsidR="00E84544" w:rsidRDefault="00E8454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9"/>
  </w:num>
  <w:num w:numId="12">
    <w:abstractNumId w:val="15"/>
  </w:num>
  <w:num w:numId="13">
    <w:abstractNumId w:val="1"/>
  </w:num>
  <w:num w:numId="14">
    <w:abstractNumId w:val="5"/>
  </w:num>
  <w:num w:numId="15">
    <w:abstractNumId w:val="17"/>
  </w:num>
  <w:num w:numId="16">
    <w:abstractNumId w:val="16"/>
  </w:num>
  <w:num w:numId="17">
    <w:abstractNumId w:val="0"/>
  </w:num>
  <w:num w:numId="18">
    <w:abstractNumId w:val="18"/>
  </w:num>
  <w:num w:numId="19">
    <w:abstractNumId w:val="11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04457"/>
    <w:rsid w:val="00012143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A66D7"/>
    <w:rsid w:val="000B3BBC"/>
    <w:rsid w:val="000C1024"/>
    <w:rsid w:val="000C4C5D"/>
    <w:rsid w:val="000D222D"/>
    <w:rsid w:val="000D65FE"/>
    <w:rsid w:val="000E0CBF"/>
    <w:rsid w:val="000E57F2"/>
    <w:rsid w:val="000F409B"/>
    <w:rsid w:val="000F5AF7"/>
    <w:rsid w:val="0010398A"/>
    <w:rsid w:val="00106498"/>
    <w:rsid w:val="001064E1"/>
    <w:rsid w:val="00107146"/>
    <w:rsid w:val="001148C6"/>
    <w:rsid w:val="00117283"/>
    <w:rsid w:val="0013183A"/>
    <w:rsid w:val="00133626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77D9E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44C4"/>
    <w:rsid w:val="002969E4"/>
    <w:rsid w:val="002A0ACB"/>
    <w:rsid w:val="002A1D92"/>
    <w:rsid w:val="002A33A3"/>
    <w:rsid w:val="002A43C4"/>
    <w:rsid w:val="002A4F72"/>
    <w:rsid w:val="002A571E"/>
    <w:rsid w:val="002A5F97"/>
    <w:rsid w:val="002A653E"/>
    <w:rsid w:val="002A6BC4"/>
    <w:rsid w:val="002B0EE7"/>
    <w:rsid w:val="002B324E"/>
    <w:rsid w:val="002B7046"/>
    <w:rsid w:val="002C13CC"/>
    <w:rsid w:val="002C1D02"/>
    <w:rsid w:val="002C242F"/>
    <w:rsid w:val="002C304A"/>
    <w:rsid w:val="002C61A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07F7C"/>
    <w:rsid w:val="003129AE"/>
    <w:rsid w:val="00312E24"/>
    <w:rsid w:val="0031471F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3994"/>
    <w:rsid w:val="00366722"/>
    <w:rsid w:val="00366944"/>
    <w:rsid w:val="00371166"/>
    <w:rsid w:val="00382BFA"/>
    <w:rsid w:val="00384374"/>
    <w:rsid w:val="00386CC5"/>
    <w:rsid w:val="0039340D"/>
    <w:rsid w:val="00394D90"/>
    <w:rsid w:val="00395F56"/>
    <w:rsid w:val="00396B6B"/>
    <w:rsid w:val="003A1BA5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07510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3B56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1C50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0EC6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4167"/>
    <w:rsid w:val="007459EF"/>
    <w:rsid w:val="00745F20"/>
    <w:rsid w:val="00746022"/>
    <w:rsid w:val="00752457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4F84"/>
    <w:rsid w:val="007A5447"/>
    <w:rsid w:val="007A56B1"/>
    <w:rsid w:val="007A5E94"/>
    <w:rsid w:val="007A5F43"/>
    <w:rsid w:val="007A7417"/>
    <w:rsid w:val="007B6A85"/>
    <w:rsid w:val="007C1A7E"/>
    <w:rsid w:val="007C4568"/>
    <w:rsid w:val="007C6DFE"/>
    <w:rsid w:val="007E2010"/>
    <w:rsid w:val="007E205C"/>
    <w:rsid w:val="007E2F89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C4A2F"/>
    <w:rsid w:val="008C5E93"/>
    <w:rsid w:val="008D3BE8"/>
    <w:rsid w:val="008D5DBE"/>
    <w:rsid w:val="008E42D8"/>
    <w:rsid w:val="008F1372"/>
    <w:rsid w:val="008F39D2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40C6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15DD"/>
    <w:rsid w:val="00A22E35"/>
    <w:rsid w:val="00A26F32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6024D"/>
    <w:rsid w:val="00A60C9E"/>
    <w:rsid w:val="00A63F71"/>
    <w:rsid w:val="00A73078"/>
    <w:rsid w:val="00A760BC"/>
    <w:rsid w:val="00A8608D"/>
    <w:rsid w:val="00A91781"/>
    <w:rsid w:val="00A91E00"/>
    <w:rsid w:val="00A95F6B"/>
    <w:rsid w:val="00AA6165"/>
    <w:rsid w:val="00AA6D7F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424C"/>
    <w:rsid w:val="00B05084"/>
    <w:rsid w:val="00B0666F"/>
    <w:rsid w:val="00B0793F"/>
    <w:rsid w:val="00B14441"/>
    <w:rsid w:val="00B176AD"/>
    <w:rsid w:val="00B24532"/>
    <w:rsid w:val="00B306DA"/>
    <w:rsid w:val="00B3078A"/>
    <w:rsid w:val="00B32D2C"/>
    <w:rsid w:val="00B337AC"/>
    <w:rsid w:val="00B452D5"/>
    <w:rsid w:val="00B51580"/>
    <w:rsid w:val="00B5478D"/>
    <w:rsid w:val="00B5506A"/>
    <w:rsid w:val="00B56BD2"/>
    <w:rsid w:val="00B628CE"/>
    <w:rsid w:val="00B672B6"/>
    <w:rsid w:val="00B7113A"/>
    <w:rsid w:val="00B755E7"/>
    <w:rsid w:val="00B75675"/>
    <w:rsid w:val="00B764C6"/>
    <w:rsid w:val="00B80061"/>
    <w:rsid w:val="00B8059E"/>
    <w:rsid w:val="00B83B15"/>
    <w:rsid w:val="00B84417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CDA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38F"/>
    <w:rsid w:val="00C347DA"/>
    <w:rsid w:val="00C3644E"/>
    <w:rsid w:val="00C426D1"/>
    <w:rsid w:val="00C44BEE"/>
    <w:rsid w:val="00C45D20"/>
    <w:rsid w:val="00C5683B"/>
    <w:rsid w:val="00C64F48"/>
    <w:rsid w:val="00C73219"/>
    <w:rsid w:val="00C775B7"/>
    <w:rsid w:val="00C80A45"/>
    <w:rsid w:val="00C80B8A"/>
    <w:rsid w:val="00C868B0"/>
    <w:rsid w:val="00C8696F"/>
    <w:rsid w:val="00C8751C"/>
    <w:rsid w:val="00C87A95"/>
    <w:rsid w:val="00C90BD2"/>
    <w:rsid w:val="00C93D20"/>
    <w:rsid w:val="00C94E59"/>
    <w:rsid w:val="00CA35F5"/>
    <w:rsid w:val="00CB1798"/>
    <w:rsid w:val="00CB1886"/>
    <w:rsid w:val="00CB386C"/>
    <w:rsid w:val="00CB53A1"/>
    <w:rsid w:val="00CC1B78"/>
    <w:rsid w:val="00CC1C31"/>
    <w:rsid w:val="00CC3F57"/>
    <w:rsid w:val="00CE10B3"/>
    <w:rsid w:val="00CE248F"/>
    <w:rsid w:val="00CE51C1"/>
    <w:rsid w:val="00CE53F7"/>
    <w:rsid w:val="00CE6025"/>
    <w:rsid w:val="00CF267D"/>
    <w:rsid w:val="00CF3BCD"/>
    <w:rsid w:val="00CF5246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3FAE"/>
    <w:rsid w:val="00D56F37"/>
    <w:rsid w:val="00D66118"/>
    <w:rsid w:val="00D677D8"/>
    <w:rsid w:val="00D71C4A"/>
    <w:rsid w:val="00D76BAB"/>
    <w:rsid w:val="00D81715"/>
    <w:rsid w:val="00D83350"/>
    <w:rsid w:val="00D8468E"/>
    <w:rsid w:val="00D92DC0"/>
    <w:rsid w:val="00D973D0"/>
    <w:rsid w:val="00D97C1A"/>
    <w:rsid w:val="00DA0514"/>
    <w:rsid w:val="00DA2679"/>
    <w:rsid w:val="00DA544F"/>
    <w:rsid w:val="00DA5615"/>
    <w:rsid w:val="00DA5AA5"/>
    <w:rsid w:val="00DA6E80"/>
    <w:rsid w:val="00DB1D0B"/>
    <w:rsid w:val="00DC09D7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104C"/>
    <w:rsid w:val="00DF34EC"/>
    <w:rsid w:val="00DF38A0"/>
    <w:rsid w:val="00DF42E2"/>
    <w:rsid w:val="00E06278"/>
    <w:rsid w:val="00E143B2"/>
    <w:rsid w:val="00E14481"/>
    <w:rsid w:val="00E162F9"/>
    <w:rsid w:val="00E222C1"/>
    <w:rsid w:val="00E23E67"/>
    <w:rsid w:val="00E241E8"/>
    <w:rsid w:val="00E30DA4"/>
    <w:rsid w:val="00E310B0"/>
    <w:rsid w:val="00E31392"/>
    <w:rsid w:val="00E31814"/>
    <w:rsid w:val="00E4389B"/>
    <w:rsid w:val="00E44501"/>
    <w:rsid w:val="00E463D5"/>
    <w:rsid w:val="00E5079D"/>
    <w:rsid w:val="00E50E4D"/>
    <w:rsid w:val="00E511E7"/>
    <w:rsid w:val="00E519C7"/>
    <w:rsid w:val="00E53C89"/>
    <w:rsid w:val="00E53E4C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4544"/>
    <w:rsid w:val="00E86074"/>
    <w:rsid w:val="00E86953"/>
    <w:rsid w:val="00E910E9"/>
    <w:rsid w:val="00E9234B"/>
    <w:rsid w:val="00E94FDA"/>
    <w:rsid w:val="00E95CC1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0D5D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5E4A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1413-29EE-4996-999D-C8817FF7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</TotalTime>
  <Pages>3</Pages>
  <Words>800</Words>
  <Characters>4357</Characters>
  <Application>Microsoft Office Word</Application>
  <DocSecurity>0</DocSecurity>
  <Lines>2178</Lines>
  <Paragraphs>343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10</cp:revision>
  <cp:lastPrinted>2022-01-18T16:23:00Z</cp:lastPrinted>
  <dcterms:created xsi:type="dcterms:W3CDTF">2022-02-07T14:45:00Z</dcterms:created>
  <dcterms:modified xsi:type="dcterms:W3CDTF">2022-03-03T14:34:00Z</dcterms:modified>
</cp:coreProperties>
</file>