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oktober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ledamöter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ledamöter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personliga suppleanter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Fredrik </w:t>
            </w:r>
            <w:r>
              <w:rPr>
                <w:rtl w:val="0"/>
              </w:rPr>
              <w:t>Olovsson (S) som ledamot i finansutskottet och krigsdelegationen samt som suppleant i skatteutskottet, justitieutskottet, civilutskottet, socialförsäkringsutskottet, socialutskottet, kulturutskottet, utbildningsutskottet, trafikutskottet, miljö- och jordbruksutskottet, näringsutskottet, arbetsmarknadsutskottet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Åsa </w:t>
            </w:r>
            <w:r>
              <w:rPr>
                <w:rtl w:val="0"/>
              </w:rPr>
              <w:t>Westlund (S)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Åsa </w:t>
            </w:r>
            <w:r>
              <w:rPr>
                <w:rtl w:val="0"/>
              </w:rPr>
              <w:t>Westlund (S) som ledamot i finansutskottet och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2020/21:FPM5 Kommissionens strategiska framsynsrapport 2020 </w:t>
            </w:r>
            <w:r>
              <w:rPr>
                <w:i/>
                <w:iCs/>
                <w:rtl w:val="0"/>
              </w:rPr>
              <w:t>COM(2020) 493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2020:17 Drift och underhåll av järnvägar – omfattande kostnadsavvikelser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2020/21:19 Vissa ändringar i skattelagstiftningen till följd av resolutionsregelverket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 Omvänd skattskyldighet vid omsättning av vissa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 Justerande bestämmelser om avdrag för koncernbidragsspärrade underskott och avdrag för negativt räntenetto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 Ändrade krav på insiderförteckningar och några tillsynsfrågor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 Motåtgärder på skatteområdet mot icke samarbetsvilliga jurisdiktioner och vissa andra inkomstskattefrågor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 Nytt regelverk för handel med utsläppsrätter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 Riksrevisionens rapport om regionala strukturfondspartnerskap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2020/21:12 Särskilt investeringsutrymme för elnätsverksamhet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2020/21:2488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2020/21:2919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2020/21:3712 av Lars Hjälmered m.fl. (M, KD,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2020/21:3713 av Rickard Nordin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2020/21:3 Riksrevisionens rapport om Kommerskollegiums arbete med handelshinder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2020/21:2977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2020/21:3502 av Arman Teimouri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2020/21:3503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2020/21:3714 av Per Schöldberg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2020/21:3715 av Camilla Brodin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Motioner för omedelbar hänvisning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3 645 motioner väckta under allmänna motionstiden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Enligt bilagd motionsförteckning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2020/21:SkU15 Granskning av meddelande om en handlingsplan för rättvis och enkel beskattning till stöd för återhämtningsstrategin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2020/21:FöU2 Skärpta regler avseende hanteringen av sprängämnesprekursorer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oktober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2020-10-14</SAFIR_Sammantradesdatum_Doc>
    <SAFIR_SammantradeID xmlns="C07A1A6C-0B19-41D9-BDF8-F523BA3921EB">0e408862-eabb-4be3-9e38-4fe37ccbda20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559C1-6C53-4162-92DC-42768D43ACA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