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F53A97" w:rsidRPr="001A6BB5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53A97" w:rsidRPr="001A6BB5" w:rsidRDefault="000D6E98">
            <w:pPr>
              <w:pStyle w:val="HuvudRubrik"/>
            </w:pPr>
            <w:r w:rsidRPr="001A6BB5">
              <w:t>EU-nämndens yttrande</w:t>
            </w:r>
          </w:p>
          <w:p w:rsidR="00F53A97" w:rsidRPr="001A6BB5" w:rsidRDefault="001A1799" w:rsidP="00923669">
            <w:pPr>
              <w:pStyle w:val="HuvudRubrikRad2"/>
              <w:tabs>
                <w:tab w:val="left" w:pos="3045"/>
              </w:tabs>
            </w:pPr>
            <w:bookmarkStart w:id="0" w:name="BetänkandeNr"/>
            <w:bookmarkEnd w:id="0"/>
            <w:r w:rsidRPr="001A6BB5">
              <w:t>2005/06</w:t>
            </w:r>
            <w:r w:rsidR="00F53A97" w:rsidRPr="001A6BB5">
              <w:t>:</w:t>
            </w:r>
            <w:r w:rsidRPr="001A6BB5">
              <w:t>EUN2y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1A6BB5" w:rsidRDefault="001A6BB5">
            <w:pPr>
              <w:spacing w:line="230" w:lineRule="auto"/>
              <w:jc w:val="center"/>
            </w:pPr>
            <w:r w:rsidRPr="001A6BB5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53A97" w:rsidRPr="001A6BB5" w:rsidRDefault="00F53A97">
            <w:pPr>
              <w:pStyle w:val="Normaltindrag"/>
              <w:jc w:val="center"/>
            </w:pPr>
          </w:p>
          <w:p w:rsidR="00F53A97" w:rsidRPr="001A6BB5" w:rsidRDefault="00F53A97">
            <w:pPr>
              <w:pStyle w:val="StatusSida1"/>
            </w:pPr>
          </w:p>
          <w:p w:rsidR="00F53A97" w:rsidRPr="001A6BB5" w:rsidRDefault="00F53A97">
            <w:pPr>
              <w:pStyle w:val="UtskriftsdatumSida1"/>
              <w:framePr w:wrap="around"/>
            </w:pPr>
          </w:p>
        </w:tc>
      </w:tr>
      <w:tr w:rsidR="00F53A97" w:rsidRPr="001A6BB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53A97" w:rsidRPr="001A6BB5" w:rsidRDefault="000D6E98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  <w:r w:rsidRPr="001A6BB5">
              <w:rPr>
                <w:noProof w:val="0"/>
              </w:rPr>
              <w:t>Verksamheten i Europeiska unionen under 2005 (skr. 2005/06:85)</w:t>
            </w:r>
          </w:p>
        </w:tc>
        <w:tc>
          <w:tcPr>
            <w:tcW w:w="1418" w:type="dxa"/>
            <w:tcBorders>
              <w:bottom w:val="nil"/>
            </w:tcBorders>
          </w:tcPr>
          <w:p w:rsidR="00F53A97" w:rsidRPr="001A6BB5" w:rsidRDefault="00F53A97"/>
        </w:tc>
      </w:tr>
      <w:tr w:rsidR="00F53A97" w:rsidRPr="001A6BB5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53A97" w:rsidRPr="001A6BB5" w:rsidRDefault="00F53A97"/>
        </w:tc>
        <w:tc>
          <w:tcPr>
            <w:tcW w:w="3012" w:type="dxa"/>
          </w:tcPr>
          <w:p w:rsidR="00F53A97" w:rsidRPr="001A6BB5" w:rsidRDefault="00F53A97"/>
        </w:tc>
        <w:tc>
          <w:tcPr>
            <w:tcW w:w="1418" w:type="dxa"/>
          </w:tcPr>
          <w:p w:rsidR="00F53A97" w:rsidRPr="001A6BB5" w:rsidRDefault="00F53A97"/>
        </w:tc>
      </w:tr>
    </w:tbl>
    <w:p w:rsidR="000D6E98" w:rsidRPr="001A6BB5" w:rsidRDefault="000D6E98" w:rsidP="000D6E98">
      <w:pPr>
        <w:pStyle w:val="R1"/>
        <w:spacing w:after="250"/>
      </w:pPr>
      <w:r w:rsidRPr="001A6BB5">
        <w:t>Till utrikesutskottet</w:t>
      </w:r>
    </w:p>
    <w:p w:rsidR="00F53A97" w:rsidRPr="001A6BB5" w:rsidRDefault="00A9338D" w:rsidP="000D6E98">
      <w:bookmarkStart w:id="2" w:name="TextStart"/>
      <w:bookmarkEnd w:id="2"/>
      <w:r w:rsidRPr="001A6BB5">
        <w:t xml:space="preserve">Utrikesutskottet </w:t>
      </w:r>
      <w:r w:rsidR="006E5713" w:rsidRPr="001A6BB5">
        <w:t xml:space="preserve">har den </w:t>
      </w:r>
      <w:r w:rsidR="002D625B" w:rsidRPr="001A6BB5">
        <w:t xml:space="preserve">28 mars 2006 </w:t>
      </w:r>
      <w:r w:rsidR="006E5713" w:rsidRPr="001A6BB5">
        <w:t>beslutat att ge EU-nämnden tillfälle att yttra sig över regeringens skrivelse 2005/06:85 Berättelse om verksamh</w:t>
      </w:r>
      <w:r w:rsidR="006E5713" w:rsidRPr="001A6BB5">
        <w:t>e</w:t>
      </w:r>
      <w:r w:rsidR="006E5713" w:rsidRPr="001A6BB5">
        <w:t>ten i Europ</w:t>
      </w:r>
      <w:r w:rsidR="006E5713" w:rsidRPr="001A6BB5">
        <w:t>e</w:t>
      </w:r>
      <w:r w:rsidR="006E5713" w:rsidRPr="001A6BB5">
        <w:t>iska unionen under 2005.</w:t>
      </w:r>
    </w:p>
    <w:p w:rsidR="006E5713" w:rsidRPr="001A6BB5" w:rsidRDefault="006E5713" w:rsidP="001A1799">
      <w:pPr>
        <w:pStyle w:val="Normaltindrag"/>
      </w:pPr>
      <w:r w:rsidRPr="001A6BB5">
        <w:t>EU-nämnden behandlar i detta yttrande</w:t>
      </w:r>
      <w:r w:rsidR="00DD7B5A" w:rsidRPr="001A6BB5">
        <w:t xml:space="preserve"> – liksom i tidigare yttranden – dels vissa övergripande frågor som gäller skrivelsens innehåll och regeringens samråd med riksdagen, dels vissa av de frågor som redovisas i skrivelsen och som nämnden velat särskilt uppmärksamma.</w:t>
      </w:r>
    </w:p>
    <w:p w:rsidR="006E5713" w:rsidRPr="001A6BB5" w:rsidRDefault="006E5713" w:rsidP="001C071F">
      <w:pPr>
        <w:pStyle w:val="Rubrik1"/>
        <w:spacing w:before="625" w:after="240"/>
        <w:rPr>
          <w:noProof w:val="0"/>
        </w:rPr>
      </w:pPr>
      <w:bookmarkStart w:id="3" w:name="_Toc133208996"/>
      <w:r w:rsidRPr="001A6BB5">
        <w:rPr>
          <w:noProof w:val="0"/>
        </w:rPr>
        <w:t>Regeringens skrivelse</w:t>
      </w:r>
      <w:bookmarkEnd w:id="3"/>
    </w:p>
    <w:p w:rsidR="006E5713" w:rsidRPr="001A6BB5" w:rsidRDefault="006E5713" w:rsidP="001C071F">
      <w:pPr>
        <w:spacing w:before="0"/>
      </w:pPr>
      <w:r w:rsidRPr="001A6BB5">
        <w:t>I skrivelsen om verksamheten i Europeiska unionen under 2005 behandlas Europeiska unionens övergripande utveckling (del 1), unionens förbindelse med omvärlden (del 2), ekonomiska och finansiella frågor (del 3) och rättsl</w:t>
      </w:r>
      <w:r w:rsidRPr="001A6BB5">
        <w:t>i</w:t>
      </w:r>
      <w:r w:rsidRPr="001A6BB5">
        <w:t>ga och inrikes frågor (del 4). Vidare behandlas unionens övriga politikomr</w:t>
      </w:r>
      <w:r w:rsidRPr="001A6BB5">
        <w:t>å</w:t>
      </w:r>
      <w:r w:rsidRPr="001A6BB5">
        <w:t>den (del</w:t>
      </w:r>
      <w:r w:rsidR="00923669" w:rsidRPr="001A6BB5">
        <w:t>arna</w:t>
      </w:r>
      <w:r w:rsidRPr="001A6BB5">
        <w:t xml:space="preserve"> 5</w:t>
      </w:r>
      <w:r w:rsidR="00923669" w:rsidRPr="001A6BB5">
        <w:t xml:space="preserve"> – </w:t>
      </w:r>
      <w:r w:rsidRPr="001A6BB5">
        <w:t>10). Slutligen redogörs för unionens institutioner m.m. (del 11).</w:t>
      </w:r>
    </w:p>
    <w:p w:rsidR="001A1799" w:rsidRPr="001A6BB5" w:rsidRDefault="001A1799" w:rsidP="001A1799"/>
    <w:p w:rsidR="001A1799" w:rsidRPr="001A6BB5" w:rsidRDefault="001A1799" w:rsidP="00ED33CA">
      <w:pPr>
        <w:pStyle w:val="R2"/>
        <w:sectPr w:rsidR="001A1799" w:rsidRPr="001A6BB5" w:rsidSect="001A179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6E5713" w:rsidRPr="001A6BB5" w:rsidRDefault="006E5713" w:rsidP="001C071F">
      <w:pPr>
        <w:pStyle w:val="Rubrik1"/>
        <w:spacing w:after="360"/>
        <w:rPr>
          <w:noProof w:val="0"/>
        </w:rPr>
      </w:pPr>
      <w:bookmarkStart w:id="4" w:name="_Toc133208997"/>
      <w:r w:rsidRPr="001A6BB5">
        <w:rPr>
          <w:noProof w:val="0"/>
        </w:rPr>
        <w:lastRenderedPageBreak/>
        <w:t>EU-nämnden</w:t>
      </w:r>
      <w:bookmarkEnd w:id="4"/>
    </w:p>
    <w:p w:rsidR="006E5713" w:rsidRPr="001A6BB5" w:rsidRDefault="00ED33CA" w:rsidP="001C071F">
      <w:pPr>
        <w:pStyle w:val="Rubrik2"/>
        <w:spacing w:before="0"/>
      </w:pPr>
      <w:bookmarkStart w:id="5" w:name="_Toc133208998"/>
      <w:r w:rsidRPr="001A6BB5">
        <w:t>Allmänna synpunkter på innehållet i skrivelsen</w:t>
      </w:r>
      <w:bookmarkEnd w:id="5"/>
    </w:p>
    <w:p w:rsidR="000A214A" w:rsidRPr="001A6BB5" w:rsidRDefault="00DD7B5A" w:rsidP="000A214A">
      <w:r w:rsidRPr="001A6BB5">
        <w:t>Enligt 10 kap. 6 § regeringsformen skall regeringen fortlöpande informera riksdagen och samråda med organ som utses av riksdagen om vad som sker inom ramen för samarbetet i Europeiska unionen. Enligt 10 kap. 1 § riksdag</w:t>
      </w:r>
      <w:r w:rsidRPr="001A6BB5">
        <w:t>s</w:t>
      </w:r>
      <w:r w:rsidRPr="001A6BB5">
        <w:t>ordningen skall regeringen varje år till riksdagen lämna en skrivelse med berättelse över verksamheten i Europeiska unionen. Regeringen skall dessu</w:t>
      </w:r>
      <w:r w:rsidRPr="001A6BB5">
        <w:t>t</w:t>
      </w:r>
      <w:r w:rsidRPr="001A6BB5">
        <w:t xml:space="preserve">om redovisa sitt agerande i EU för riksdagen. Den första skrivelsen </w:t>
      </w:r>
      <w:r w:rsidR="002D625B" w:rsidRPr="001A6BB5">
        <w:t xml:space="preserve"> </w:t>
      </w:r>
      <w:r w:rsidRPr="001A6BB5">
        <w:t>lämnades i mars 1996, och detta är således den elfte skrivelsen som lämnas till riksd</w:t>
      </w:r>
      <w:r w:rsidRPr="001A6BB5">
        <w:t>a</w:t>
      </w:r>
      <w:r w:rsidRPr="001A6BB5">
        <w:t>gen.</w:t>
      </w:r>
    </w:p>
    <w:p w:rsidR="005A742C" w:rsidRPr="001A6BB5" w:rsidRDefault="00DD7B5A" w:rsidP="005A742C">
      <w:pPr>
        <w:pStyle w:val="Normaltindrag"/>
      </w:pPr>
      <w:r w:rsidRPr="001A6BB5">
        <w:t>EU-nämnden bereddes tillfälle att yttra sig över skrivelsen för första gån</w:t>
      </w:r>
      <w:r w:rsidRPr="001A6BB5">
        <w:t>g</w:t>
      </w:r>
      <w:r w:rsidRPr="001A6BB5">
        <w:t>en våren 1999 och har därefter yttrat sig över varje års skrivelse. Även i år kan konstateras att skrivelsens utformning och innehåll utgör en mycket vä</w:t>
      </w:r>
      <w:r w:rsidRPr="001A6BB5">
        <w:t>r</w:t>
      </w:r>
      <w:r w:rsidRPr="001A6BB5">
        <w:t>defull översikt över EU:s hela verksamhet. Som EU-nämnden tidigare påp</w:t>
      </w:r>
      <w:r w:rsidRPr="001A6BB5">
        <w:t>e</w:t>
      </w:r>
      <w:r w:rsidRPr="001A6BB5">
        <w:t>kat utgör den också en bekräftelse på att regeringen har fullgjort sin inform</w:t>
      </w:r>
      <w:r w:rsidRPr="001A6BB5">
        <w:t>a</w:t>
      </w:r>
      <w:r w:rsidRPr="001A6BB5">
        <w:t xml:space="preserve">tions- och samrådsskyldighet visavi riksdagen. Den utgör därmed ett verktyg som underlättar för riksdagen att utöva sin kontrollmakt. Liksom föregående år har i stort sett alla viktiga sakfrågor </w:t>
      </w:r>
      <w:r w:rsidR="007D1E63" w:rsidRPr="001A6BB5">
        <w:t xml:space="preserve">på rådets dagordning </w:t>
      </w:r>
      <w:r w:rsidRPr="001A6BB5">
        <w:t>som tas upp i skrivelsen behandlats av EU-nämnden</w:t>
      </w:r>
      <w:r w:rsidR="00C83989" w:rsidRPr="001A6BB5">
        <w:t>.</w:t>
      </w:r>
      <w:r w:rsidRPr="001A6BB5">
        <w:t xml:space="preserve"> Många av de frågor som behan</w:t>
      </w:r>
      <w:r w:rsidRPr="001A6BB5">
        <w:t>d</w:t>
      </w:r>
      <w:r w:rsidRPr="001A6BB5">
        <w:t>las i skrivelsen är aktuella under flera år framöver, vilket medför att skrivelsen också är ett viktigt re</w:t>
      </w:r>
      <w:r w:rsidRPr="001A6BB5">
        <w:t>d</w:t>
      </w:r>
      <w:r w:rsidRPr="001A6BB5">
        <w:t>skap i riksdagens löpande arbete med EU-frågorna.</w:t>
      </w:r>
      <w:r w:rsidR="00180BD7" w:rsidRPr="001A6BB5">
        <w:t xml:space="preserve"> </w:t>
      </w:r>
    </w:p>
    <w:p w:rsidR="00381B7B" w:rsidRPr="001A6BB5" w:rsidRDefault="005A742C" w:rsidP="005A742C">
      <w:pPr>
        <w:pStyle w:val="Normaltindrag"/>
      </w:pPr>
      <w:r w:rsidRPr="001A6BB5">
        <w:t>Generellt anser EU-nämn</w:t>
      </w:r>
      <w:r w:rsidR="00381B7B" w:rsidRPr="001A6BB5">
        <w:t xml:space="preserve">den att årets skrivelse innehåller en bra </w:t>
      </w:r>
      <w:r w:rsidR="00CA6D93" w:rsidRPr="001A6BB5">
        <w:t xml:space="preserve">och lättillgänglig </w:t>
      </w:r>
      <w:r w:rsidR="00381B7B" w:rsidRPr="001A6BB5">
        <w:t>beskri</w:t>
      </w:r>
      <w:r w:rsidR="00381B7B" w:rsidRPr="001A6BB5">
        <w:t>v</w:t>
      </w:r>
      <w:r w:rsidR="00381B7B" w:rsidRPr="001A6BB5">
        <w:t xml:space="preserve">ning </w:t>
      </w:r>
      <w:r w:rsidR="00923669" w:rsidRPr="001A6BB5">
        <w:t>av</w:t>
      </w:r>
      <w:r w:rsidR="00381B7B" w:rsidRPr="001A6BB5">
        <w:t xml:space="preserve"> verksamheten i Europeiska unionen under </w:t>
      </w:r>
      <w:r w:rsidR="003A5106" w:rsidRPr="001A6BB5">
        <w:t xml:space="preserve">år </w:t>
      </w:r>
      <w:r w:rsidR="00381B7B" w:rsidRPr="001A6BB5">
        <w:t>2005.</w:t>
      </w:r>
      <w:r w:rsidR="00510BB5" w:rsidRPr="001A6BB5">
        <w:t xml:space="preserve"> </w:t>
      </w:r>
      <w:r w:rsidRPr="001A6BB5">
        <w:t xml:space="preserve">I </w:t>
      </w:r>
      <w:r w:rsidR="00CA1BE0" w:rsidRPr="001A6BB5">
        <w:t xml:space="preserve">vissa </w:t>
      </w:r>
      <w:r w:rsidRPr="001A6BB5">
        <w:t xml:space="preserve">avsnitt framgår all relevant information såsom rättslig grund för arbetet, </w:t>
      </w:r>
      <w:r w:rsidR="00381B7B" w:rsidRPr="001A6BB5">
        <w:t>syftet med åtgärden, dokumentnummer</w:t>
      </w:r>
      <w:r w:rsidRPr="001A6BB5">
        <w:t>, information om fakta</w:t>
      </w:r>
      <w:r w:rsidR="00057705" w:rsidRPr="001A6BB5">
        <w:t>prom</w:t>
      </w:r>
      <w:r w:rsidR="00057705" w:rsidRPr="001A6BB5">
        <w:t>e</w:t>
      </w:r>
      <w:r w:rsidR="00057705" w:rsidRPr="001A6BB5">
        <w:t>morior</w:t>
      </w:r>
      <w:r w:rsidRPr="001A6BB5">
        <w:t xml:space="preserve">, </w:t>
      </w:r>
      <w:r w:rsidR="00381B7B" w:rsidRPr="001A6BB5">
        <w:t xml:space="preserve">information om </w:t>
      </w:r>
      <w:r w:rsidR="00057705" w:rsidRPr="001A6BB5">
        <w:t>när ärendet har behandlats i ministerrådet samt kor</w:t>
      </w:r>
      <w:r w:rsidR="00057705" w:rsidRPr="001A6BB5">
        <w:t>t</w:t>
      </w:r>
      <w:r w:rsidR="00057705" w:rsidRPr="001A6BB5">
        <w:t xml:space="preserve">fattad svensk hållning. I vissa </w:t>
      </w:r>
      <w:r w:rsidR="00CA1BE0" w:rsidRPr="001A6BB5">
        <w:t xml:space="preserve">andra </w:t>
      </w:r>
      <w:r w:rsidR="00057705" w:rsidRPr="001A6BB5">
        <w:t xml:space="preserve">fall är </w:t>
      </w:r>
      <w:r w:rsidR="00381B7B" w:rsidRPr="001A6BB5">
        <w:t xml:space="preserve">dock </w:t>
      </w:r>
      <w:r w:rsidR="00057705" w:rsidRPr="001A6BB5">
        <w:t>informationen mycket knap</w:t>
      </w:r>
      <w:r w:rsidR="00057705" w:rsidRPr="001A6BB5">
        <w:t>p</w:t>
      </w:r>
      <w:r w:rsidR="00057705" w:rsidRPr="001A6BB5">
        <w:t>händig, vilket kräver att läsaren måste vara väl förtrogen med EU:s beslutsv</w:t>
      </w:r>
      <w:r w:rsidR="00057705" w:rsidRPr="001A6BB5">
        <w:t>ä</w:t>
      </w:r>
      <w:r w:rsidR="00057705" w:rsidRPr="001A6BB5">
        <w:t>gar samt besitta kunskap om hur man går till</w:t>
      </w:r>
      <w:r w:rsidR="00923669" w:rsidRPr="001A6BB5">
        <w:t xml:space="preserve"> </w:t>
      </w:r>
      <w:r w:rsidR="00057705" w:rsidRPr="001A6BB5">
        <w:t>väga för att finna ytte</w:t>
      </w:r>
      <w:r w:rsidR="00057705" w:rsidRPr="001A6BB5">
        <w:t>r</w:t>
      </w:r>
      <w:r w:rsidR="00057705" w:rsidRPr="001A6BB5">
        <w:t>ligare information i ärendet.</w:t>
      </w:r>
      <w:r w:rsidR="00381B7B" w:rsidRPr="001A6BB5">
        <w:t xml:space="preserve"> Det kunde enligt nämndens mening vara värd</w:t>
      </w:r>
      <w:r w:rsidR="00381B7B" w:rsidRPr="001A6BB5">
        <w:t>e</w:t>
      </w:r>
      <w:r w:rsidR="00381B7B" w:rsidRPr="001A6BB5">
        <w:t>fullt om de olika avsnitten var utformade enligt en enhetlig mall så att alla avsnitt gav tillräc</w:t>
      </w:r>
      <w:r w:rsidR="00381B7B" w:rsidRPr="001A6BB5">
        <w:t>k</w:t>
      </w:r>
      <w:r w:rsidR="00381B7B" w:rsidRPr="001A6BB5">
        <w:t>lig information om ärendet i fråga. Ett minimikrav bör exempelvis vara att dokumentnummer anges.</w:t>
      </w:r>
      <w:r w:rsidR="006104C6" w:rsidRPr="001A6BB5">
        <w:t xml:space="preserve"> </w:t>
      </w:r>
    </w:p>
    <w:p w:rsidR="006104C6" w:rsidRPr="001A6BB5" w:rsidRDefault="006104C6" w:rsidP="005A742C">
      <w:pPr>
        <w:pStyle w:val="Normaltindrag"/>
      </w:pPr>
      <w:r w:rsidRPr="001A6BB5">
        <w:t>EU-nämnden har också tidigare framhållit att det kan vara intressant att veta i vilken sammansättning rådet hanterar en fråga. I de flesta fall framgår det av sammanhanget vilka ministrar som är berörda men ibland är det oklart. Läsningen av skrivelsen och ytterligare inhämtning av f</w:t>
      </w:r>
      <w:r w:rsidR="009A751A" w:rsidRPr="001A6BB5">
        <w:t xml:space="preserve">akta skulle underlättas om det angavs i vilken sammansättning </w:t>
      </w:r>
      <w:r w:rsidR="002D625B" w:rsidRPr="001A6BB5">
        <w:t xml:space="preserve"> </w:t>
      </w:r>
      <w:r w:rsidR="009A751A" w:rsidRPr="001A6BB5">
        <w:t xml:space="preserve">rådet </w:t>
      </w:r>
      <w:r w:rsidR="002D625B" w:rsidRPr="001A6BB5">
        <w:t xml:space="preserve"> </w:t>
      </w:r>
      <w:r w:rsidR="009A751A" w:rsidRPr="001A6BB5">
        <w:t>har agerat och när det aktuella rådsmötet ägt rum.</w:t>
      </w:r>
    </w:p>
    <w:p w:rsidR="005A742C" w:rsidRPr="001A6BB5" w:rsidRDefault="00381B7B" w:rsidP="005A742C">
      <w:pPr>
        <w:pStyle w:val="Normaltindrag"/>
      </w:pPr>
      <w:r w:rsidRPr="001A6BB5">
        <w:t xml:space="preserve">Nämnden anser vidare att </w:t>
      </w:r>
      <w:r w:rsidR="00510BB5" w:rsidRPr="001A6BB5">
        <w:t xml:space="preserve">i de fall </w:t>
      </w:r>
      <w:r w:rsidR="00901541" w:rsidRPr="001A6BB5">
        <w:t xml:space="preserve">det i texten redovisas ställningstaganden i </w:t>
      </w:r>
      <w:r w:rsidR="00510BB5" w:rsidRPr="001A6BB5">
        <w:t xml:space="preserve">specifika </w:t>
      </w:r>
      <w:r w:rsidR="00901541" w:rsidRPr="001A6BB5">
        <w:t>ärenden</w:t>
      </w:r>
      <w:r w:rsidR="00510BB5" w:rsidRPr="001A6BB5">
        <w:t xml:space="preserve"> bör </w:t>
      </w:r>
      <w:r w:rsidRPr="001A6BB5">
        <w:t>det i större utsträckning göras åtskillnad mellan rege</w:t>
      </w:r>
      <w:r w:rsidRPr="001A6BB5">
        <w:t>r</w:t>
      </w:r>
      <w:r w:rsidRPr="001A6BB5">
        <w:t xml:space="preserve">ingens uppfattning </w:t>
      </w:r>
      <w:r w:rsidR="00923669" w:rsidRPr="001A6BB5">
        <w:t>och</w:t>
      </w:r>
      <w:r w:rsidRPr="001A6BB5">
        <w:t xml:space="preserve"> </w:t>
      </w:r>
      <w:r w:rsidR="00901541" w:rsidRPr="001A6BB5">
        <w:rPr>
          <w:i/>
        </w:rPr>
        <w:t>Sveriges</w:t>
      </w:r>
      <w:r w:rsidR="00901541" w:rsidRPr="001A6BB5">
        <w:t xml:space="preserve"> position</w:t>
      </w:r>
      <w:r w:rsidR="00510BB5" w:rsidRPr="001A6BB5">
        <w:t>.</w:t>
      </w:r>
      <w:r w:rsidR="00901541" w:rsidRPr="001A6BB5">
        <w:t xml:space="preserve"> Det förekommer att </w:t>
      </w:r>
      <w:r w:rsidR="003A5106" w:rsidRPr="001A6BB5">
        <w:t>skrivelsen</w:t>
      </w:r>
      <w:r w:rsidR="00901541" w:rsidRPr="001A6BB5">
        <w:t xml:space="preserve"> redovisar ärenden där den svenska positionen </w:t>
      </w:r>
      <w:r w:rsidR="00510BB5" w:rsidRPr="001A6BB5">
        <w:t xml:space="preserve">inte </w:t>
      </w:r>
      <w:r w:rsidR="00901541" w:rsidRPr="001A6BB5">
        <w:t>är förankrad i rik</w:t>
      </w:r>
      <w:r w:rsidR="00901541" w:rsidRPr="001A6BB5">
        <w:t>s</w:t>
      </w:r>
      <w:r w:rsidR="00901541" w:rsidRPr="001A6BB5">
        <w:t xml:space="preserve">dagen och där man </w:t>
      </w:r>
      <w:r w:rsidR="00510BB5" w:rsidRPr="001A6BB5">
        <w:t>ännu</w:t>
      </w:r>
      <w:r w:rsidR="00901541" w:rsidRPr="001A6BB5">
        <w:t xml:space="preserve"> inte kan tala om </w:t>
      </w:r>
      <w:r w:rsidR="00C83989" w:rsidRPr="001A6BB5">
        <w:rPr>
          <w:i/>
        </w:rPr>
        <w:t>Sveriges</w:t>
      </w:r>
      <w:r w:rsidR="00C83989" w:rsidRPr="001A6BB5">
        <w:t xml:space="preserve"> p</w:t>
      </w:r>
      <w:r w:rsidR="00901541" w:rsidRPr="001A6BB5">
        <w:t>osition.</w:t>
      </w:r>
      <w:r w:rsidRPr="001A6BB5">
        <w:t xml:space="preserve"> </w:t>
      </w:r>
      <w:r w:rsidR="00510BB5" w:rsidRPr="001A6BB5">
        <w:t>Ett exempel på detta är</w:t>
      </w:r>
      <w:r w:rsidR="002D625B" w:rsidRPr="001A6BB5">
        <w:t xml:space="preserve"> vad som sägs</w:t>
      </w:r>
      <w:r w:rsidR="0054394B" w:rsidRPr="001A6BB5">
        <w:t xml:space="preserve"> </w:t>
      </w:r>
      <w:r w:rsidR="00B113A7" w:rsidRPr="001A6BB5">
        <w:t xml:space="preserve">i skrivelsen </w:t>
      </w:r>
      <w:r w:rsidR="0054394B" w:rsidRPr="001A6BB5">
        <w:t xml:space="preserve">om </w:t>
      </w:r>
      <w:r w:rsidR="00EE785B" w:rsidRPr="001A6BB5">
        <w:t xml:space="preserve">förslaget om direktiv om regler för marknaden för pyrotekniska artiklar </w:t>
      </w:r>
      <w:r w:rsidR="0054394B" w:rsidRPr="001A6BB5">
        <w:t>(</w:t>
      </w:r>
      <w:r w:rsidR="002D625B" w:rsidRPr="001A6BB5">
        <w:t>avsnitt</w:t>
      </w:r>
      <w:r w:rsidR="00510BB5" w:rsidRPr="001A6BB5">
        <w:t xml:space="preserve"> </w:t>
      </w:r>
      <w:r w:rsidR="00EE785B" w:rsidRPr="001A6BB5">
        <w:t>28.4</w:t>
      </w:r>
      <w:r w:rsidR="0054394B" w:rsidRPr="001A6BB5">
        <w:t>)</w:t>
      </w:r>
      <w:r w:rsidR="00510BB5" w:rsidRPr="001A6BB5">
        <w:t xml:space="preserve"> där </w:t>
      </w:r>
      <w:r w:rsidR="00B113A7" w:rsidRPr="001A6BB5">
        <w:t xml:space="preserve"> </w:t>
      </w:r>
      <w:r w:rsidR="00510BB5" w:rsidRPr="001A6BB5">
        <w:rPr>
          <w:i/>
        </w:rPr>
        <w:t>Sveriges</w:t>
      </w:r>
      <w:r w:rsidR="00510BB5" w:rsidRPr="001A6BB5">
        <w:t xml:space="preserve"> uppfattning </w:t>
      </w:r>
      <w:r w:rsidR="00EE785B" w:rsidRPr="001A6BB5">
        <w:t>redovisas</w:t>
      </w:r>
      <w:r w:rsidR="00510BB5" w:rsidRPr="001A6BB5">
        <w:t xml:space="preserve">. </w:t>
      </w:r>
    </w:p>
    <w:p w:rsidR="008941DE" w:rsidRPr="001A6BB5" w:rsidRDefault="005A742C" w:rsidP="005A742C">
      <w:pPr>
        <w:pStyle w:val="Normaltindrag"/>
      </w:pPr>
      <w:r w:rsidRPr="001A6BB5">
        <w:t>E</w:t>
      </w:r>
      <w:r w:rsidR="008941DE" w:rsidRPr="001A6BB5">
        <w:t>U-nämnden har i tidigare yttranden över skrivelsen om verksamheten i Eur</w:t>
      </w:r>
      <w:r w:rsidR="008941DE" w:rsidRPr="001A6BB5">
        <w:t>o</w:t>
      </w:r>
      <w:r w:rsidR="008941DE" w:rsidRPr="001A6BB5">
        <w:t>peiska unionen framhållit att det vore värdefullt om uppgifter om hur Sverige röstat i rådet redovisades inte bara i den löpande texten utan också samlat på ett ställe i skrivelsen så att riksdagen kan få en komplett och öve</w:t>
      </w:r>
      <w:r w:rsidR="008941DE" w:rsidRPr="001A6BB5">
        <w:t>r</w:t>
      </w:r>
      <w:r w:rsidR="008941DE" w:rsidRPr="001A6BB5">
        <w:t xml:space="preserve">siktlig bild av hur regeringen har agerat i EU i detta avseende. EU-nämnden välkomnar därför att det i årets skrivelse finns en samlad redovisning av beslut i rådet under </w:t>
      </w:r>
      <w:r w:rsidR="007D1E63" w:rsidRPr="001A6BB5">
        <w:t xml:space="preserve">år </w:t>
      </w:r>
      <w:r w:rsidR="008941DE" w:rsidRPr="001A6BB5">
        <w:t>2005 som Sverige inte stött (bilaga 5).</w:t>
      </w:r>
      <w:r w:rsidR="000A214A" w:rsidRPr="001A6BB5">
        <w:t xml:space="preserve"> </w:t>
      </w:r>
      <w:r w:rsidR="00E918A9" w:rsidRPr="001A6BB5">
        <w:t>EU-nämnden har dock i skrivelsen i avsnitt 32.2 funnit ytterligare ett beslut där Sv</w:t>
      </w:r>
      <w:r w:rsidR="00E918A9" w:rsidRPr="001A6BB5">
        <w:t>e</w:t>
      </w:r>
      <w:r w:rsidR="00E918A9" w:rsidRPr="001A6BB5">
        <w:t xml:space="preserve">rige röstat nej, nämligen </w:t>
      </w:r>
      <w:r w:rsidR="00E615EB" w:rsidRPr="001A6BB5">
        <w:t>direktivet om otillbörliga affärsmetoder</w:t>
      </w:r>
      <w:r w:rsidR="00E918A9" w:rsidRPr="001A6BB5">
        <w:t xml:space="preserve">. </w:t>
      </w:r>
      <w:r w:rsidR="002D625B" w:rsidRPr="001A6BB5">
        <w:t>Vidare vore det värdefullt om det i den aktuella bilagan hade funnits uppgift om vilket råd</w:t>
      </w:r>
      <w:r w:rsidR="002D625B" w:rsidRPr="001A6BB5">
        <w:t>s</w:t>
      </w:r>
      <w:r w:rsidR="002D625B" w:rsidRPr="001A6BB5">
        <w:t>möte som avses</w:t>
      </w:r>
      <w:r w:rsidR="00E918A9" w:rsidRPr="001A6BB5">
        <w:t xml:space="preserve"> och när detta har ägt rum.</w:t>
      </w:r>
      <w:r w:rsidR="002D625B" w:rsidRPr="001A6BB5">
        <w:t xml:space="preserve"> </w:t>
      </w:r>
    </w:p>
    <w:p w:rsidR="003A5106" w:rsidRPr="001A6BB5" w:rsidRDefault="005A742C" w:rsidP="00E918A9">
      <w:pPr>
        <w:pStyle w:val="Normaltindrag"/>
      </w:pPr>
      <w:r w:rsidRPr="001A6BB5">
        <w:t>Nämnden har tidigare efterlyst en bilaga över viktigare förordningar, d</w:t>
      </w:r>
      <w:r w:rsidRPr="001A6BB5">
        <w:t>i</w:t>
      </w:r>
      <w:r w:rsidRPr="001A6BB5">
        <w:t xml:space="preserve">rektiv och beslut (dvs. bindande rättsakter) antagna under verksamhetsåret, liksom uppgifter om grönböcker och vitböcker beslutade av kommissionen under året. </w:t>
      </w:r>
      <w:r w:rsidR="009C5A7E" w:rsidRPr="001A6BB5">
        <w:t xml:space="preserve">EU-nämnden välkomnar </w:t>
      </w:r>
      <w:r w:rsidR="008460CB" w:rsidRPr="001A6BB5">
        <w:t>att skrivelse</w:t>
      </w:r>
      <w:r w:rsidR="009D0131" w:rsidRPr="001A6BB5">
        <w:t>n i år innehåller en utökad lista med Internetlänkar</w:t>
      </w:r>
      <w:r w:rsidR="008460CB" w:rsidRPr="001A6BB5">
        <w:t xml:space="preserve"> </w:t>
      </w:r>
      <w:r w:rsidR="00F84B2D" w:rsidRPr="001A6BB5">
        <w:t xml:space="preserve">till </w:t>
      </w:r>
      <w:r w:rsidR="00EE785B" w:rsidRPr="001A6BB5">
        <w:t xml:space="preserve">rättsakter, </w:t>
      </w:r>
      <w:r w:rsidR="008460CB" w:rsidRPr="001A6BB5">
        <w:t>grönböcker, vitböcker</w:t>
      </w:r>
      <w:r w:rsidR="009D0131" w:rsidRPr="001A6BB5">
        <w:t>,</w:t>
      </w:r>
      <w:r w:rsidR="008460CB" w:rsidRPr="001A6BB5">
        <w:t xml:space="preserve"> </w:t>
      </w:r>
      <w:r w:rsidR="00E615EB" w:rsidRPr="001A6BB5">
        <w:t>rådsd</w:t>
      </w:r>
      <w:r w:rsidR="00E615EB" w:rsidRPr="001A6BB5">
        <w:t>o</w:t>
      </w:r>
      <w:r w:rsidR="00E615EB" w:rsidRPr="001A6BB5">
        <w:t>kument samt till kommissionens allmänna rapport om Europeiska unionens verksa</w:t>
      </w:r>
      <w:r w:rsidR="00E615EB" w:rsidRPr="001A6BB5">
        <w:t>m</w:t>
      </w:r>
      <w:r w:rsidR="00E615EB" w:rsidRPr="001A6BB5">
        <w:t>het</w:t>
      </w:r>
      <w:r w:rsidR="009D0131" w:rsidRPr="001A6BB5">
        <w:t xml:space="preserve"> m.m.</w:t>
      </w:r>
      <w:r w:rsidR="00E615EB" w:rsidRPr="001A6BB5">
        <w:t xml:space="preserve"> </w:t>
      </w:r>
      <w:bookmarkStart w:id="6" w:name="_Toc101078472"/>
      <w:bookmarkStart w:id="7" w:name="_Toc101079326"/>
    </w:p>
    <w:p w:rsidR="00865EA1" w:rsidRPr="001A6BB5" w:rsidRDefault="00865EA1" w:rsidP="001A1799">
      <w:pPr>
        <w:pStyle w:val="Rubrik2"/>
      </w:pPr>
      <w:bookmarkStart w:id="8" w:name="_Toc133208999"/>
      <w:r w:rsidRPr="001A6BB5">
        <w:t xml:space="preserve">Den övergripande utvecklingen i Europeiska </w:t>
      </w:r>
      <w:r w:rsidRPr="001A6BB5">
        <w:rPr>
          <w:szCs w:val="28"/>
        </w:rPr>
        <w:t>unionen</w:t>
      </w:r>
      <w:r w:rsidRPr="001A6BB5">
        <w:t xml:space="preserve"> (del 1)</w:t>
      </w:r>
      <w:bookmarkEnd w:id="6"/>
      <w:bookmarkEnd w:id="7"/>
      <w:bookmarkEnd w:id="8"/>
    </w:p>
    <w:p w:rsidR="007004AD" w:rsidRPr="001A6BB5" w:rsidRDefault="00865EA1" w:rsidP="001A1799">
      <w:r w:rsidRPr="001A6BB5">
        <w:t>I skrivelsen redogörs kortfattat för utvidgningen av unionen (avsnitt 3) och för det konstitutionella fördraget (avsnitt 4). Beträffande utvidgningen tas i skrive</w:t>
      </w:r>
      <w:r w:rsidRPr="001A6BB5">
        <w:t>l</w:t>
      </w:r>
      <w:r w:rsidRPr="001A6BB5">
        <w:t>sen upp kommissionens utvidgningsstrategi, förhandlingarna med Bulgarien och Rumänien samt Turkiet och Kroatien.  Medlemskapsperspekt</w:t>
      </w:r>
      <w:r w:rsidRPr="001A6BB5">
        <w:t>i</w:t>
      </w:r>
      <w:r w:rsidRPr="001A6BB5">
        <w:t>vet återkommer också under avsnittet om EU:s bilaterala och regionala fö</w:t>
      </w:r>
      <w:r w:rsidRPr="001A6BB5">
        <w:t>r</w:t>
      </w:r>
      <w:r w:rsidRPr="001A6BB5">
        <w:t>bindelser (avsnitt 11).</w:t>
      </w:r>
      <w:r w:rsidR="007259D0" w:rsidRPr="001A6BB5">
        <w:t xml:space="preserve"> </w:t>
      </w:r>
    </w:p>
    <w:p w:rsidR="007004AD" w:rsidRPr="001A6BB5" w:rsidRDefault="00865EA1" w:rsidP="007004AD">
      <w:pPr>
        <w:pStyle w:val="Normaltindrag"/>
      </w:pPr>
      <w:r w:rsidRPr="001A6BB5">
        <w:t>EU-nämnden har liksom tidigare år ägnat stor uppmärksamhet åt den for</w:t>
      </w:r>
      <w:r w:rsidRPr="001A6BB5">
        <w:t>t</w:t>
      </w:r>
      <w:r w:rsidRPr="001A6BB5">
        <w:t>satta utvidgningen av unionen. EU-nämnden stödde regeringen i frågan om att rådet borde ge Makedonien status som kandidatland utan datum för en förhandlingsstart</w:t>
      </w:r>
      <w:r w:rsidR="007004AD" w:rsidRPr="001A6BB5">
        <w:t>,</w:t>
      </w:r>
      <w:r w:rsidRPr="001A6BB5">
        <w:t xml:space="preserve"> och att rådet antog slutsatser som bekräftar medlemskap</w:t>
      </w:r>
      <w:r w:rsidRPr="001A6BB5">
        <w:t>s</w:t>
      </w:r>
      <w:r w:rsidRPr="001A6BB5">
        <w:t xml:space="preserve">perspektivet för övriga länder inom </w:t>
      </w:r>
      <w:r w:rsidR="00435F23" w:rsidRPr="001A6BB5">
        <w:t>V</w:t>
      </w:r>
      <w:r w:rsidRPr="001A6BB5">
        <w:t>ästra Balkan, liksom EU:s grannskap</w:t>
      </w:r>
      <w:r w:rsidRPr="001A6BB5">
        <w:t>s</w:t>
      </w:r>
      <w:r w:rsidRPr="001A6BB5">
        <w:t>politik.</w:t>
      </w:r>
      <w:r w:rsidR="007259D0" w:rsidRPr="001A6BB5">
        <w:t xml:space="preserve"> </w:t>
      </w:r>
      <w:r w:rsidR="00F35DAA" w:rsidRPr="001A6BB5">
        <w:t xml:space="preserve">Liksom under tidigare år har utvidgningsfrågorna varit aktuella  i </w:t>
      </w:r>
      <w:r w:rsidR="00F35DAA" w:rsidRPr="001A6BB5">
        <w:rPr>
          <w:sz w:val="18"/>
          <w:szCs w:val="18"/>
        </w:rPr>
        <w:t xml:space="preserve"> EU-nämndens besöksutbyte och övriga kontakter med kolleger i andra parl</w:t>
      </w:r>
      <w:r w:rsidR="00F35DAA" w:rsidRPr="001A6BB5">
        <w:rPr>
          <w:sz w:val="18"/>
          <w:szCs w:val="18"/>
        </w:rPr>
        <w:t>a</w:t>
      </w:r>
      <w:r w:rsidR="00F35DAA" w:rsidRPr="001A6BB5">
        <w:rPr>
          <w:sz w:val="18"/>
          <w:szCs w:val="18"/>
        </w:rPr>
        <w:t>ment.</w:t>
      </w:r>
    </w:p>
    <w:p w:rsidR="00A33751" w:rsidRPr="001A6BB5" w:rsidRDefault="00F35DAA" w:rsidP="00A33751">
      <w:pPr>
        <w:pStyle w:val="Normaltindrag"/>
        <w:rPr>
          <w:szCs w:val="19"/>
        </w:rPr>
      </w:pPr>
      <w:r w:rsidRPr="001A6BB5">
        <w:rPr>
          <w:szCs w:val="19"/>
        </w:rPr>
        <w:t>I skrivelsen tas situationen beträffande det konstitutionella fördraget upp (a</w:t>
      </w:r>
      <w:r w:rsidRPr="001A6BB5">
        <w:rPr>
          <w:szCs w:val="19"/>
        </w:rPr>
        <w:t>v</w:t>
      </w:r>
      <w:r w:rsidRPr="001A6BB5">
        <w:rPr>
          <w:szCs w:val="19"/>
        </w:rPr>
        <w:t xml:space="preserve">snitt 4). </w:t>
      </w:r>
      <w:r w:rsidR="00435F23" w:rsidRPr="001A6BB5">
        <w:rPr>
          <w:szCs w:val="19"/>
        </w:rPr>
        <w:t>Vid</w:t>
      </w:r>
      <w:r w:rsidRPr="001A6BB5">
        <w:rPr>
          <w:szCs w:val="19"/>
        </w:rPr>
        <w:t xml:space="preserve"> samrådet </w:t>
      </w:r>
      <w:r w:rsidR="00F13891" w:rsidRPr="001A6BB5">
        <w:rPr>
          <w:szCs w:val="19"/>
        </w:rPr>
        <w:t xml:space="preserve">den 14 juni </w:t>
      </w:r>
      <w:r w:rsidRPr="001A6BB5">
        <w:rPr>
          <w:szCs w:val="19"/>
        </w:rPr>
        <w:t>inför Europeiska rådets möte i juni 2005 disk</w:t>
      </w:r>
      <w:r w:rsidRPr="001A6BB5">
        <w:rPr>
          <w:szCs w:val="19"/>
        </w:rPr>
        <w:t>u</w:t>
      </w:r>
      <w:r w:rsidRPr="001A6BB5">
        <w:rPr>
          <w:szCs w:val="19"/>
        </w:rPr>
        <w:t xml:space="preserve">terades frågan om fördragets framtid ingående. EU-nämndens ledamöter uttryckte stöd för en reflektionsperiod för att ge tid för eftertanke och debatt om EU:s utveckling. EU-nämnden hade tidigare, </w:t>
      </w:r>
      <w:r w:rsidR="00F13891" w:rsidRPr="001A6BB5">
        <w:rPr>
          <w:szCs w:val="19"/>
        </w:rPr>
        <w:t xml:space="preserve">den 25 </w:t>
      </w:r>
      <w:r w:rsidRPr="001A6BB5">
        <w:rPr>
          <w:szCs w:val="19"/>
        </w:rPr>
        <w:t>april, hållit en offen</w:t>
      </w:r>
      <w:r w:rsidRPr="001A6BB5">
        <w:rPr>
          <w:szCs w:val="19"/>
        </w:rPr>
        <w:t>t</w:t>
      </w:r>
      <w:r w:rsidRPr="001A6BB5">
        <w:rPr>
          <w:szCs w:val="19"/>
        </w:rPr>
        <w:t>lig utfrågning om fördraget</w:t>
      </w:r>
      <w:r w:rsidR="00F13891" w:rsidRPr="001A6BB5">
        <w:rPr>
          <w:szCs w:val="19"/>
        </w:rPr>
        <w:t xml:space="preserve"> där bl.a. nyheter i förhållande till gällande fördrag samt deba</w:t>
      </w:r>
      <w:r w:rsidR="00F13891" w:rsidRPr="001A6BB5">
        <w:rPr>
          <w:szCs w:val="19"/>
        </w:rPr>
        <w:t>t</w:t>
      </w:r>
      <w:r w:rsidR="00F13891" w:rsidRPr="001A6BB5">
        <w:rPr>
          <w:szCs w:val="19"/>
        </w:rPr>
        <w:t>ten i Europa och i Sverige togs upp.</w:t>
      </w:r>
      <w:r w:rsidR="008D1A80" w:rsidRPr="001A6BB5">
        <w:rPr>
          <w:szCs w:val="19"/>
        </w:rPr>
        <w:t xml:space="preserve"> </w:t>
      </w:r>
    </w:p>
    <w:p w:rsidR="00865EA1" w:rsidRPr="001A6BB5" w:rsidRDefault="00231158" w:rsidP="00365C9D">
      <w:pPr>
        <w:pStyle w:val="Normaltindrag"/>
        <w:rPr>
          <w:sz w:val="18"/>
          <w:szCs w:val="18"/>
        </w:rPr>
      </w:pPr>
      <w:r w:rsidRPr="001A6BB5">
        <w:t>Föregående år inleddes för EU-nämndens del med skriftliga samråd i</w:t>
      </w:r>
      <w:r w:rsidRPr="001A6BB5">
        <w:t>n</w:t>
      </w:r>
      <w:r w:rsidRPr="001A6BB5">
        <w:t>för extrainsatta rådsmöten med anledning av flodvågskatastrofen i Asien. Frågo</w:t>
      </w:r>
      <w:r w:rsidRPr="001A6BB5">
        <w:t>r</w:t>
      </w:r>
      <w:r w:rsidRPr="001A6BB5">
        <w:t xml:space="preserve">na följdes sedan upp i samband med ytterligare rådsmöten. Det svenska </w:t>
      </w:r>
      <w:r w:rsidR="00CF70D9" w:rsidRPr="001A6BB5">
        <w:t>initi</w:t>
      </w:r>
      <w:r w:rsidR="00CF70D9" w:rsidRPr="001A6BB5">
        <w:t>a</w:t>
      </w:r>
      <w:r w:rsidR="00CF70D9" w:rsidRPr="001A6BB5">
        <w:t>tivet</w:t>
      </w:r>
      <w:r w:rsidRPr="001A6BB5">
        <w:t xml:space="preserve"> att använda den civil-militära cellen för större EU-koordinerade insa</w:t>
      </w:r>
      <w:r w:rsidRPr="001A6BB5">
        <w:t>t</w:t>
      </w:r>
      <w:r w:rsidRPr="001A6BB5">
        <w:t>ser diskuterades och stöddes av EU-nämnden. Det framgår dock inte av skrive</w:t>
      </w:r>
      <w:r w:rsidRPr="001A6BB5">
        <w:t>l</w:t>
      </w:r>
      <w:r w:rsidRPr="001A6BB5">
        <w:t>sen hur arbetet med detta förslag har fortskridit. Kris- och katastrofb</w:t>
      </w:r>
      <w:r w:rsidRPr="001A6BB5">
        <w:t>e</w:t>
      </w:r>
      <w:r w:rsidRPr="001A6BB5">
        <w:t>redskap tas för övrigt upp både i kapitlet EU:s förbindelser med omvärlden (a</w:t>
      </w:r>
      <w:r w:rsidRPr="001A6BB5">
        <w:t>v</w:t>
      </w:r>
      <w:r w:rsidRPr="001A6BB5">
        <w:t>snitt 8.10) och i kapitlet Rättsliga och inrikes frågor (avsnitt 21 Skydd och bere</w:t>
      </w:r>
      <w:r w:rsidRPr="001A6BB5">
        <w:t>d</w:t>
      </w:r>
      <w:r w:rsidRPr="001A6BB5">
        <w:t xml:space="preserve">skap). Hur dessa olika förslag och åtgärder förhåller sig till varandra förefaller oklart. 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En viktig fråga under året har också varit förhandlingarna om EU:s fina</w:t>
      </w:r>
      <w:r w:rsidRPr="001A6BB5">
        <w:rPr>
          <w:szCs w:val="19"/>
        </w:rPr>
        <w:t>n</w:t>
      </w:r>
      <w:r w:rsidRPr="001A6BB5">
        <w:rPr>
          <w:szCs w:val="19"/>
        </w:rPr>
        <w:t>siella perspektiv (avsnitt 5). Slutförhandlingarna mellan rådet, kommissionen och Eur</w:t>
      </w:r>
      <w:r w:rsidRPr="001A6BB5">
        <w:rPr>
          <w:szCs w:val="19"/>
        </w:rPr>
        <w:t>o</w:t>
      </w:r>
      <w:r w:rsidRPr="001A6BB5">
        <w:rPr>
          <w:szCs w:val="19"/>
        </w:rPr>
        <w:t xml:space="preserve">paparlamentet fortsätter under </w:t>
      </w:r>
      <w:r w:rsidR="007D1E63" w:rsidRPr="001A6BB5">
        <w:rPr>
          <w:szCs w:val="19"/>
        </w:rPr>
        <w:t xml:space="preserve">år </w:t>
      </w:r>
      <w:r w:rsidRPr="001A6BB5">
        <w:rPr>
          <w:szCs w:val="19"/>
        </w:rPr>
        <w:t>2006. EU-nämnden har liksom föregående år b</w:t>
      </w:r>
      <w:r w:rsidRPr="001A6BB5">
        <w:rPr>
          <w:szCs w:val="19"/>
        </w:rPr>
        <w:t>e</w:t>
      </w:r>
      <w:r w:rsidRPr="001A6BB5">
        <w:rPr>
          <w:szCs w:val="19"/>
        </w:rPr>
        <w:t>handla</w:t>
      </w:r>
      <w:r w:rsidR="00292BA4" w:rsidRPr="001A6BB5">
        <w:rPr>
          <w:szCs w:val="19"/>
        </w:rPr>
        <w:t>t</w:t>
      </w:r>
      <w:r w:rsidRPr="001A6BB5">
        <w:rPr>
          <w:szCs w:val="19"/>
        </w:rPr>
        <w:t xml:space="preserve"> frågan dels i samband med samrådet inför Allmänna rådet och Ekofin, dels i en beredningsgrupp med företrädare för varje rik</w:t>
      </w:r>
      <w:r w:rsidRPr="001A6BB5">
        <w:rPr>
          <w:szCs w:val="19"/>
        </w:rPr>
        <w:t>s</w:t>
      </w:r>
      <w:r w:rsidRPr="001A6BB5">
        <w:rPr>
          <w:szCs w:val="19"/>
        </w:rPr>
        <w:t>dagsparti.</w:t>
      </w:r>
      <w:r w:rsidR="00292BA4" w:rsidRPr="001A6BB5">
        <w:rPr>
          <w:szCs w:val="19"/>
        </w:rPr>
        <w:t xml:space="preserve"> </w:t>
      </w:r>
      <w:r w:rsidRPr="001A6BB5">
        <w:rPr>
          <w:szCs w:val="19"/>
        </w:rPr>
        <w:t>I december år 2005 under Europeiska rådets möte gav en majoritet i EU-nämnden regeringen mandat att acceptera det framförhandlade paketet. I</w:t>
      </w:r>
      <w:r w:rsidR="00292BA4" w:rsidRPr="001A6BB5">
        <w:rPr>
          <w:szCs w:val="19"/>
        </w:rPr>
        <w:t xml:space="preserve"> </w:t>
      </w:r>
      <w:r w:rsidRPr="001A6BB5">
        <w:rPr>
          <w:szCs w:val="19"/>
        </w:rPr>
        <w:t>skrivelsen nämns in</w:t>
      </w:r>
      <w:r w:rsidR="00292BA4" w:rsidRPr="001A6BB5">
        <w:rPr>
          <w:szCs w:val="19"/>
        </w:rPr>
        <w:t>te</w:t>
      </w:r>
      <w:r w:rsidRPr="001A6BB5">
        <w:rPr>
          <w:szCs w:val="19"/>
        </w:rPr>
        <w:t xml:space="preserve"> </w:t>
      </w:r>
      <w:r w:rsidR="00292BA4" w:rsidRPr="001A6BB5">
        <w:rPr>
          <w:szCs w:val="19"/>
        </w:rPr>
        <w:t>försl</w:t>
      </w:r>
      <w:r w:rsidR="00292BA4" w:rsidRPr="001A6BB5">
        <w:rPr>
          <w:szCs w:val="19"/>
        </w:rPr>
        <w:t>a</w:t>
      </w:r>
      <w:r w:rsidR="00292BA4" w:rsidRPr="001A6BB5">
        <w:rPr>
          <w:szCs w:val="19"/>
        </w:rPr>
        <w:t xml:space="preserve">get om </w:t>
      </w:r>
      <w:r w:rsidRPr="001A6BB5">
        <w:rPr>
          <w:szCs w:val="19"/>
        </w:rPr>
        <w:t>den s.k. globaliseringsfonden som det brittiska ordförande</w:t>
      </w:r>
      <w:r w:rsidR="00365C9D" w:rsidRPr="001A6BB5">
        <w:rPr>
          <w:szCs w:val="19"/>
        </w:rPr>
        <w:t>skapet</w:t>
      </w:r>
      <w:r w:rsidRPr="001A6BB5">
        <w:rPr>
          <w:szCs w:val="19"/>
        </w:rPr>
        <w:t xml:space="preserve"> present</w:t>
      </w:r>
      <w:r w:rsidR="00292BA4" w:rsidRPr="001A6BB5">
        <w:rPr>
          <w:szCs w:val="19"/>
        </w:rPr>
        <w:t>e</w:t>
      </w:r>
      <w:r w:rsidR="00292BA4" w:rsidRPr="001A6BB5">
        <w:rPr>
          <w:szCs w:val="19"/>
        </w:rPr>
        <w:t>rade</w:t>
      </w:r>
      <w:r w:rsidRPr="001A6BB5">
        <w:rPr>
          <w:szCs w:val="19"/>
        </w:rPr>
        <w:t xml:space="preserve"> under förhandlingarna</w:t>
      </w:r>
      <w:r w:rsidR="00292BA4" w:rsidRPr="001A6BB5">
        <w:rPr>
          <w:szCs w:val="19"/>
        </w:rPr>
        <w:t xml:space="preserve">s </w:t>
      </w:r>
      <w:r w:rsidRPr="001A6BB5">
        <w:rPr>
          <w:szCs w:val="19"/>
        </w:rPr>
        <w:t>gång och som såväl rege</w:t>
      </w:r>
      <w:r w:rsidR="00292BA4" w:rsidRPr="001A6BB5">
        <w:rPr>
          <w:szCs w:val="19"/>
        </w:rPr>
        <w:t>r</w:t>
      </w:r>
      <w:r w:rsidRPr="001A6BB5">
        <w:rPr>
          <w:szCs w:val="19"/>
        </w:rPr>
        <w:t>ingen som en enig EU-nämnd var kr</w:t>
      </w:r>
      <w:r w:rsidR="00292BA4" w:rsidRPr="001A6BB5">
        <w:rPr>
          <w:szCs w:val="19"/>
        </w:rPr>
        <w:t>itisk</w:t>
      </w:r>
      <w:r w:rsidRPr="001A6BB5">
        <w:rPr>
          <w:szCs w:val="19"/>
        </w:rPr>
        <w:t xml:space="preserve"> emot.</w:t>
      </w:r>
      <w:r w:rsidR="008D1A80" w:rsidRPr="001A6BB5">
        <w:rPr>
          <w:szCs w:val="19"/>
        </w:rPr>
        <w:t xml:space="preserve"> 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 xml:space="preserve">I skrivelsen redogörs vidare för arbetet med </w:t>
      </w:r>
      <w:r w:rsidR="003C501E" w:rsidRPr="001A6BB5">
        <w:rPr>
          <w:szCs w:val="19"/>
        </w:rPr>
        <w:t xml:space="preserve">halvtidsöversynen av </w:t>
      </w:r>
      <w:r w:rsidRPr="001A6BB5">
        <w:rPr>
          <w:szCs w:val="19"/>
        </w:rPr>
        <w:t>Liss</w:t>
      </w:r>
      <w:r w:rsidRPr="001A6BB5">
        <w:rPr>
          <w:szCs w:val="19"/>
        </w:rPr>
        <w:t>a</w:t>
      </w:r>
      <w:r w:rsidRPr="001A6BB5">
        <w:rPr>
          <w:szCs w:val="19"/>
        </w:rPr>
        <w:t>bonstrategin (avsnitt 6). Regeringen har kontinuerligt informerat och samrått med EU-nämnden om arbetet på olika sätt. Inför Europeiska rådets vårmöte 200</w:t>
      </w:r>
      <w:r w:rsidR="00292BA4" w:rsidRPr="001A6BB5">
        <w:rPr>
          <w:szCs w:val="19"/>
        </w:rPr>
        <w:t>5</w:t>
      </w:r>
      <w:r w:rsidRPr="001A6BB5">
        <w:rPr>
          <w:szCs w:val="19"/>
        </w:rPr>
        <w:t xml:space="preserve"> hade EU-nämnden som bru</w:t>
      </w:r>
      <w:r w:rsidRPr="001A6BB5">
        <w:rPr>
          <w:szCs w:val="19"/>
        </w:rPr>
        <w:t>k</w:t>
      </w:r>
      <w:r w:rsidRPr="001A6BB5">
        <w:rPr>
          <w:szCs w:val="19"/>
        </w:rPr>
        <w:t>ligt ett offentligt samråd med regeringen. Regeringen ha</w:t>
      </w:r>
      <w:r w:rsidR="005036F3" w:rsidRPr="001A6BB5">
        <w:rPr>
          <w:szCs w:val="19"/>
        </w:rPr>
        <w:t>de dessförinnan</w:t>
      </w:r>
      <w:r w:rsidRPr="001A6BB5">
        <w:rPr>
          <w:szCs w:val="19"/>
        </w:rPr>
        <w:t xml:space="preserve"> samrått med EU-nämnden beträffande de olika rådssammansättningarnas bidrag till vå</w:t>
      </w:r>
      <w:r w:rsidRPr="001A6BB5">
        <w:rPr>
          <w:szCs w:val="19"/>
        </w:rPr>
        <w:t>r</w:t>
      </w:r>
      <w:r w:rsidRPr="001A6BB5">
        <w:rPr>
          <w:szCs w:val="19"/>
        </w:rPr>
        <w:t xml:space="preserve">toppmötet. </w:t>
      </w:r>
      <w:r w:rsidR="005036F3" w:rsidRPr="001A6BB5">
        <w:rPr>
          <w:szCs w:val="19"/>
        </w:rPr>
        <w:t>EU-nämnden har vid dessa samråd varit enig med regeringen om behovet av ett effektivare genomföra</w:t>
      </w:r>
      <w:r w:rsidR="005036F3" w:rsidRPr="001A6BB5">
        <w:rPr>
          <w:szCs w:val="19"/>
        </w:rPr>
        <w:t>n</w:t>
      </w:r>
      <w:r w:rsidR="005036F3" w:rsidRPr="001A6BB5">
        <w:rPr>
          <w:szCs w:val="19"/>
        </w:rPr>
        <w:t>de av strategin med bibehållen balans mellan de ek</w:t>
      </w:r>
      <w:r w:rsidR="005036F3" w:rsidRPr="001A6BB5">
        <w:rPr>
          <w:szCs w:val="19"/>
        </w:rPr>
        <w:t>o</w:t>
      </w:r>
      <w:r w:rsidR="005036F3" w:rsidRPr="001A6BB5">
        <w:rPr>
          <w:szCs w:val="19"/>
        </w:rPr>
        <w:t>nomiska, sociala och miljömässiga målen.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Regeringen redovisar vidare i denna del resultaten av Europeiska rådets möten under året. Europeiska rådet, som inte är en institution i fördragens mening, har utvecklats till ett av unionens viktigaste organ. Den i riksdag</w:t>
      </w:r>
      <w:r w:rsidRPr="001A6BB5">
        <w:rPr>
          <w:szCs w:val="19"/>
        </w:rPr>
        <w:t>s</w:t>
      </w:r>
      <w:r w:rsidRPr="001A6BB5">
        <w:rPr>
          <w:szCs w:val="19"/>
        </w:rPr>
        <w:t>ordningen reglerade formella samrådsskyldigheten gentemot riksdagen gäller beslut som fattas av Europeiska unionens råd (ministerr</w:t>
      </w:r>
      <w:r w:rsidRPr="001A6BB5">
        <w:rPr>
          <w:szCs w:val="19"/>
        </w:rPr>
        <w:t>å</w:t>
      </w:r>
      <w:r w:rsidRPr="001A6BB5">
        <w:rPr>
          <w:szCs w:val="19"/>
        </w:rPr>
        <w:t>det), men enligt av riksdagen fastställd praxis har regeringen också samrått med EU-nämnden inför Europeiska rådets möten.</w:t>
      </w:r>
      <w:r w:rsidR="005036F3" w:rsidRPr="001A6BB5">
        <w:rPr>
          <w:szCs w:val="19"/>
        </w:rPr>
        <w:t xml:space="preserve"> EU-nämnden har tillstyrkt 2002 års Riksdag</w:t>
      </w:r>
      <w:r w:rsidR="005036F3" w:rsidRPr="001A6BB5">
        <w:rPr>
          <w:szCs w:val="19"/>
        </w:rPr>
        <w:t>s</w:t>
      </w:r>
      <w:r w:rsidR="005036F3" w:rsidRPr="001A6BB5">
        <w:rPr>
          <w:szCs w:val="19"/>
        </w:rPr>
        <w:t>kommittés förslag om att samråd inför Europeiska rådet skall r</w:t>
      </w:r>
      <w:r w:rsidR="00180BD7" w:rsidRPr="001A6BB5">
        <w:rPr>
          <w:szCs w:val="19"/>
        </w:rPr>
        <w:t>e</w:t>
      </w:r>
      <w:r w:rsidR="005036F3" w:rsidRPr="001A6BB5">
        <w:rPr>
          <w:szCs w:val="19"/>
        </w:rPr>
        <w:t>gleras i rik</w:t>
      </w:r>
      <w:r w:rsidR="005036F3" w:rsidRPr="001A6BB5">
        <w:rPr>
          <w:szCs w:val="19"/>
        </w:rPr>
        <w:t>s</w:t>
      </w:r>
      <w:r w:rsidR="005036F3" w:rsidRPr="001A6BB5">
        <w:rPr>
          <w:szCs w:val="19"/>
        </w:rPr>
        <w:t>dagso</w:t>
      </w:r>
      <w:r w:rsidR="00180BD7" w:rsidRPr="001A6BB5">
        <w:rPr>
          <w:szCs w:val="19"/>
        </w:rPr>
        <w:t>r</w:t>
      </w:r>
      <w:r w:rsidR="005036F3" w:rsidRPr="001A6BB5">
        <w:rPr>
          <w:szCs w:val="19"/>
        </w:rPr>
        <w:t>dningen (2005/06:EUN1y).</w:t>
      </w:r>
      <w:r w:rsidRPr="001A6BB5">
        <w:rPr>
          <w:szCs w:val="19"/>
        </w:rPr>
        <w:t xml:space="preserve"> </w:t>
      </w:r>
    </w:p>
    <w:p w:rsidR="00697098" w:rsidRPr="001A6BB5" w:rsidRDefault="00697098" w:rsidP="001A1799">
      <w:pPr>
        <w:pStyle w:val="Rubrik2"/>
      </w:pPr>
      <w:bookmarkStart w:id="9" w:name="_Toc101078473"/>
      <w:bookmarkStart w:id="10" w:name="_Toc101079327"/>
      <w:bookmarkStart w:id="11" w:name="_Toc133209000"/>
      <w:r w:rsidRPr="001A6BB5">
        <w:t>EU:s förbindelser med omvärlden (del 2)</w:t>
      </w:r>
      <w:bookmarkEnd w:id="9"/>
      <w:bookmarkEnd w:id="10"/>
      <w:bookmarkEnd w:id="11"/>
    </w:p>
    <w:p w:rsidR="00697098" w:rsidRPr="001A6BB5" w:rsidRDefault="00697098" w:rsidP="00697098">
      <w:pPr>
        <w:rPr>
          <w:szCs w:val="19"/>
        </w:rPr>
      </w:pPr>
      <w:r w:rsidRPr="001A6BB5">
        <w:rPr>
          <w:szCs w:val="19"/>
        </w:rPr>
        <w:t>Under denna rubrik behandlas i skrivelsen huvudsakligen frågor som berör rege</w:t>
      </w:r>
      <w:r w:rsidRPr="001A6BB5">
        <w:rPr>
          <w:szCs w:val="19"/>
        </w:rPr>
        <w:t>r</w:t>
      </w:r>
      <w:r w:rsidRPr="001A6BB5">
        <w:rPr>
          <w:szCs w:val="19"/>
        </w:rPr>
        <w:t>ingens samråd med EU-nämnden inom ramen för den gemensamma utrikes- och säkerhetspolitiken (GUSP)</w:t>
      </w:r>
      <w:r w:rsidR="00AC6EFD" w:rsidRPr="001A6BB5">
        <w:rPr>
          <w:szCs w:val="19"/>
        </w:rPr>
        <w:t xml:space="preserve"> och handelspolitiken</w:t>
      </w:r>
      <w:r w:rsidRPr="001A6BB5">
        <w:rPr>
          <w:szCs w:val="19"/>
        </w:rPr>
        <w:t>. Ministerrådet, och därmed EU-nämnden, har ko</w:t>
      </w:r>
      <w:r w:rsidRPr="001A6BB5">
        <w:rPr>
          <w:szCs w:val="19"/>
        </w:rPr>
        <w:t>n</w:t>
      </w:r>
      <w:r w:rsidRPr="001A6BB5">
        <w:rPr>
          <w:szCs w:val="19"/>
        </w:rPr>
        <w:t xml:space="preserve">tinuerligt följt utvecklingen i </w:t>
      </w:r>
      <w:r w:rsidR="008D0060" w:rsidRPr="001A6BB5">
        <w:rPr>
          <w:szCs w:val="19"/>
        </w:rPr>
        <w:t>olika länder och organisationer.</w:t>
      </w:r>
      <w:r w:rsidR="00AC6EFD" w:rsidRPr="001A6BB5">
        <w:rPr>
          <w:szCs w:val="19"/>
        </w:rPr>
        <w:t xml:space="preserve"> När det gäller de fortsatta frihandelsförhandlingarna inom WTO har en enig EU-nämnd stött regeringen. </w:t>
      </w:r>
    </w:p>
    <w:p w:rsidR="008D0060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 xml:space="preserve">I </w:t>
      </w:r>
      <w:r w:rsidR="00F24C50" w:rsidRPr="001A6BB5">
        <w:rPr>
          <w:szCs w:val="19"/>
        </w:rPr>
        <w:t xml:space="preserve">förra årets </w:t>
      </w:r>
      <w:r w:rsidRPr="001A6BB5">
        <w:rPr>
          <w:szCs w:val="19"/>
        </w:rPr>
        <w:t>skrivelse redog</w:t>
      </w:r>
      <w:r w:rsidR="00F24C50" w:rsidRPr="001A6BB5">
        <w:rPr>
          <w:szCs w:val="19"/>
        </w:rPr>
        <w:t xml:space="preserve">jorde </w:t>
      </w:r>
      <w:r w:rsidR="008D0060" w:rsidRPr="001A6BB5">
        <w:rPr>
          <w:szCs w:val="19"/>
        </w:rPr>
        <w:t>re</w:t>
      </w:r>
      <w:r w:rsidRPr="001A6BB5">
        <w:rPr>
          <w:szCs w:val="19"/>
        </w:rPr>
        <w:t>geringen för EU:s uppförandekod för v</w:t>
      </w:r>
      <w:r w:rsidRPr="001A6BB5">
        <w:rPr>
          <w:szCs w:val="19"/>
        </w:rPr>
        <w:t>a</w:t>
      </w:r>
      <w:r w:rsidRPr="001A6BB5">
        <w:rPr>
          <w:szCs w:val="19"/>
        </w:rPr>
        <w:t>penexport samt EU:s vapenembargo mot Kina</w:t>
      </w:r>
      <w:r w:rsidR="008D0060" w:rsidRPr="001A6BB5">
        <w:rPr>
          <w:szCs w:val="19"/>
        </w:rPr>
        <w:t>.</w:t>
      </w:r>
      <w:r w:rsidRPr="001A6BB5">
        <w:rPr>
          <w:szCs w:val="19"/>
        </w:rPr>
        <w:t xml:space="preserve"> EU-nämnden ägna</w:t>
      </w:r>
      <w:r w:rsidR="008D0060" w:rsidRPr="001A6BB5">
        <w:rPr>
          <w:szCs w:val="19"/>
        </w:rPr>
        <w:t xml:space="preserve">de </w:t>
      </w:r>
      <w:r w:rsidRPr="001A6BB5">
        <w:rPr>
          <w:szCs w:val="19"/>
        </w:rPr>
        <w:t xml:space="preserve">stor uppmärksamhet åt </w:t>
      </w:r>
      <w:r w:rsidR="008D0060" w:rsidRPr="001A6BB5">
        <w:rPr>
          <w:szCs w:val="19"/>
        </w:rPr>
        <w:t>dessa frågor förra året. I årets skrivelse sägs att uppföra</w:t>
      </w:r>
      <w:r w:rsidR="008D0060" w:rsidRPr="001A6BB5">
        <w:rPr>
          <w:szCs w:val="19"/>
        </w:rPr>
        <w:t>n</w:t>
      </w:r>
      <w:r w:rsidR="008D0060" w:rsidRPr="001A6BB5">
        <w:rPr>
          <w:szCs w:val="19"/>
        </w:rPr>
        <w:t>dekoden skall antas som en gemensam ståndpunkt (avsnitt 8.8.1). Beträffande Kina sägs (avsnitt 11.10.1) att frågan om eventuellt hävande av EU:s vape</w:t>
      </w:r>
      <w:r w:rsidR="008D0060" w:rsidRPr="001A6BB5">
        <w:rPr>
          <w:szCs w:val="19"/>
        </w:rPr>
        <w:t>n</w:t>
      </w:r>
      <w:r w:rsidR="008D0060" w:rsidRPr="001A6BB5">
        <w:rPr>
          <w:szCs w:val="19"/>
        </w:rPr>
        <w:t>embargo har avstannat under hösten. EU-nämnden förutsätter att regeringen fortlöpande sa</w:t>
      </w:r>
      <w:r w:rsidR="008D0060" w:rsidRPr="001A6BB5">
        <w:rPr>
          <w:szCs w:val="19"/>
        </w:rPr>
        <w:t>m</w:t>
      </w:r>
      <w:r w:rsidR="008D0060" w:rsidRPr="001A6BB5">
        <w:rPr>
          <w:szCs w:val="19"/>
        </w:rPr>
        <w:t>råder med EU-nämnden om utvecklingen av dessa bägge frågor.</w:t>
      </w:r>
    </w:p>
    <w:p w:rsidR="00697098" w:rsidRPr="001A6BB5" w:rsidRDefault="00697098" w:rsidP="001A1799">
      <w:pPr>
        <w:pStyle w:val="Rubrik2"/>
      </w:pPr>
      <w:bookmarkStart w:id="12" w:name="_Toc101078474"/>
      <w:bookmarkStart w:id="13" w:name="_Toc101079328"/>
      <w:bookmarkStart w:id="14" w:name="_Toc133209001"/>
      <w:r w:rsidRPr="001A6BB5">
        <w:t>Ekonomiska och finansiella frågor (del 3)</w:t>
      </w:r>
      <w:bookmarkEnd w:id="12"/>
      <w:bookmarkEnd w:id="13"/>
      <w:bookmarkEnd w:id="14"/>
    </w:p>
    <w:p w:rsidR="00697098" w:rsidRPr="001A6BB5" w:rsidRDefault="00DE5070" w:rsidP="00697098">
      <w:pPr>
        <w:rPr>
          <w:szCs w:val="19"/>
        </w:rPr>
      </w:pPr>
      <w:r w:rsidRPr="001A6BB5">
        <w:rPr>
          <w:szCs w:val="19"/>
        </w:rPr>
        <w:t>R</w:t>
      </w:r>
      <w:r w:rsidR="00697098" w:rsidRPr="001A6BB5">
        <w:rPr>
          <w:szCs w:val="19"/>
        </w:rPr>
        <w:t>eformeringen av stabilitets- och tillväxtpakten behandlas i skrivelsen under avsnittet Den ekonomiska och monetära unionen (avsnitt 12.</w:t>
      </w:r>
      <w:r w:rsidRPr="001A6BB5">
        <w:rPr>
          <w:szCs w:val="19"/>
        </w:rPr>
        <w:t>1</w:t>
      </w:r>
      <w:r w:rsidR="00697098" w:rsidRPr="001A6BB5">
        <w:rPr>
          <w:szCs w:val="19"/>
        </w:rPr>
        <w:t xml:space="preserve">). </w:t>
      </w:r>
      <w:r w:rsidRPr="001A6BB5">
        <w:rPr>
          <w:szCs w:val="19"/>
        </w:rPr>
        <w:t xml:space="preserve">I skrivelsen sägs att det svenska agerandet diskuterades i EU-nämnden vid flera tillfällen. </w:t>
      </w:r>
      <w:r w:rsidR="00697098" w:rsidRPr="001A6BB5">
        <w:rPr>
          <w:szCs w:val="19"/>
        </w:rPr>
        <w:t>Rege</w:t>
      </w:r>
      <w:r w:rsidR="00697098" w:rsidRPr="001A6BB5">
        <w:rPr>
          <w:szCs w:val="19"/>
        </w:rPr>
        <w:t>r</w:t>
      </w:r>
      <w:r w:rsidR="00697098" w:rsidRPr="001A6BB5">
        <w:rPr>
          <w:szCs w:val="19"/>
        </w:rPr>
        <w:t xml:space="preserve">ingen har fortlöpande samrått med </w:t>
      </w:r>
      <w:r w:rsidRPr="001A6BB5">
        <w:rPr>
          <w:szCs w:val="19"/>
        </w:rPr>
        <w:t xml:space="preserve">och fått mandat av </w:t>
      </w:r>
      <w:r w:rsidR="00697098" w:rsidRPr="001A6BB5">
        <w:rPr>
          <w:szCs w:val="19"/>
        </w:rPr>
        <w:t xml:space="preserve">EU-nämnden i denna fråga. </w:t>
      </w:r>
      <w:r w:rsidR="00E40259" w:rsidRPr="001A6BB5">
        <w:rPr>
          <w:szCs w:val="19"/>
        </w:rPr>
        <w:t xml:space="preserve">För Sveriges del har det då handlat om att balansera kraven på lättnader i det </w:t>
      </w:r>
      <w:r w:rsidR="00CF70D9" w:rsidRPr="001A6BB5">
        <w:rPr>
          <w:szCs w:val="19"/>
        </w:rPr>
        <w:t>s.k.</w:t>
      </w:r>
      <w:r w:rsidR="00E40259" w:rsidRPr="001A6BB5">
        <w:rPr>
          <w:szCs w:val="19"/>
        </w:rPr>
        <w:t xml:space="preserve"> underskottsförfarandet med åtgärder för att förstärka den förebyggande överva</w:t>
      </w:r>
      <w:r w:rsidR="00E40259" w:rsidRPr="001A6BB5">
        <w:rPr>
          <w:szCs w:val="19"/>
        </w:rPr>
        <w:t>k</w:t>
      </w:r>
      <w:r w:rsidR="00E40259" w:rsidRPr="001A6BB5">
        <w:rPr>
          <w:szCs w:val="19"/>
        </w:rPr>
        <w:t xml:space="preserve">ningen av medlemsländernas offentliga finanser. </w:t>
      </w:r>
      <w:r w:rsidR="00D1233E" w:rsidRPr="001A6BB5">
        <w:rPr>
          <w:szCs w:val="19"/>
        </w:rPr>
        <w:t xml:space="preserve">EU-nämnden har också </w:t>
      </w:r>
      <w:r w:rsidR="004F3342" w:rsidRPr="001A6BB5">
        <w:rPr>
          <w:szCs w:val="19"/>
        </w:rPr>
        <w:t xml:space="preserve">i juli </w:t>
      </w:r>
      <w:r w:rsidR="00D1233E" w:rsidRPr="001A6BB5">
        <w:rPr>
          <w:szCs w:val="19"/>
        </w:rPr>
        <w:t>behandlat frågor om skuldavskrivning och alternat</w:t>
      </w:r>
      <w:r w:rsidR="00D1233E" w:rsidRPr="001A6BB5">
        <w:rPr>
          <w:szCs w:val="19"/>
        </w:rPr>
        <w:t>i</w:t>
      </w:r>
      <w:r w:rsidR="00D1233E" w:rsidRPr="001A6BB5">
        <w:rPr>
          <w:szCs w:val="19"/>
        </w:rPr>
        <w:t>va finansieringsformer för ökat b</w:t>
      </w:r>
      <w:r w:rsidR="00D1233E" w:rsidRPr="001A6BB5">
        <w:rPr>
          <w:szCs w:val="19"/>
        </w:rPr>
        <w:t>i</w:t>
      </w:r>
      <w:r w:rsidR="00D1233E" w:rsidRPr="001A6BB5">
        <w:rPr>
          <w:szCs w:val="19"/>
        </w:rPr>
        <w:t xml:space="preserve">stånd samt </w:t>
      </w:r>
      <w:r w:rsidR="004F3342" w:rsidRPr="001A6BB5">
        <w:rPr>
          <w:szCs w:val="19"/>
        </w:rPr>
        <w:t xml:space="preserve">i december </w:t>
      </w:r>
      <w:r w:rsidR="00D1233E" w:rsidRPr="001A6BB5">
        <w:rPr>
          <w:szCs w:val="19"/>
        </w:rPr>
        <w:t>en kompromiss om regler för reducerade momssatser</w:t>
      </w:r>
      <w:r w:rsidR="00E713E4" w:rsidRPr="001A6BB5">
        <w:rPr>
          <w:szCs w:val="19"/>
        </w:rPr>
        <w:t>. Rådet kunde i januari 2006 efter omfatta</w:t>
      </w:r>
      <w:r w:rsidR="00E713E4" w:rsidRPr="001A6BB5">
        <w:rPr>
          <w:szCs w:val="19"/>
        </w:rPr>
        <w:t>n</w:t>
      </w:r>
      <w:r w:rsidR="00E713E4" w:rsidRPr="001A6BB5">
        <w:rPr>
          <w:szCs w:val="19"/>
        </w:rPr>
        <w:t xml:space="preserve">de förhandlingar enas i denna </w:t>
      </w:r>
      <w:r w:rsidR="00B113A7" w:rsidRPr="001A6BB5">
        <w:rPr>
          <w:szCs w:val="19"/>
        </w:rPr>
        <w:t xml:space="preserve">senare </w:t>
      </w:r>
      <w:r w:rsidR="00E713E4" w:rsidRPr="001A6BB5">
        <w:rPr>
          <w:szCs w:val="19"/>
        </w:rPr>
        <w:t>fr</w:t>
      </w:r>
      <w:r w:rsidR="00E713E4" w:rsidRPr="001A6BB5">
        <w:rPr>
          <w:szCs w:val="19"/>
        </w:rPr>
        <w:t>å</w:t>
      </w:r>
      <w:r w:rsidR="00E713E4" w:rsidRPr="001A6BB5">
        <w:rPr>
          <w:szCs w:val="19"/>
        </w:rPr>
        <w:t>ga.</w:t>
      </w:r>
      <w:r w:rsidR="00D1233E" w:rsidRPr="001A6BB5">
        <w:rPr>
          <w:szCs w:val="19"/>
        </w:rPr>
        <w:t xml:space="preserve"> </w:t>
      </w:r>
      <w:r w:rsidR="00E07035" w:rsidRPr="001A6BB5">
        <w:rPr>
          <w:szCs w:val="19"/>
        </w:rPr>
        <w:t xml:space="preserve"> </w:t>
      </w:r>
    </w:p>
    <w:p w:rsidR="00697098" w:rsidRPr="001A6BB5" w:rsidRDefault="00697098" w:rsidP="001A1799">
      <w:pPr>
        <w:pStyle w:val="Rubrik2"/>
      </w:pPr>
      <w:bookmarkStart w:id="15" w:name="_Toc101078475"/>
      <w:bookmarkStart w:id="16" w:name="_Toc101079329"/>
      <w:bookmarkStart w:id="17" w:name="_Toc133209002"/>
      <w:r w:rsidRPr="001A6BB5">
        <w:t>Rättsliga och inrikes frågor (del 4)</w:t>
      </w:r>
      <w:bookmarkEnd w:id="15"/>
      <w:bookmarkEnd w:id="16"/>
      <w:bookmarkEnd w:id="17"/>
    </w:p>
    <w:p w:rsidR="00697098" w:rsidRPr="001A6BB5" w:rsidRDefault="00326E4F" w:rsidP="00697098">
      <w:pPr>
        <w:rPr>
          <w:szCs w:val="19"/>
        </w:rPr>
      </w:pPr>
      <w:r w:rsidRPr="001A6BB5">
        <w:rPr>
          <w:szCs w:val="19"/>
        </w:rPr>
        <w:t>Som framhålls i</w:t>
      </w:r>
      <w:r w:rsidR="00697098" w:rsidRPr="001A6BB5">
        <w:rPr>
          <w:szCs w:val="19"/>
        </w:rPr>
        <w:t xml:space="preserve"> skrivelsen (avsnitt 1</w:t>
      </w:r>
      <w:r w:rsidR="00180BD7" w:rsidRPr="001A6BB5">
        <w:rPr>
          <w:szCs w:val="19"/>
        </w:rPr>
        <w:t>9.1.6</w:t>
      </w:r>
      <w:r w:rsidR="00697098" w:rsidRPr="001A6BB5">
        <w:rPr>
          <w:szCs w:val="19"/>
        </w:rPr>
        <w:t xml:space="preserve">) </w:t>
      </w:r>
      <w:r w:rsidRPr="001A6BB5">
        <w:rPr>
          <w:szCs w:val="19"/>
        </w:rPr>
        <w:t>har</w:t>
      </w:r>
      <w:r w:rsidR="00180BD7" w:rsidRPr="001A6BB5">
        <w:rPr>
          <w:szCs w:val="19"/>
        </w:rPr>
        <w:t xml:space="preserve"> EU under de senaste åren lagt ökad kraft på arbetet mot terrorism. Till följd av te</w:t>
      </w:r>
      <w:r w:rsidRPr="001A6BB5">
        <w:rPr>
          <w:szCs w:val="19"/>
        </w:rPr>
        <w:t>rrorist</w:t>
      </w:r>
      <w:r w:rsidR="00180BD7" w:rsidRPr="001A6BB5">
        <w:rPr>
          <w:szCs w:val="19"/>
        </w:rPr>
        <w:t>attentaten i London i juli ägde ett extrainsatt rådsmöte rum. EU-nämnden fick en särskild återra</w:t>
      </w:r>
      <w:r w:rsidR="00180BD7" w:rsidRPr="001A6BB5">
        <w:rPr>
          <w:szCs w:val="19"/>
        </w:rPr>
        <w:t>p</w:t>
      </w:r>
      <w:r w:rsidR="00180BD7" w:rsidRPr="001A6BB5">
        <w:rPr>
          <w:szCs w:val="19"/>
        </w:rPr>
        <w:t>port från detta möte</w:t>
      </w:r>
      <w:r w:rsidR="008F2FA2" w:rsidRPr="001A6BB5">
        <w:rPr>
          <w:szCs w:val="19"/>
        </w:rPr>
        <w:t>,</w:t>
      </w:r>
      <w:r w:rsidR="00180BD7" w:rsidRPr="001A6BB5">
        <w:rPr>
          <w:szCs w:val="19"/>
        </w:rPr>
        <w:t xml:space="preserve"> vid vilket hade antagits </w:t>
      </w:r>
      <w:r w:rsidR="008F2FA2" w:rsidRPr="001A6BB5">
        <w:rPr>
          <w:szCs w:val="19"/>
        </w:rPr>
        <w:t>den</w:t>
      </w:r>
      <w:r w:rsidR="00180BD7" w:rsidRPr="001A6BB5">
        <w:rPr>
          <w:szCs w:val="19"/>
        </w:rPr>
        <w:t xml:space="preserve"> deklaration om terrro</w:t>
      </w:r>
      <w:r w:rsidR="006978B6" w:rsidRPr="001A6BB5">
        <w:rPr>
          <w:szCs w:val="19"/>
        </w:rPr>
        <w:t>r</w:t>
      </w:r>
      <w:r w:rsidR="00180BD7" w:rsidRPr="001A6BB5">
        <w:rPr>
          <w:szCs w:val="19"/>
        </w:rPr>
        <w:t>is</w:t>
      </w:r>
      <w:r w:rsidR="00180BD7" w:rsidRPr="001A6BB5">
        <w:rPr>
          <w:szCs w:val="19"/>
        </w:rPr>
        <w:t>m</w:t>
      </w:r>
      <w:r w:rsidR="00180BD7" w:rsidRPr="001A6BB5">
        <w:rPr>
          <w:szCs w:val="19"/>
        </w:rPr>
        <w:t>bekämpning</w:t>
      </w:r>
      <w:r w:rsidR="006978B6" w:rsidRPr="001A6BB5">
        <w:rPr>
          <w:szCs w:val="19"/>
        </w:rPr>
        <w:t xml:space="preserve"> som beskrivs i skrivelsen. I samband med denna fråga och  övr</w:t>
      </w:r>
      <w:r w:rsidR="006978B6" w:rsidRPr="001A6BB5">
        <w:rPr>
          <w:szCs w:val="19"/>
        </w:rPr>
        <w:t>i</w:t>
      </w:r>
      <w:r w:rsidR="006978B6" w:rsidRPr="001A6BB5">
        <w:rPr>
          <w:szCs w:val="19"/>
        </w:rPr>
        <w:t>ga frågor på omr</w:t>
      </w:r>
      <w:r w:rsidR="006978B6" w:rsidRPr="001A6BB5">
        <w:rPr>
          <w:szCs w:val="19"/>
        </w:rPr>
        <w:t>å</w:t>
      </w:r>
      <w:r w:rsidR="006978B6" w:rsidRPr="001A6BB5">
        <w:rPr>
          <w:szCs w:val="19"/>
        </w:rPr>
        <w:t>det, särskilt förslaget om lagring av trafikdata</w:t>
      </w:r>
      <w:r w:rsidR="00DE3FA9" w:rsidRPr="001A6BB5">
        <w:rPr>
          <w:szCs w:val="19"/>
        </w:rPr>
        <w:t>,</w:t>
      </w:r>
      <w:r w:rsidR="009A37F3" w:rsidRPr="001A6BB5">
        <w:rPr>
          <w:szCs w:val="19"/>
        </w:rPr>
        <w:t xml:space="preserve"> </w:t>
      </w:r>
      <w:r w:rsidR="006978B6" w:rsidRPr="001A6BB5">
        <w:rPr>
          <w:szCs w:val="19"/>
        </w:rPr>
        <w:t xml:space="preserve">har </w:t>
      </w:r>
      <w:r w:rsidR="008F2FA2" w:rsidRPr="001A6BB5">
        <w:rPr>
          <w:szCs w:val="19"/>
        </w:rPr>
        <w:t xml:space="preserve">i EU-nämnden </w:t>
      </w:r>
      <w:r w:rsidR="006978B6" w:rsidRPr="001A6BB5">
        <w:rPr>
          <w:szCs w:val="19"/>
        </w:rPr>
        <w:t>avvägningen mellan brott</w:t>
      </w:r>
      <w:r w:rsidR="006978B6" w:rsidRPr="001A6BB5">
        <w:rPr>
          <w:szCs w:val="19"/>
        </w:rPr>
        <w:t>s</w:t>
      </w:r>
      <w:r w:rsidR="006978B6" w:rsidRPr="001A6BB5">
        <w:rPr>
          <w:szCs w:val="19"/>
        </w:rPr>
        <w:t xml:space="preserve">bekämpande åtgärder och rättssäkerhet stått i förgrunden. </w:t>
      </w:r>
      <w:r w:rsidR="00CF70D9" w:rsidRPr="001A6BB5">
        <w:rPr>
          <w:szCs w:val="19"/>
        </w:rPr>
        <w:t>EU-nämnden</w:t>
      </w:r>
      <w:r w:rsidR="006978B6" w:rsidRPr="001A6BB5">
        <w:rPr>
          <w:szCs w:val="19"/>
        </w:rPr>
        <w:t xml:space="preserve"> gav dock i november 2005 slutligt stöd för regeringens ståndpunkt att godkänna fö</w:t>
      </w:r>
      <w:r w:rsidR="006978B6" w:rsidRPr="001A6BB5">
        <w:rPr>
          <w:szCs w:val="19"/>
        </w:rPr>
        <w:t>r</w:t>
      </w:r>
      <w:r w:rsidR="006978B6" w:rsidRPr="001A6BB5">
        <w:rPr>
          <w:szCs w:val="19"/>
        </w:rPr>
        <w:t xml:space="preserve">slaget. </w:t>
      </w:r>
      <w:r w:rsidR="008F2FA2" w:rsidRPr="001A6BB5">
        <w:rPr>
          <w:szCs w:val="19"/>
        </w:rPr>
        <w:t xml:space="preserve">I övrigt har regeringen samrått med EU-nämnden om alla frågor som nämns i skrivelsen </w:t>
      </w:r>
      <w:r w:rsidR="007D1E63" w:rsidRPr="001A6BB5">
        <w:rPr>
          <w:szCs w:val="19"/>
        </w:rPr>
        <w:t xml:space="preserve">och som stått på rådets dagordning </w:t>
      </w:r>
      <w:r w:rsidR="008F2FA2" w:rsidRPr="001A6BB5">
        <w:rPr>
          <w:szCs w:val="19"/>
        </w:rPr>
        <w:t>på detta viktiga omr</w:t>
      </w:r>
      <w:r w:rsidR="008F2FA2" w:rsidRPr="001A6BB5">
        <w:rPr>
          <w:szCs w:val="19"/>
        </w:rPr>
        <w:t>å</w:t>
      </w:r>
      <w:r w:rsidR="008F2FA2" w:rsidRPr="001A6BB5">
        <w:rPr>
          <w:szCs w:val="19"/>
        </w:rPr>
        <w:t xml:space="preserve">de. </w:t>
      </w:r>
    </w:p>
    <w:p w:rsidR="00697098" w:rsidRPr="001A6BB5" w:rsidRDefault="00697098" w:rsidP="001A1799">
      <w:pPr>
        <w:pStyle w:val="Rubrik2"/>
      </w:pPr>
      <w:bookmarkStart w:id="18" w:name="_Toc101078476"/>
      <w:bookmarkStart w:id="19" w:name="_Toc101079330"/>
      <w:bookmarkStart w:id="20" w:name="_Toc133209003"/>
      <w:r w:rsidRPr="001A6BB5">
        <w:t>Sysselsättning och socialpolitik, hälso- och sjukvård, konsumentfrågor (del 5)</w:t>
      </w:r>
      <w:bookmarkEnd w:id="18"/>
      <w:bookmarkEnd w:id="19"/>
      <w:bookmarkEnd w:id="20"/>
    </w:p>
    <w:p w:rsidR="004C3BC8" w:rsidRPr="001A6BB5" w:rsidRDefault="00697098" w:rsidP="009A37F3">
      <w:r w:rsidRPr="001A6BB5">
        <w:t>I skrivelsen under de</w:t>
      </w:r>
      <w:r w:rsidR="00E07035" w:rsidRPr="001A6BB5">
        <w:t>nna del</w:t>
      </w:r>
      <w:r w:rsidRPr="001A6BB5">
        <w:t xml:space="preserve"> redogörs för bl.a. tillväxt och sysselsättning, arbetsmarknadsfrågor, jämställdhet, folkhälsa, hälso- och sjukvård och ko</w:t>
      </w:r>
      <w:r w:rsidRPr="001A6BB5">
        <w:t>n</w:t>
      </w:r>
      <w:r w:rsidRPr="001A6BB5">
        <w:t>sumentpol</w:t>
      </w:r>
      <w:r w:rsidRPr="001A6BB5">
        <w:t>i</w:t>
      </w:r>
      <w:r w:rsidRPr="001A6BB5">
        <w:t>tik.</w:t>
      </w:r>
      <w:r w:rsidR="009A37F3" w:rsidRPr="001A6BB5">
        <w:t xml:space="preserve"> </w:t>
      </w:r>
    </w:p>
    <w:p w:rsidR="00FB500A" w:rsidRPr="001A6BB5" w:rsidRDefault="00FB500A" w:rsidP="00FB500A">
      <w:pPr>
        <w:pStyle w:val="Normaltindrag"/>
        <w:rPr>
          <w:szCs w:val="19"/>
        </w:rPr>
      </w:pPr>
      <w:r w:rsidRPr="001A6BB5">
        <w:rPr>
          <w:szCs w:val="19"/>
        </w:rPr>
        <w:t>Det kan konstateras att regeringen har samrått med EU-nämnden vad gäl</w:t>
      </w:r>
      <w:r w:rsidRPr="001A6BB5">
        <w:rPr>
          <w:szCs w:val="19"/>
        </w:rPr>
        <w:t>l</w:t>
      </w:r>
      <w:r w:rsidRPr="001A6BB5">
        <w:rPr>
          <w:szCs w:val="19"/>
        </w:rPr>
        <w:t xml:space="preserve">er frågor som har aktualiserats under </w:t>
      </w:r>
      <w:r w:rsidR="00435F23" w:rsidRPr="001A6BB5">
        <w:rPr>
          <w:szCs w:val="19"/>
        </w:rPr>
        <w:t xml:space="preserve">år </w:t>
      </w:r>
      <w:r w:rsidRPr="001A6BB5">
        <w:rPr>
          <w:szCs w:val="19"/>
        </w:rPr>
        <w:t>2005 inom området sysselsättning och soc</w:t>
      </w:r>
      <w:r w:rsidRPr="001A6BB5">
        <w:rPr>
          <w:szCs w:val="19"/>
        </w:rPr>
        <w:t>i</w:t>
      </w:r>
      <w:r w:rsidRPr="001A6BB5">
        <w:rPr>
          <w:szCs w:val="19"/>
        </w:rPr>
        <w:t>alpolitik, hälso- och sjukvård samt konsumentfrågor. Ett flertal frågor har behandlats av EU-nämnden flera gånger under förhandlingarnas gång i mini</w:t>
      </w:r>
      <w:r w:rsidRPr="001A6BB5">
        <w:rPr>
          <w:szCs w:val="19"/>
        </w:rPr>
        <w:t>s</w:t>
      </w:r>
      <w:r w:rsidRPr="001A6BB5">
        <w:rPr>
          <w:szCs w:val="19"/>
        </w:rPr>
        <w:t>terrådet. Vissa frågor har också givit upphov till mer omfattande diskussioner, såsom t.ex. förhandlingarna om översyn av direktivet om arbetstidens fö</w:t>
      </w:r>
      <w:r w:rsidRPr="001A6BB5">
        <w:rPr>
          <w:szCs w:val="19"/>
        </w:rPr>
        <w:t>r</w:t>
      </w:r>
      <w:r w:rsidRPr="001A6BB5">
        <w:rPr>
          <w:szCs w:val="19"/>
        </w:rPr>
        <w:t>läggning i vissa fall och inrättandet av ett europeiskt jämställdhetsinstitut</w:t>
      </w:r>
      <w:r w:rsidR="00583FBD" w:rsidRPr="001A6BB5">
        <w:rPr>
          <w:szCs w:val="19"/>
        </w:rPr>
        <w:t xml:space="preserve"> (avsnitt 23.2.1 respektive avsnitt 24)</w:t>
      </w:r>
      <w:r w:rsidRPr="001A6BB5">
        <w:rPr>
          <w:szCs w:val="19"/>
        </w:rPr>
        <w:t>.</w:t>
      </w:r>
      <w:r w:rsidR="00EB16A1" w:rsidRPr="001A6BB5">
        <w:rPr>
          <w:szCs w:val="19"/>
        </w:rPr>
        <w:t xml:space="preserve"> </w:t>
      </w:r>
      <w:r w:rsidR="00A822BC" w:rsidRPr="001A6BB5">
        <w:rPr>
          <w:szCs w:val="19"/>
        </w:rPr>
        <w:t xml:space="preserve">Inför det informella toppmötet i oktober </w:t>
      </w:r>
      <w:r w:rsidR="008F2FA2" w:rsidRPr="001A6BB5">
        <w:rPr>
          <w:szCs w:val="19"/>
        </w:rPr>
        <w:t xml:space="preserve">2005 </w:t>
      </w:r>
      <w:r w:rsidR="00A822BC" w:rsidRPr="001A6BB5">
        <w:rPr>
          <w:szCs w:val="19"/>
        </w:rPr>
        <w:t>i Hampton Court presenterade också regeringen ett initiativ om en jä</w:t>
      </w:r>
      <w:r w:rsidR="00A822BC" w:rsidRPr="001A6BB5">
        <w:rPr>
          <w:szCs w:val="19"/>
        </w:rPr>
        <w:t>m</w:t>
      </w:r>
      <w:r w:rsidR="00A822BC" w:rsidRPr="001A6BB5">
        <w:rPr>
          <w:szCs w:val="19"/>
        </w:rPr>
        <w:t>ställdhetspakt</w:t>
      </w:r>
      <w:r w:rsidR="008F2FA2" w:rsidRPr="001A6BB5">
        <w:rPr>
          <w:szCs w:val="19"/>
        </w:rPr>
        <w:t>; en fråga som tidigare hade tagits upp under statsministerns återrapportering i riksdagen från EU:s vårtoppm</w:t>
      </w:r>
      <w:r w:rsidR="008F2FA2" w:rsidRPr="001A6BB5">
        <w:rPr>
          <w:szCs w:val="19"/>
        </w:rPr>
        <w:t>ö</w:t>
      </w:r>
      <w:r w:rsidR="008F2FA2" w:rsidRPr="001A6BB5">
        <w:rPr>
          <w:szCs w:val="19"/>
        </w:rPr>
        <w:t>te den 22</w:t>
      </w:r>
      <w:r w:rsidR="009A37F3" w:rsidRPr="001A6BB5">
        <w:rPr>
          <w:szCs w:val="19"/>
        </w:rPr>
        <w:t xml:space="preserve"> – </w:t>
      </w:r>
      <w:r w:rsidR="008F2FA2" w:rsidRPr="001A6BB5">
        <w:rPr>
          <w:szCs w:val="19"/>
        </w:rPr>
        <w:t>23 mars 2005</w:t>
      </w:r>
      <w:r w:rsidR="00583FBD" w:rsidRPr="001A6BB5">
        <w:rPr>
          <w:szCs w:val="19"/>
        </w:rPr>
        <w:t xml:space="preserve"> (avsnitt 2.3)</w:t>
      </w:r>
      <w:r w:rsidR="008F2FA2" w:rsidRPr="001A6BB5">
        <w:rPr>
          <w:szCs w:val="19"/>
        </w:rPr>
        <w:t xml:space="preserve">. </w:t>
      </w:r>
    </w:p>
    <w:p w:rsidR="00FB500A" w:rsidRPr="001A6BB5" w:rsidRDefault="00FB500A" w:rsidP="00FB500A">
      <w:pPr>
        <w:pStyle w:val="Normaltindrag"/>
        <w:rPr>
          <w:szCs w:val="19"/>
        </w:rPr>
      </w:pPr>
      <w:r w:rsidRPr="001A6BB5">
        <w:rPr>
          <w:szCs w:val="19"/>
        </w:rPr>
        <w:t xml:space="preserve">Det noteras att under avsnittet </w:t>
      </w:r>
      <w:r w:rsidR="009A37F3" w:rsidRPr="001A6BB5">
        <w:rPr>
          <w:szCs w:val="19"/>
        </w:rPr>
        <w:t>A</w:t>
      </w:r>
      <w:r w:rsidRPr="001A6BB5">
        <w:rPr>
          <w:szCs w:val="19"/>
        </w:rPr>
        <w:t xml:space="preserve">rbetsrätt </w:t>
      </w:r>
      <w:r w:rsidR="009A37F3" w:rsidRPr="001A6BB5">
        <w:rPr>
          <w:szCs w:val="19"/>
        </w:rPr>
        <w:t xml:space="preserve">(avsnitt 23.1) </w:t>
      </w:r>
      <w:r w:rsidRPr="001A6BB5">
        <w:rPr>
          <w:szCs w:val="19"/>
        </w:rPr>
        <w:t>redovisas frågor som inte varit aktuella för behandling i rådet eller på annat sätt inom ramen för EU-samarbetet utan närmast rör införliv</w:t>
      </w:r>
      <w:r w:rsidR="00583FBD" w:rsidRPr="001A6BB5">
        <w:rPr>
          <w:szCs w:val="19"/>
        </w:rPr>
        <w:t>ande</w:t>
      </w:r>
      <w:r w:rsidRPr="001A6BB5">
        <w:rPr>
          <w:szCs w:val="19"/>
        </w:rPr>
        <w:t xml:space="preserve"> av direktiv eller förhandlin</w:t>
      </w:r>
      <w:r w:rsidRPr="001A6BB5">
        <w:rPr>
          <w:szCs w:val="19"/>
        </w:rPr>
        <w:t>g</w:t>
      </w:r>
      <w:r w:rsidRPr="001A6BB5">
        <w:rPr>
          <w:szCs w:val="19"/>
        </w:rPr>
        <w:t>ar som avstannat. Dessa har av förklarliga skäl inte behandlats vid EU-nämndens sa</w:t>
      </w:r>
      <w:r w:rsidRPr="001A6BB5">
        <w:rPr>
          <w:szCs w:val="19"/>
        </w:rPr>
        <w:t>m</w:t>
      </w:r>
      <w:r w:rsidRPr="001A6BB5">
        <w:rPr>
          <w:szCs w:val="19"/>
        </w:rPr>
        <w:t>manträden.</w:t>
      </w:r>
    </w:p>
    <w:p w:rsidR="004C3BC8" w:rsidRPr="001A6BB5" w:rsidRDefault="00CF70D9" w:rsidP="00697098">
      <w:pPr>
        <w:pStyle w:val="Normaltindrag"/>
        <w:rPr>
          <w:szCs w:val="19"/>
        </w:rPr>
      </w:pPr>
      <w:r w:rsidRPr="001A6BB5">
        <w:rPr>
          <w:szCs w:val="19"/>
        </w:rPr>
        <w:t>Beträffande</w:t>
      </w:r>
      <w:r w:rsidR="008D1A80" w:rsidRPr="001A6BB5">
        <w:rPr>
          <w:szCs w:val="19"/>
        </w:rPr>
        <w:t xml:space="preserve"> grönboken om psykisk hälsa (avsnitt 25.8) angav EU-nämnden att Sverige redan i den inledande diskussionen om grönboken skulle klargöra att detta är en fråga för den nationella nivån. </w:t>
      </w:r>
      <w:r w:rsidR="005F493F" w:rsidRPr="001A6BB5">
        <w:rPr>
          <w:szCs w:val="19"/>
        </w:rPr>
        <w:t>Detta är ett av flera exempel på den subsidi</w:t>
      </w:r>
      <w:r w:rsidR="005F493F" w:rsidRPr="001A6BB5">
        <w:rPr>
          <w:szCs w:val="19"/>
        </w:rPr>
        <w:t>a</w:t>
      </w:r>
      <w:r w:rsidR="005F493F" w:rsidRPr="001A6BB5">
        <w:rPr>
          <w:szCs w:val="19"/>
        </w:rPr>
        <w:t>ritetsprövning som i praktiken sker i EU-nämnden när det gäller förslag som present</w:t>
      </w:r>
      <w:r w:rsidR="005F493F" w:rsidRPr="001A6BB5">
        <w:rPr>
          <w:szCs w:val="19"/>
        </w:rPr>
        <w:t>e</w:t>
      </w:r>
      <w:r w:rsidR="005F493F" w:rsidRPr="001A6BB5">
        <w:rPr>
          <w:szCs w:val="19"/>
        </w:rPr>
        <w:t>ras på rådets möten.</w:t>
      </w:r>
      <w:r w:rsidR="008D1A80" w:rsidRPr="001A6BB5">
        <w:rPr>
          <w:szCs w:val="19"/>
        </w:rPr>
        <w:t xml:space="preserve"> </w:t>
      </w:r>
    </w:p>
    <w:p w:rsidR="00697098" w:rsidRPr="001A6BB5" w:rsidRDefault="00697098" w:rsidP="001A1799">
      <w:pPr>
        <w:pStyle w:val="Rubrik2"/>
      </w:pPr>
      <w:bookmarkStart w:id="21" w:name="_Toc101078477"/>
      <w:bookmarkStart w:id="22" w:name="_Toc101079331"/>
      <w:bookmarkStart w:id="23" w:name="_Toc133209004"/>
      <w:r w:rsidRPr="001A6BB5">
        <w:t>Konkurrenskraftsfrågor (del 6)</w:t>
      </w:r>
      <w:bookmarkEnd w:id="21"/>
      <w:bookmarkEnd w:id="22"/>
      <w:bookmarkEnd w:id="23"/>
    </w:p>
    <w:p w:rsidR="00697098" w:rsidRPr="001A6BB5" w:rsidRDefault="00697098" w:rsidP="0025038C">
      <w:r w:rsidRPr="001A6BB5">
        <w:t>Förslaget till direktivet om tjänster på den inre marknaden (tjänstedirekt</w:t>
      </w:r>
      <w:r w:rsidRPr="001A6BB5">
        <w:t>i</w:t>
      </w:r>
      <w:r w:rsidRPr="001A6BB5">
        <w:t xml:space="preserve">vet) har </w:t>
      </w:r>
      <w:r w:rsidR="0025038C" w:rsidRPr="001A6BB5">
        <w:t xml:space="preserve">liksom förra året </w:t>
      </w:r>
      <w:r w:rsidRPr="001A6BB5">
        <w:t>varit föremål för diskussioner vid flera tillfä</w:t>
      </w:r>
      <w:r w:rsidRPr="001A6BB5">
        <w:t>l</w:t>
      </w:r>
      <w:r w:rsidRPr="001A6BB5">
        <w:t>len i EU-nämnden u</w:t>
      </w:r>
      <w:r w:rsidRPr="001A6BB5">
        <w:t>n</w:t>
      </w:r>
      <w:r w:rsidRPr="001A6BB5">
        <w:t xml:space="preserve">der året (avsnitt 29.1). </w:t>
      </w:r>
    </w:p>
    <w:p w:rsidR="00697098" w:rsidRPr="001A6BB5" w:rsidRDefault="00697098" w:rsidP="00697098">
      <w:pPr>
        <w:pStyle w:val="Normaltindrag"/>
        <w:rPr>
          <w:i/>
          <w:szCs w:val="19"/>
        </w:rPr>
      </w:pPr>
      <w:r w:rsidRPr="001A6BB5">
        <w:rPr>
          <w:szCs w:val="19"/>
        </w:rPr>
        <w:t xml:space="preserve">Kemikalieförordningen, Reach, har </w:t>
      </w:r>
      <w:r w:rsidR="0025038C" w:rsidRPr="001A6BB5">
        <w:rPr>
          <w:szCs w:val="19"/>
        </w:rPr>
        <w:t xml:space="preserve">också </w:t>
      </w:r>
      <w:r w:rsidR="002C33E7" w:rsidRPr="001A6BB5">
        <w:rPr>
          <w:szCs w:val="19"/>
        </w:rPr>
        <w:t xml:space="preserve">behandlats </w:t>
      </w:r>
      <w:r w:rsidRPr="001A6BB5">
        <w:rPr>
          <w:szCs w:val="19"/>
        </w:rPr>
        <w:t xml:space="preserve">i EU-nämnden </w:t>
      </w:r>
      <w:r w:rsidR="007D1E63" w:rsidRPr="001A6BB5">
        <w:rPr>
          <w:szCs w:val="19"/>
        </w:rPr>
        <w:t>vid ett flertal tillfälle</w:t>
      </w:r>
      <w:r w:rsidR="00DE3FA9" w:rsidRPr="001A6BB5">
        <w:rPr>
          <w:szCs w:val="19"/>
        </w:rPr>
        <w:t>n</w:t>
      </w:r>
      <w:r w:rsidR="007D1E63" w:rsidRPr="001A6BB5">
        <w:rPr>
          <w:szCs w:val="19"/>
        </w:rPr>
        <w:t xml:space="preserve"> både </w:t>
      </w:r>
      <w:r w:rsidRPr="001A6BB5">
        <w:rPr>
          <w:szCs w:val="19"/>
        </w:rPr>
        <w:t xml:space="preserve">inför Konkurrenskraftsrådet </w:t>
      </w:r>
      <w:r w:rsidR="007D1E63" w:rsidRPr="001A6BB5">
        <w:rPr>
          <w:szCs w:val="19"/>
        </w:rPr>
        <w:t xml:space="preserve">och Miljörådet </w:t>
      </w:r>
      <w:r w:rsidRPr="001A6BB5">
        <w:rPr>
          <w:szCs w:val="19"/>
        </w:rPr>
        <w:t>(a</w:t>
      </w:r>
      <w:r w:rsidRPr="001A6BB5">
        <w:rPr>
          <w:szCs w:val="19"/>
        </w:rPr>
        <w:t>v</w:t>
      </w:r>
      <w:r w:rsidRPr="001A6BB5">
        <w:rPr>
          <w:szCs w:val="19"/>
        </w:rPr>
        <w:t>snitt 31.1.5)</w:t>
      </w:r>
      <w:r w:rsidR="002C33E7" w:rsidRPr="001A6BB5">
        <w:rPr>
          <w:szCs w:val="19"/>
        </w:rPr>
        <w:t>.</w:t>
      </w:r>
    </w:p>
    <w:p w:rsidR="0025038C" w:rsidRPr="001A6BB5" w:rsidRDefault="0025038C" w:rsidP="00697098">
      <w:pPr>
        <w:pStyle w:val="Normaltindrag"/>
        <w:rPr>
          <w:sz w:val="18"/>
          <w:szCs w:val="18"/>
        </w:rPr>
      </w:pPr>
      <w:r w:rsidRPr="001A6BB5">
        <w:rPr>
          <w:szCs w:val="19"/>
        </w:rPr>
        <w:t xml:space="preserve">Regelförbättring </w:t>
      </w:r>
      <w:r w:rsidR="00083509" w:rsidRPr="001A6BB5">
        <w:rPr>
          <w:szCs w:val="19"/>
        </w:rPr>
        <w:t>inom EU (avsnitt 31.1.4) har varit en uppmärksammad fråga på dagordning</w:t>
      </w:r>
      <w:r w:rsidR="002C33E7" w:rsidRPr="001A6BB5">
        <w:rPr>
          <w:szCs w:val="19"/>
        </w:rPr>
        <w:t>arna</w:t>
      </w:r>
      <w:r w:rsidR="00083509" w:rsidRPr="001A6BB5">
        <w:rPr>
          <w:szCs w:val="19"/>
        </w:rPr>
        <w:t xml:space="preserve"> för olika rådssammansättningar</w:t>
      </w:r>
      <w:r w:rsidR="002C33E7" w:rsidRPr="001A6BB5">
        <w:rPr>
          <w:szCs w:val="19"/>
        </w:rPr>
        <w:t xml:space="preserve">  med </w:t>
      </w:r>
      <w:r w:rsidR="009A37F3" w:rsidRPr="001A6BB5">
        <w:rPr>
          <w:szCs w:val="19"/>
        </w:rPr>
        <w:t>K</w:t>
      </w:r>
      <w:r w:rsidR="002C33E7" w:rsidRPr="001A6BB5">
        <w:rPr>
          <w:szCs w:val="19"/>
        </w:rPr>
        <w:t>onkurren</w:t>
      </w:r>
      <w:r w:rsidR="002C33E7" w:rsidRPr="001A6BB5">
        <w:rPr>
          <w:szCs w:val="19"/>
        </w:rPr>
        <w:t>s</w:t>
      </w:r>
      <w:r w:rsidR="002C33E7" w:rsidRPr="001A6BB5">
        <w:rPr>
          <w:szCs w:val="19"/>
        </w:rPr>
        <w:t>kraftsr</w:t>
      </w:r>
      <w:r w:rsidR="002C33E7" w:rsidRPr="001A6BB5">
        <w:rPr>
          <w:szCs w:val="19"/>
        </w:rPr>
        <w:t>å</w:t>
      </w:r>
      <w:r w:rsidR="002C33E7" w:rsidRPr="001A6BB5">
        <w:rPr>
          <w:szCs w:val="19"/>
        </w:rPr>
        <w:t>det som sammanhållande</w:t>
      </w:r>
      <w:r w:rsidR="00083509" w:rsidRPr="001A6BB5">
        <w:rPr>
          <w:szCs w:val="19"/>
        </w:rPr>
        <w:t>.</w:t>
      </w:r>
      <w:r w:rsidR="00083509" w:rsidRPr="001A6BB5">
        <w:rPr>
          <w:sz w:val="18"/>
          <w:szCs w:val="18"/>
        </w:rPr>
        <w:t xml:space="preserve"> </w:t>
      </w:r>
    </w:p>
    <w:p w:rsidR="00697098" w:rsidRPr="001A6BB5" w:rsidRDefault="00697098" w:rsidP="001A1799">
      <w:pPr>
        <w:pStyle w:val="Rubrik2"/>
      </w:pPr>
      <w:bookmarkStart w:id="24" w:name="_Toc101078478"/>
      <w:bookmarkStart w:id="25" w:name="_Toc101079332"/>
      <w:bookmarkStart w:id="26" w:name="_Toc133209005"/>
      <w:r w:rsidRPr="001A6BB5">
        <w:t>Transport, telekommunikation och energi (del 7)</w:t>
      </w:r>
      <w:bookmarkEnd w:id="24"/>
      <w:bookmarkEnd w:id="25"/>
      <w:bookmarkEnd w:id="26"/>
    </w:p>
    <w:p w:rsidR="002630FE" w:rsidRPr="001A6BB5" w:rsidRDefault="002630FE" w:rsidP="002630FE">
      <w:r w:rsidRPr="001A6BB5">
        <w:t>I skrivelsen ges en grundlig redovisning av arbetet inom områdena</w:t>
      </w:r>
      <w:r w:rsidR="0054394B" w:rsidRPr="001A6BB5">
        <w:t xml:space="preserve"> </w:t>
      </w:r>
      <w:r w:rsidRPr="001A6BB5">
        <w:t xml:space="preserve"> tran</w:t>
      </w:r>
      <w:r w:rsidRPr="001A6BB5">
        <w:t>s</w:t>
      </w:r>
      <w:r w:rsidRPr="001A6BB5">
        <w:t>port, telekommunikation och energi</w:t>
      </w:r>
      <w:r w:rsidRPr="001A6BB5">
        <w:rPr>
          <w:b/>
        </w:rPr>
        <w:t>.</w:t>
      </w:r>
      <w:r w:rsidRPr="001A6BB5">
        <w:t xml:space="preserve"> Inom dessa områden har det under 2005 varit relativt omfattande aktivitet inom EU-samarbetet. På transportområdet har EU-nämnden bl.a. särskilt uppmärksammat det s.k. Eurovinjettdirektivet (beskattning av tunga lastbilar</w:t>
      </w:r>
      <w:r w:rsidR="009A37F3" w:rsidRPr="001A6BB5">
        <w:t>,</w:t>
      </w:r>
      <w:r w:rsidR="00583FBD" w:rsidRPr="001A6BB5">
        <w:t xml:space="preserve"> avsnitt 36.2.3)</w:t>
      </w:r>
      <w:r w:rsidRPr="001A6BB5">
        <w:t>. Förslaget har diskuterats vid flera rådsmöten och vid flera samråd med EU-nämnden. EU-nämnden har därvid uttryckt att det är angeläget att en överenskommelse nås och att rege</w:t>
      </w:r>
      <w:r w:rsidRPr="001A6BB5">
        <w:t>r</w:t>
      </w:r>
      <w:r w:rsidRPr="001A6BB5">
        <w:t>ingen bör vara beredd på att kompromissa. Även det s.k</w:t>
      </w:r>
      <w:r w:rsidR="00E713E4" w:rsidRPr="001A6BB5">
        <w:t>.</w:t>
      </w:r>
      <w:r w:rsidRPr="001A6BB5">
        <w:t xml:space="preserve"> tredje järnvägspak</w:t>
      </w:r>
      <w:r w:rsidRPr="001A6BB5">
        <w:t>e</w:t>
      </w:r>
      <w:r w:rsidRPr="001A6BB5">
        <w:t>tet har varit föremål för diskussioner vid flera tillfällen i EU-nämnden</w:t>
      </w:r>
      <w:r w:rsidR="00583FBD" w:rsidRPr="001A6BB5">
        <w:t xml:space="preserve"> (avsnitt 36.2.4)</w:t>
      </w:r>
      <w:r w:rsidRPr="001A6BB5">
        <w:t xml:space="preserve">. </w:t>
      </w:r>
    </w:p>
    <w:p w:rsidR="00083509" w:rsidRPr="001A6BB5" w:rsidRDefault="006E08C6" w:rsidP="00083509">
      <w:pPr>
        <w:pStyle w:val="Normaltindrag"/>
      </w:pPr>
      <w:r w:rsidRPr="001A6BB5">
        <w:t>I skrivelsen nämns också grönboken om energieffektivisering</w:t>
      </w:r>
      <w:r w:rsidR="00583FBD" w:rsidRPr="001A6BB5">
        <w:t xml:space="preserve"> (avsnitt 38.3)</w:t>
      </w:r>
      <w:r w:rsidRPr="001A6BB5">
        <w:t xml:space="preserve">. </w:t>
      </w:r>
      <w:r w:rsidR="00B113A7" w:rsidRPr="001A6BB5">
        <w:t>Frågan om</w:t>
      </w:r>
      <w:r w:rsidRPr="001A6BB5">
        <w:t xml:space="preserve"> grönbok</w:t>
      </w:r>
      <w:r w:rsidR="00B113A7" w:rsidRPr="001A6BB5">
        <w:t>en</w:t>
      </w:r>
      <w:r w:rsidRPr="001A6BB5">
        <w:t xml:space="preserve"> och energipolitikens betydelse för att nå klima</w:t>
      </w:r>
      <w:r w:rsidRPr="001A6BB5">
        <w:t>t</w:t>
      </w:r>
      <w:r w:rsidRPr="001A6BB5">
        <w:t xml:space="preserve">målen </w:t>
      </w:r>
      <w:r w:rsidR="00B113A7" w:rsidRPr="001A6BB5">
        <w:t>behandlades</w:t>
      </w:r>
      <w:r w:rsidRPr="001A6BB5">
        <w:t xml:space="preserve"> i EU-nämnden under hösten 2005. Energifrågorna har under år 2006 fått sto</w:t>
      </w:r>
      <w:r w:rsidRPr="001A6BB5">
        <w:t>r</w:t>
      </w:r>
      <w:r w:rsidRPr="001A6BB5">
        <w:t xml:space="preserve"> aktualitet och diskuterats ingående i EU-nämnden bl.a. mot bakgrund av den nyligen </w:t>
      </w:r>
      <w:r w:rsidR="000731D0" w:rsidRPr="001A6BB5">
        <w:t xml:space="preserve">utfärdade </w:t>
      </w:r>
      <w:r w:rsidRPr="001A6BB5">
        <w:t>grönboken om energipolitiken</w:t>
      </w:r>
      <w:r w:rsidR="00DE54A9" w:rsidRPr="001A6BB5">
        <w:t xml:space="preserve"> och inför EU:s vårtop</w:t>
      </w:r>
      <w:r w:rsidR="00DE54A9" w:rsidRPr="001A6BB5">
        <w:t>p</w:t>
      </w:r>
      <w:r w:rsidR="00DE54A9" w:rsidRPr="001A6BB5">
        <w:t>möte i mars innevarande år.</w:t>
      </w:r>
      <w:r w:rsidRPr="001A6BB5">
        <w:t xml:space="preserve"> </w:t>
      </w:r>
    </w:p>
    <w:p w:rsidR="00697098" w:rsidRPr="001A6BB5" w:rsidRDefault="00697098" w:rsidP="001A1799">
      <w:pPr>
        <w:pStyle w:val="Rubrik2"/>
      </w:pPr>
      <w:bookmarkStart w:id="27" w:name="_Toc101078479"/>
      <w:bookmarkStart w:id="28" w:name="_Toc101079333"/>
      <w:bookmarkStart w:id="29" w:name="_Toc133209006"/>
      <w:r w:rsidRPr="001A6BB5">
        <w:t>Jordbruk och fiske (del 8)</w:t>
      </w:r>
      <w:bookmarkEnd w:id="27"/>
      <w:bookmarkEnd w:id="28"/>
      <w:bookmarkEnd w:id="29"/>
    </w:p>
    <w:p w:rsidR="001908F2" w:rsidRPr="001A6BB5" w:rsidRDefault="007D1E63" w:rsidP="000731D0">
      <w:r w:rsidRPr="001A6BB5">
        <w:t xml:space="preserve">Reformen av marknadsordningen för socker </w:t>
      </w:r>
      <w:r w:rsidR="00583FBD" w:rsidRPr="001A6BB5">
        <w:t xml:space="preserve">(avsnitt 39.1.1) </w:t>
      </w:r>
      <w:r w:rsidRPr="001A6BB5">
        <w:t>har</w:t>
      </w:r>
      <w:r w:rsidR="00B113A7" w:rsidRPr="001A6BB5">
        <w:t>,</w:t>
      </w:r>
      <w:r w:rsidRPr="001A6BB5">
        <w:t xml:space="preserve"> som sägs i skr</w:t>
      </w:r>
      <w:r w:rsidRPr="001A6BB5">
        <w:t>i</w:t>
      </w:r>
      <w:r w:rsidRPr="001A6BB5">
        <w:t>velsen</w:t>
      </w:r>
      <w:r w:rsidR="00B113A7" w:rsidRPr="001A6BB5">
        <w:t>,</w:t>
      </w:r>
      <w:r w:rsidRPr="001A6BB5">
        <w:t xml:space="preserve"> behandlats intensivt i ministerrådet och därmed också i EU-nämnden. </w:t>
      </w:r>
      <w:r w:rsidR="008C401F" w:rsidRPr="001A6BB5">
        <w:t>Diskussio</w:t>
      </w:r>
      <w:r w:rsidR="00E75CB1" w:rsidRPr="001A6BB5">
        <w:t>n</w:t>
      </w:r>
      <w:r w:rsidR="008C401F" w:rsidRPr="001A6BB5">
        <w:t>en i EU-nämnden</w:t>
      </w:r>
      <w:r w:rsidR="00554094" w:rsidRPr="001A6BB5">
        <w:t>,</w:t>
      </w:r>
      <w:r w:rsidR="008C401F" w:rsidRPr="001A6BB5">
        <w:t xml:space="preserve"> vars majoritet stött reformen</w:t>
      </w:r>
      <w:r w:rsidR="00554094" w:rsidRPr="001A6BB5">
        <w:t>,</w:t>
      </w:r>
      <w:r w:rsidR="008C401F" w:rsidRPr="001A6BB5">
        <w:t xml:space="preserve"> har bl.a. gällt bu</w:t>
      </w:r>
      <w:r w:rsidR="008C401F" w:rsidRPr="001A6BB5">
        <w:t>d</w:t>
      </w:r>
      <w:r w:rsidR="008C401F" w:rsidRPr="001A6BB5">
        <w:t xml:space="preserve">getfrågor och analyser av reformens konsekvenser. </w:t>
      </w:r>
      <w:r w:rsidRPr="001A6BB5">
        <w:t>Även det nya regelverket för land</w:t>
      </w:r>
      <w:r w:rsidRPr="001A6BB5">
        <w:t>s</w:t>
      </w:r>
      <w:r w:rsidRPr="001A6BB5">
        <w:t xml:space="preserve">bygdsutveckling </w:t>
      </w:r>
      <w:r w:rsidR="00583FBD" w:rsidRPr="001A6BB5">
        <w:t xml:space="preserve">(avsnitt 39.2.1) </w:t>
      </w:r>
      <w:r w:rsidRPr="001A6BB5">
        <w:t>har behandlats av EU-nämnden ett flertal gånger under året.</w:t>
      </w:r>
    </w:p>
    <w:p w:rsidR="004C3BC8" w:rsidRPr="001A6BB5" w:rsidRDefault="001908F2" w:rsidP="001908F2">
      <w:pPr>
        <w:pStyle w:val="Normaltindrag"/>
      </w:pPr>
      <w:r w:rsidRPr="001A6BB5">
        <w:t xml:space="preserve">Frågan om fiskemöjligheterna i Östersjön för år 2006 </w:t>
      </w:r>
      <w:r w:rsidR="00583FBD" w:rsidRPr="001A6BB5">
        <w:t xml:space="preserve">(avsnitt 40.1.1) har i </w:t>
      </w:r>
      <w:r w:rsidRPr="001A6BB5">
        <w:t>december år 2005 ingående diskuterats i EU-nämnden varvid regerin</w:t>
      </w:r>
      <w:r w:rsidRPr="001A6BB5">
        <w:t>g</w:t>
      </w:r>
      <w:r w:rsidRPr="001A6BB5">
        <w:t>en f</w:t>
      </w:r>
      <w:r w:rsidR="00583FBD" w:rsidRPr="001A6BB5">
        <w:t>ått</w:t>
      </w:r>
      <w:r w:rsidRPr="001A6BB5">
        <w:t xml:space="preserve"> ma</w:t>
      </w:r>
      <w:r w:rsidRPr="001A6BB5">
        <w:t>n</w:t>
      </w:r>
      <w:r w:rsidRPr="001A6BB5">
        <w:t>dat att rösta nej</w:t>
      </w:r>
      <w:r w:rsidR="00583FBD" w:rsidRPr="001A6BB5">
        <w:t xml:space="preserve"> till förslaget</w:t>
      </w:r>
      <w:r w:rsidRPr="001A6BB5">
        <w:t>.</w:t>
      </w:r>
      <w:r w:rsidR="007D1E63" w:rsidRPr="001A6BB5">
        <w:t xml:space="preserve">  </w:t>
      </w:r>
    </w:p>
    <w:p w:rsidR="00083509" w:rsidRPr="001A6BB5" w:rsidRDefault="00083509" w:rsidP="001A1799">
      <w:pPr>
        <w:pStyle w:val="Rubrik2"/>
      </w:pPr>
      <w:bookmarkStart w:id="30" w:name="_Toc101078480"/>
      <w:bookmarkStart w:id="31" w:name="_Toc101079334"/>
      <w:bookmarkStart w:id="32" w:name="_Toc133209007"/>
      <w:r w:rsidRPr="001A6BB5">
        <w:t>Miljö (del 9)</w:t>
      </w:r>
      <w:bookmarkEnd w:id="32"/>
    </w:p>
    <w:p w:rsidR="00083509" w:rsidRPr="001A6BB5" w:rsidRDefault="00083509" w:rsidP="00083509">
      <w:r w:rsidRPr="001A6BB5">
        <w:t>Under året har flera frågor på miljöområdet både av övergripande karaktär och enskilda direktiv varit föremål för diskussioner i EU-nämnden. Regerin</w:t>
      </w:r>
      <w:r w:rsidRPr="001A6BB5">
        <w:t>g</w:t>
      </w:r>
      <w:r w:rsidRPr="001A6BB5">
        <w:t xml:space="preserve">en har samrått med EU-nämnden i de </w:t>
      </w:r>
      <w:r w:rsidR="003C501E" w:rsidRPr="001A6BB5">
        <w:t>frågor som stått på rådets dagordning både vad gäller övergripande frågor och enskilda direktiv. Frågor av öve</w:t>
      </w:r>
      <w:r w:rsidR="003C501E" w:rsidRPr="001A6BB5">
        <w:t>r</w:t>
      </w:r>
      <w:r w:rsidR="003C501E" w:rsidRPr="001A6BB5">
        <w:t>gripande karaktär som diskuterats i EU-nämnden är t.ex. hållbar utveckling och Lissabonstrategin</w:t>
      </w:r>
      <w:r w:rsidR="00583FBD" w:rsidRPr="001A6BB5">
        <w:t xml:space="preserve"> (avsnitt 42.1.1</w:t>
      </w:r>
      <w:r w:rsidR="00554094" w:rsidRPr="001A6BB5">
        <w:t xml:space="preserve"> </w:t>
      </w:r>
      <w:r w:rsidR="00583FBD" w:rsidRPr="001A6BB5">
        <w:t>respektive 42.1.2)</w:t>
      </w:r>
      <w:r w:rsidR="003C501E" w:rsidRPr="001A6BB5">
        <w:t xml:space="preserve">. </w:t>
      </w:r>
      <w:r w:rsidRPr="001A6BB5">
        <w:t>Samråden på milj</w:t>
      </w:r>
      <w:r w:rsidRPr="001A6BB5">
        <w:t>ö</w:t>
      </w:r>
      <w:r w:rsidRPr="001A6BB5">
        <w:t xml:space="preserve">området har ibland resulterat i längre diskussioner </w:t>
      </w:r>
      <w:r w:rsidR="00435F23" w:rsidRPr="001A6BB5">
        <w:t>om</w:t>
      </w:r>
      <w:r w:rsidRPr="001A6BB5">
        <w:t xml:space="preserve"> </w:t>
      </w:r>
      <w:r w:rsidR="00DE54A9" w:rsidRPr="001A6BB5">
        <w:t>t.ex.</w:t>
      </w:r>
      <w:r w:rsidRPr="001A6BB5">
        <w:t xml:space="preserve"> GMO-frågor</w:t>
      </w:r>
      <w:r w:rsidR="00583FBD" w:rsidRPr="001A6BB5">
        <w:t xml:space="preserve"> (a</w:t>
      </w:r>
      <w:r w:rsidR="00583FBD" w:rsidRPr="001A6BB5">
        <w:t>v</w:t>
      </w:r>
      <w:r w:rsidR="00583FBD" w:rsidRPr="001A6BB5">
        <w:t>snitt 42.4.6)</w:t>
      </w:r>
      <w:r w:rsidRPr="001A6BB5">
        <w:t xml:space="preserve">. Regeringens förslag om att Sverige skulle rösta nej till grundvattendirektivet fick efter diskussioner stöd </w:t>
      </w:r>
      <w:r w:rsidR="00583FBD" w:rsidRPr="001A6BB5">
        <w:t xml:space="preserve"> </w:t>
      </w:r>
      <w:r w:rsidRPr="001A6BB5">
        <w:t xml:space="preserve">i </w:t>
      </w:r>
      <w:r w:rsidR="00583FBD" w:rsidRPr="001A6BB5">
        <w:t xml:space="preserve"> </w:t>
      </w:r>
      <w:r w:rsidRPr="001A6BB5">
        <w:t>näm</w:t>
      </w:r>
      <w:r w:rsidRPr="001A6BB5">
        <w:t>n</w:t>
      </w:r>
      <w:r w:rsidRPr="001A6BB5">
        <w:t>den</w:t>
      </w:r>
      <w:r w:rsidR="00583FBD" w:rsidRPr="001A6BB5">
        <w:t xml:space="preserve"> (avsnitt 42.3.2)</w:t>
      </w:r>
      <w:r w:rsidRPr="001A6BB5">
        <w:t xml:space="preserve">. </w:t>
      </w:r>
    </w:p>
    <w:p w:rsidR="00083509" w:rsidRPr="001A6BB5" w:rsidRDefault="00083509" w:rsidP="001A1799">
      <w:pPr>
        <w:pStyle w:val="Rubrik2"/>
      </w:pPr>
      <w:bookmarkStart w:id="33" w:name="_Toc133209008"/>
      <w:r w:rsidRPr="001A6BB5">
        <w:t>Utbildning, ungdom och kultur (del 10)</w:t>
      </w:r>
      <w:bookmarkEnd w:id="33"/>
    </w:p>
    <w:p w:rsidR="00083509" w:rsidRPr="001A6BB5" w:rsidRDefault="00083509" w:rsidP="00083509">
      <w:pPr>
        <w:rPr>
          <w:szCs w:val="19"/>
        </w:rPr>
      </w:pPr>
      <w:r w:rsidRPr="001A6BB5">
        <w:rPr>
          <w:szCs w:val="19"/>
        </w:rPr>
        <w:t>Under denna rubrik behandlas i skrivelsen EU-samarbetet rörande utbildning, ungdom och kultur. Regeringen har informerat och samrått i de fr</w:t>
      </w:r>
      <w:r w:rsidRPr="001A6BB5">
        <w:rPr>
          <w:szCs w:val="19"/>
        </w:rPr>
        <w:t>å</w:t>
      </w:r>
      <w:r w:rsidRPr="001A6BB5">
        <w:rPr>
          <w:szCs w:val="19"/>
        </w:rPr>
        <w:t xml:space="preserve">gor som stått på dagordningen för rådet. I vissa fall har det vid samråden i EU-nämnden uppstått diskussioner </w:t>
      </w:r>
      <w:r w:rsidR="00DE54A9" w:rsidRPr="001A6BB5">
        <w:rPr>
          <w:szCs w:val="19"/>
        </w:rPr>
        <w:t xml:space="preserve">med hänsyn till subsidiaritetsprincipen </w:t>
      </w:r>
      <w:r w:rsidRPr="001A6BB5">
        <w:rPr>
          <w:szCs w:val="19"/>
        </w:rPr>
        <w:t>röra</w:t>
      </w:r>
      <w:r w:rsidRPr="001A6BB5">
        <w:rPr>
          <w:szCs w:val="19"/>
        </w:rPr>
        <w:t>n</w:t>
      </w:r>
      <w:r w:rsidRPr="001A6BB5">
        <w:rPr>
          <w:szCs w:val="19"/>
        </w:rPr>
        <w:t xml:space="preserve">de olika stödprogram inom kulturområdet </w:t>
      </w:r>
      <w:r w:rsidR="00583FBD" w:rsidRPr="001A6BB5">
        <w:rPr>
          <w:szCs w:val="19"/>
        </w:rPr>
        <w:t xml:space="preserve">(avsnitt 45) </w:t>
      </w:r>
      <w:r w:rsidRPr="001A6BB5">
        <w:rPr>
          <w:szCs w:val="19"/>
        </w:rPr>
        <w:t>samt antagande av resolutioner inom exempelvis ungdomsområdet</w:t>
      </w:r>
      <w:r w:rsidR="002C33E7" w:rsidRPr="001A6BB5">
        <w:rPr>
          <w:szCs w:val="19"/>
        </w:rPr>
        <w:t xml:space="preserve"> (genomförandet av den eur</w:t>
      </w:r>
      <w:r w:rsidR="002C33E7" w:rsidRPr="001A6BB5">
        <w:rPr>
          <w:szCs w:val="19"/>
        </w:rPr>
        <w:t>o</w:t>
      </w:r>
      <w:r w:rsidR="002C33E7" w:rsidRPr="001A6BB5">
        <w:rPr>
          <w:szCs w:val="19"/>
        </w:rPr>
        <w:t>peiska ungdom</w:t>
      </w:r>
      <w:r w:rsidR="002C33E7" w:rsidRPr="001A6BB5">
        <w:rPr>
          <w:szCs w:val="19"/>
        </w:rPr>
        <w:t>s</w:t>
      </w:r>
      <w:r w:rsidR="002C33E7" w:rsidRPr="001A6BB5">
        <w:rPr>
          <w:szCs w:val="19"/>
        </w:rPr>
        <w:t>pakten</w:t>
      </w:r>
      <w:r w:rsidR="00554094" w:rsidRPr="001A6BB5">
        <w:rPr>
          <w:szCs w:val="19"/>
        </w:rPr>
        <w:t>,</w:t>
      </w:r>
      <w:r w:rsidR="00117E59" w:rsidRPr="001A6BB5">
        <w:rPr>
          <w:szCs w:val="19"/>
        </w:rPr>
        <w:t xml:space="preserve"> avsnitt 44.1)</w:t>
      </w:r>
      <w:r w:rsidRPr="001A6BB5">
        <w:rPr>
          <w:szCs w:val="19"/>
        </w:rPr>
        <w:t xml:space="preserve">. </w:t>
      </w:r>
      <w:r w:rsidRPr="001A6BB5">
        <w:rPr>
          <w:szCs w:val="19"/>
        </w:rPr>
        <w:tab/>
      </w:r>
    </w:p>
    <w:p w:rsidR="00697098" w:rsidRPr="001A6BB5" w:rsidRDefault="00697098" w:rsidP="001A1799">
      <w:pPr>
        <w:pStyle w:val="Rubrik2"/>
      </w:pPr>
      <w:bookmarkStart w:id="34" w:name="_Toc101078482"/>
      <w:bookmarkStart w:id="35" w:name="_Toc101079336"/>
      <w:bookmarkStart w:id="36" w:name="_Toc133209009"/>
      <w:bookmarkEnd w:id="30"/>
      <w:bookmarkEnd w:id="31"/>
      <w:r w:rsidRPr="001A6BB5">
        <w:t>EU:s institutioner (del 11)</w:t>
      </w:r>
      <w:bookmarkEnd w:id="34"/>
      <w:bookmarkEnd w:id="35"/>
      <w:bookmarkEnd w:id="36"/>
    </w:p>
    <w:p w:rsidR="00697098" w:rsidRPr="001A6BB5" w:rsidRDefault="00697098" w:rsidP="00697098">
      <w:pPr>
        <w:rPr>
          <w:szCs w:val="19"/>
        </w:rPr>
      </w:pPr>
      <w:r w:rsidRPr="001A6BB5">
        <w:rPr>
          <w:szCs w:val="19"/>
        </w:rPr>
        <w:t>I detta avsnitt redogörs, liksom i tidigare skrivelser, för institutionernas och olika organs verksamhet, öppenhet och insyn, personalpolitik i EU:s instit</w:t>
      </w:r>
      <w:r w:rsidRPr="001A6BB5">
        <w:rPr>
          <w:szCs w:val="19"/>
        </w:rPr>
        <w:t>u</w:t>
      </w:r>
      <w:r w:rsidRPr="001A6BB5">
        <w:rPr>
          <w:szCs w:val="19"/>
        </w:rPr>
        <w:t xml:space="preserve">tioner samt svenska språket och regelförenkling. Vidare redogörs för </w:t>
      </w:r>
      <w:r w:rsidR="004C3BC8" w:rsidRPr="001A6BB5">
        <w:rPr>
          <w:szCs w:val="19"/>
        </w:rPr>
        <w:t xml:space="preserve">mål i EG-domstolen och </w:t>
      </w:r>
      <w:r w:rsidRPr="001A6BB5">
        <w:rPr>
          <w:szCs w:val="19"/>
        </w:rPr>
        <w:t>s.k. övertr</w:t>
      </w:r>
      <w:r w:rsidRPr="001A6BB5">
        <w:rPr>
          <w:szCs w:val="19"/>
        </w:rPr>
        <w:t>ä</w:t>
      </w:r>
      <w:r w:rsidRPr="001A6BB5">
        <w:rPr>
          <w:szCs w:val="19"/>
        </w:rPr>
        <w:t xml:space="preserve">delseärenden. </w:t>
      </w:r>
    </w:p>
    <w:p w:rsidR="0060413B" w:rsidRPr="001A6BB5" w:rsidRDefault="0060413B" w:rsidP="0060413B">
      <w:pPr>
        <w:pStyle w:val="Normaltindrag"/>
        <w:rPr>
          <w:szCs w:val="19"/>
        </w:rPr>
      </w:pPr>
    </w:p>
    <w:p w:rsidR="0060413B" w:rsidRPr="001A6BB5" w:rsidRDefault="0060413B" w:rsidP="0060413B">
      <w:pPr>
        <w:rPr>
          <w:i/>
        </w:rPr>
      </w:pPr>
      <w:r w:rsidRPr="001A6BB5">
        <w:rPr>
          <w:i/>
        </w:rPr>
        <w:t xml:space="preserve">Europeiska unionens råd </w:t>
      </w:r>
      <w:r w:rsidR="00117E59" w:rsidRPr="001A6BB5">
        <w:rPr>
          <w:i/>
        </w:rPr>
        <w:t>–</w:t>
      </w:r>
      <w:r w:rsidRPr="001A6BB5">
        <w:rPr>
          <w:i/>
        </w:rPr>
        <w:t xml:space="preserve"> rådet</w:t>
      </w:r>
      <w:r w:rsidR="00554094" w:rsidRPr="001A6BB5">
        <w:rPr>
          <w:i/>
        </w:rPr>
        <w:t xml:space="preserve"> </w:t>
      </w:r>
      <w:r w:rsidR="00117E59" w:rsidRPr="001A6BB5">
        <w:rPr>
          <w:i/>
        </w:rPr>
        <w:t>(avsnitt 46.1)</w:t>
      </w:r>
      <w:r w:rsidRPr="001A6BB5">
        <w:rPr>
          <w:i/>
        </w:rPr>
        <w:t xml:space="preserve"> </w:t>
      </w:r>
    </w:p>
    <w:p w:rsidR="00697098" w:rsidRPr="001A6BB5" w:rsidRDefault="00697098" w:rsidP="0060413B">
      <w:r w:rsidRPr="001A6BB5">
        <w:t xml:space="preserve">I yttrande </w:t>
      </w:r>
      <w:r w:rsidR="00D0410D" w:rsidRPr="001A6BB5">
        <w:t xml:space="preserve">över skrivelsen för år 2003 </w:t>
      </w:r>
      <w:r w:rsidRPr="001A6BB5">
        <w:t>uppmärksammade nämnden rådets nya up</w:t>
      </w:r>
      <w:r w:rsidRPr="001A6BB5">
        <w:t>p</w:t>
      </w:r>
      <w:r w:rsidRPr="001A6BB5">
        <w:t>förandekod om att ingen fråga skulle placeras på rådets dagordning enbart för present</w:t>
      </w:r>
      <w:r w:rsidRPr="001A6BB5">
        <w:t>a</w:t>
      </w:r>
      <w:r w:rsidRPr="001A6BB5">
        <w:t>tion från kommissionens eller en medlemsstats sida, om inte en debatt om nya väsentliga initiativ planeras. EU-nämnden k</w:t>
      </w:r>
      <w:r w:rsidR="00D0410D" w:rsidRPr="001A6BB5">
        <w:t xml:space="preserve">unde förra året liksom nu </w:t>
      </w:r>
      <w:r w:rsidRPr="001A6BB5">
        <w:t>konst</w:t>
      </w:r>
      <w:r w:rsidRPr="001A6BB5">
        <w:t>a</w:t>
      </w:r>
      <w:r w:rsidRPr="001A6BB5">
        <w:t>tera att den nya uppförandekoden inte tycks ha medfört någon nämnvärd förän</w:t>
      </w:r>
      <w:r w:rsidRPr="001A6BB5">
        <w:t>d</w:t>
      </w:r>
      <w:r w:rsidRPr="001A6BB5">
        <w:t xml:space="preserve">ring av rådets dagordningar. </w:t>
      </w:r>
      <w:r w:rsidR="00D0410D" w:rsidRPr="001A6BB5">
        <w:t xml:space="preserve">Liksom förut belastas rådets </w:t>
      </w:r>
      <w:r w:rsidRPr="001A6BB5">
        <w:t>dagordningar med fr</w:t>
      </w:r>
      <w:r w:rsidRPr="001A6BB5">
        <w:t>å</w:t>
      </w:r>
      <w:r w:rsidRPr="001A6BB5">
        <w:t>gor som olika delegationer önskar ta upp under dagordningspunkten Övriga fr</w:t>
      </w:r>
      <w:r w:rsidRPr="001A6BB5">
        <w:t>å</w:t>
      </w:r>
      <w:r w:rsidRPr="001A6BB5">
        <w:t>gor</w:t>
      </w:r>
      <w:r w:rsidR="00D0410D" w:rsidRPr="001A6BB5">
        <w:t>.</w:t>
      </w:r>
      <w:r w:rsidRPr="001A6BB5">
        <w:t xml:space="preserve"> </w:t>
      </w:r>
      <w:r w:rsidR="00D0410D" w:rsidRPr="001A6BB5">
        <w:t>D</w:t>
      </w:r>
      <w:r w:rsidRPr="001A6BB5">
        <w:t xml:space="preserve">essa frågor förs </w:t>
      </w:r>
      <w:r w:rsidR="00D0410D" w:rsidRPr="001A6BB5">
        <w:t xml:space="preserve">dessutom ofta </w:t>
      </w:r>
      <w:r w:rsidRPr="001A6BB5">
        <w:t>upp på ett mycket sent stadium och utan att ba</w:t>
      </w:r>
      <w:r w:rsidRPr="001A6BB5">
        <w:t>k</w:t>
      </w:r>
      <w:r w:rsidRPr="001A6BB5">
        <w:t xml:space="preserve">grunden är känd. 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Liksom i yttrandena över de t</w:t>
      </w:r>
      <w:r w:rsidR="00D0410D" w:rsidRPr="001A6BB5">
        <w:rPr>
          <w:szCs w:val="19"/>
        </w:rPr>
        <w:t>re</w:t>
      </w:r>
      <w:r w:rsidRPr="001A6BB5">
        <w:rPr>
          <w:szCs w:val="19"/>
        </w:rPr>
        <w:t xml:space="preserve"> senaste skrivelserna välkomnar EU-nämnden att samarbetet mellan ordförandeskapen resulterar i långsiktiga geme</w:t>
      </w:r>
      <w:r w:rsidRPr="001A6BB5">
        <w:rPr>
          <w:szCs w:val="19"/>
        </w:rPr>
        <w:t>n</w:t>
      </w:r>
      <w:r w:rsidRPr="001A6BB5">
        <w:rPr>
          <w:szCs w:val="19"/>
        </w:rPr>
        <w:t>samma program och att kommissionen numera publicerar strategiska prioriterin</w:t>
      </w:r>
      <w:r w:rsidRPr="001A6BB5">
        <w:rPr>
          <w:szCs w:val="19"/>
        </w:rPr>
        <w:t>g</w:t>
      </w:r>
      <w:r w:rsidRPr="001A6BB5">
        <w:rPr>
          <w:szCs w:val="19"/>
        </w:rPr>
        <w:t xml:space="preserve">ar för en längre period. Sådana program och prioriteringar gör det möjligt för de nationella parlamenten att bättre planera arbetet med EU-frågorna. </w:t>
      </w:r>
    </w:p>
    <w:p w:rsidR="00284DCA" w:rsidRPr="001A6BB5" w:rsidRDefault="00284DCA" w:rsidP="00697098">
      <w:pPr>
        <w:pStyle w:val="Normaltindrag"/>
        <w:rPr>
          <w:szCs w:val="19"/>
        </w:rPr>
      </w:pPr>
      <w:r w:rsidRPr="001A6BB5">
        <w:rPr>
          <w:szCs w:val="19"/>
        </w:rPr>
        <w:t>I skrivelsen redogörs för den utveckling som pågår när det gäller att öka öppenheten i rådets förhandlingar. Det är enligt EU-nämndens mening myc</w:t>
      </w:r>
      <w:r w:rsidRPr="001A6BB5">
        <w:rPr>
          <w:szCs w:val="19"/>
        </w:rPr>
        <w:t>k</w:t>
      </w:r>
      <w:r w:rsidRPr="001A6BB5">
        <w:rPr>
          <w:szCs w:val="19"/>
        </w:rPr>
        <w:t>et viktigt att denna utveckling inte avstannar. I den mån rådet har öppna fö</w:t>
      </w:r>
      <w:r w:rsidRPr="001A6BB5">
        <w:rPr>
          <w:szCs w:val="19"/>
        </w:rPr>
        <w:t>r</w:t>
      </w:r>
      <w:r w:rsidRPr="001A6BB5">
        <w:rPr>
          <w:szCs w:val="19"/>
        </w:rPr>
        <w:t>handlingar bör även samrådet i EU-nämnden inför rådets möten i motsvara</w:t>
      </w:r>
      <w:r w:rsidRPr="001A6BB5">
        <w:rPr>
          <w:szCs w:val="19"/>
        </w:rPr>
        <w:t>n</w:t>
      </w:r>
      <w:r w:rsidRPr="001A6BB5">
        <w:rPr>
          <w:szCs w:val="19"/>
        </w:rPr>
        <w:t xml:space="preserve">de delar </w:t>
      </w:r>
      <w:r w:rsidR="00CF70D9" w:rsidRPr="001A6BB5">
        <w:rPr>
          <w:szCs w:val="19"/>
        </w:rPr>
        <w:t>hållas</w:t>
      </w:r>
      <w:r w:rsidRPr="001A6BB5">
        <w:rPr>
          <w:szCs w:val="19"/>
        </w:rPr>
        <w:t xml:space="preserve"> offentligt. </w:t>
      </w:r>
      <w:r w:rsidR="00CF70D9" w:rsidRPr="001A6BB5">
        <w:rPr>
          <w:szCs w:val="19"/>
        </w:rPr>
        <w:t xml:space="preserve">Den inledningsvis omnämnda </w:t>
      </w:r>
      <w:r w:rsidR="00DE3FA9" w:rsidRPr="001A6BB5">
        <w:rPr>
          <w:szCs w:val="19"/>
        </w:rPr>
        <w:t>r</w:t>
      </w:r>
      <w:r w:rsidR="00CF70D9" w:rsidRPr="001A6BB5">
        <w:rPr>
          <w:szCs w:val="19"/>
        </w:rPr>
        <w:t>iksdag</w:t>
      </w:r>
      <w:r w:rsidR="00CF70D9" w:rsidRPr="001A6BB5">
        <w:rPr>
          <w:szCs w:val="19"/>
        </w:rPr>
        <w:t>s</w:t>
      </w:r>
      <w:r w:rsidR="00CF70D9" w:rsidRPr="001A6BB5">
        <w:rPr>
          <w:szCs w:val="19"/>
        </w:rPr>
        <w:t>kommitté</w:t>
      </w:r>
      <w:r w:rsidR="00DE3FA9" w:rsidRPr="001A6BB5">
        <w:rPr>
          <w:szCs w:val="19"/>
        </w:rPr>
        <w:t>n</w:t>
      </w:r>
      <w:r w:rsidR="00CF70D9" w:rsidRPr="001A6BB5">
        <w:rPr>
          <w:szCs w:val="19"/>
        </w:rPr>
        <w:t xml:space="preserve"> har föreslagit en ändring i riksdagsordningen så att detta skall kunna bli mö</w:t>
      </w:r>
      <w:r w:rsidR="00CF70D9" w:rsidRPr="001A6BB5">
        <w:rPr>
          <w:szCs w:val="19"/>
        </w:rPr>
        <w:t>j</w:t>
      </w:r>
      <w:r w:rsidR="00CF70D9" w:rsidRPr="001A6BB5">
        <w:rPr>
          <w:szCs w:val="19"/>
        </w:rPr>
        <w:t xml:space="preserve">ligt. </w:t>
      </w:r>
      <w:r w:rsidR="00326E4F" w:rsidRPr="001A6BB5">
        <w:rPr>
          <w:szCs w:val="19"/>
        </w:rPr>
        <w:t>EU-nämnden har välkomnat förslaget (2005/06:EUN1y).</w:t>
      </w:r>
      <w:r w:rsidRPr="001A6BB5">
        <w:rPr>
          <w:szCs w:val="19"/>
        </w:rPr>
        <w:t xml:space="preserve"> 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Nämnden har också tidigare kunnat konstatera att rådsreformen</w:t>
      </w:r>
      <w:r w:rsidR="00435F23" w:rsidRPr="001A6BB5">
        <w:rPr>
          <w:szCs w:val="19"/>
        </w:rPr>
        <w:t xml:space="preserve"> om råd</w:t>
      </w:r>
      <w:r w:rsidR="00435F23" w:rsidRPr="001A6BB5">
        <w:rPr>
          <w:szCs w:val="19"/>
        </w:rPr>
        <w:t>s</w:t>
      </w:r>
      <w:r w:rsidR="00435F23" w:rsidRPr="001A6BB5">
        <w:rPr>
          <w:szCs w:val="19"/>
        </w:rPr>
        <w:t>sammansättningar</w:t>
      </w:r>
      <w:r w:rsidRPr="001A6BB5">
        <w:rPr>
          <w:szCs w:val="19"/>
        </w:rPr>
        <w:t xml:space="preserve"> inte medfört någon förändring i övrigt av beredningen av rådets möten med t.ex. längre tidsfrister för beredningen av frågorna, vilket innebär svårigheter för nationella parlamentariker att hinna sätta sig in i fr</w:t>
      </w:r>
      <w:r w:rsidRPr="001A6BB5">
        <w:rPr>
          <w:szCs w:val="19"/>
        </w:rPr>
        <w:t>å</w:t>
      </w:r>
      <w:r w:rsidRPr="001A6BB5">
        <w:rPr>
          <w:szCs w:val="19"/>
        </w:rPr>
        <w:t xml:space="preserve">gorna. Någon </w:t>
      </w:r>
      <w:r w:rsidR="00D0410D" w:rsidRPr="001A6BB5">
        <w:rPr>
          <w:szCs w:val="19"/>
        </w:rPr>
        <w:t xml:space="preserve"> </w:t>
      </w:r>
      <w:r w:rsidRPr="001A6BB5">
        <w:rPr>
          <w:szCs w:val="19"/>
        </w:rPr>
        <w:t>förbättring härvi</w:t>
      </w:r>
      <w:r w:rsidRPr="001A6BB5">
        <w:rPr>
          <w:szCs w:val="19"/>
        </w:rPr>
        <w:t>d</w:t>
      </w:r>
      <w:r w:rsidRPr="001A6BB5">
        <w:rPr>
          <w:szCs w:val="19"/>
        </w:rPr>
        <w:t xml:space="preserve">lag har inte skett under </w:t>
      </w:r>
      <w:r w:rsidR="00284DCA" w:rsidRPr="001A6BB5">
        <w:rPr>
          <w:szCs w:val="19"/>
        </w:rPr>
        <w:t xml:space="preserve">år </w:t>
      </w:r>
      <w:r w:rsidRPr="001A6BB5">
        <w:rPr>
          <w:szCs w:val="19"/>
        </w:rPr>
        <w:t>200</w:t>
      </w:r>
      <w:r w:rsidR="00D0410D" w:rsidRPr="001A6BB5">
        <w:rPr>
          <w:szCs w:val="19"/>
        </w:rPr>
        <w:t>5</w:t>
      </w:r>
      <w:r w:rsidRPr="001A6BB5">
        <w:rPr>
          <w:szCs w:val="19"/>
        </w:rPr>
        <w:t>.</w:t>
      </w:r>
    </w:p>
    <w:p w:rsidR="002B3E6E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Regeringen bör enligt nämndens uppfattning verka inom EU för att rådets arbetsformer gör det möjligt för de nationella parlamenten att bereda fr</w:t>
      </w:r>
      <w:r w:rsidRPr="001A6BB5">
        <w:rPr>
          <w:szCs w:val="19"/>
        </w:rPr>
        <w:t>å</w:t>
      </w:r>
      <w:r w:rsidRPr="001A6BB5">
        <w:rPr>
          <w:szCs w:val="19"/>
        </w:rPr>
        <w:t>gorna och överlägga med sina respektive regeringar före rådsmötena. Det är viktigt att EU:s institutioner skapar utrymme för de nationella pa</w:t>
      </w:r>
      <w:r w:rsidRPr="001A6BB5">
        <w:rPr>
          <w:szCs w:val="19"/>
        </w:rPr>
        <w:t>r</w:t>
      </w:r>
      <w:r w:rsidRPr="001A6BB5">
        <w:rPr>
          <w:szCs w:val="19"/>
        </w:rPr>
        <w:t>lamenten att vara aktiva. EU:s legitimitet ökar om det sker en demokratisk förankring i me</w:t>
      </w:r>
      <w:r w:rsidRPr="001A6BB5">
        <w:rPr>
          <w:szCs w:val="19"/>
        </w:rPr>
        <w:t>d</w:t>
      </w:r>
      <w:r w:rsidRPr="001A6BB5">
        <w:rPr>
          <w:szCs w:val="19"/>
        </w:rPr>
        <w:t>lemsstaterna av de frågor som hanteras geme</w:t>
      </w:r>
      <w:r w:rsidRPr="001A6BB5">
        <w:rPr>
          <w:szCs w:val="19"/>
        </w:rPr>
        <w:t>n</w:t>
      </w:r>
      <w:r w:rsidRPr="001A6BB5">
        <w:rPr>
          <w:szCs w:val="19"/>
        </w:rPr>
        <w:t xml:space="preserve">samt på EU-nivå. </w:t>
      </w:r>
    </w:p>
    <w:p w:rsidR="00EB16A1" w:rsidRPr="001A6BB5" w:rsidRDefault="00EB16A1" w:rsidP="0060413B">
      <w:pPr>
        <w:rPr>
          <w:i/>
          <w:szCs w:val="19"/>
        </w:rPr>
      </w:pPr>
    </w:p>
    <w:p w:rsidR="0060413B" w:rsidRPr="001A6BB5" w:rsidRDefault="0060413B" w:rsidP="0060413B">
      <w:pPr>
        <w:rPr>
          <w:i/>
        </w:rPr>
      </w:pPr>
      <w:r w:rsidRPr="001A6BB5">
        <w:rPr>
          <w:i/>
        </w:rPr>
        <w:t>Genomförande av direktiv</w:t>
      </w:r>
      <w:r w:rsidR="00117E59" w:rsidRPr="001A6BB5">
        <w:rPr>
          <w:i/>
        </w:rPr>
        <w:t xml:space="preserve"> (avsnitt 46.2.2)</w:t>
      </w:r>
    </w:p>
    <w:p w:rsidR="00326E4F" w:rsidRPr="001A6BB5" w:rsidRDefault="00CF70D9" w:rsidP="007B7D58">
      <w:r w:rsidRPr="001A6BB5">
        <w:t>I skrivelsen redogörs för Statsrådsberedningens övergripande ansvar för g</w:t>
      </w:r>
      <w:r w:rsidRPr="001A6BB5">
        <w:t>e</w:t>
      </w:r>
      <w:r w:rsidRPr="001A6BB5">
        <w:t xml:space="preserve">nomförande av direktiv. </w:t>
      </w:r>
      <w:r w:rsidR="002B3E6E" w:rsidRPr="001A6BB5">
        <w:t>I  detta sammanhang har</w:t>
      </w:r>
      <w:r w:rsidR="0060413B" w:rsidRPr="001A6BB5">
        <w:t xml:space="preserve"> EU</w:t>
      </w:r>
      <w:r w:rsidR="002B3E6E" w:rsidRPr="001A6BB5">
        <w:t xml:space="preserve">-nämnden iakttagit  att det aldrig eller sällan i propositioner om genomförande  av direktiv och </w:t>
      </w:r>
      <w:r w:rsidRPr="001A6BB5">
        <w:t>go</w:t>
      </w:r>
      <w:r w:rsidRPr="001A6BB5">
        <w:t>d</w:t>
      </w:r>
      <w:r w:rsidRPr="001A6BB5">
        <w:t>kännande</w:t>
      </w:r>
      <w:r w:rsidR="002B3E6E" w:rsidRPr="001A6BB5">
        <w:t xml:space="preserve"> av rambeslut redogörs för det samrådsförfarande med riksdagen  som numera regleras i 10 kap. 6 § regeringsformen. </w:t>
      </w:r>
      <w:r w:rsidR="007D1E63" w:rsidRPr="001A6BB5">
        <w:t>På samma sätt som det i propositioner under avsnittet Ärendet och dess beredning redogörs</w:t>
      </w:r>
      <w:r w:rsidR="00554094" w:rsidRPr="001A6BB5">
        <w:t xml:space="preserve"> </w:t>
      </w:r>
      <w:r w:rsidR="007D1E63" w:rsidRPr="001A6BB5">
        <w:t>för se</w:t>
      </w:r>
      <w:r w:rsidR="007D1E63" w:rsidRPr="001A6BB5">
        <w:t>d</w:t>
      </w:r>
      <w:r w:rsidR="007D1E63" w:rsidRPr="001A6BB5">
        <w:t>vanligt remissförfarande bör också det grundlagsreglerade samr</w:t>
      </w:r>
      <w:r w:rsidR="007D1E63" w:rsidRPr="001A6BB5">
        <w:t>å</w:t>
      </w:r>
      <w:r w:rsidR="007D1E63" w:rsidRPr="001A6BB5">
        <w:t>det med riksdagen fra</w:t>
      </w:r>
      <w:r w:rsidR="007D1E63" w:rsidRPr="001A6BB5">
        <w:t>m</w:t>
      </w:r>
      <w:r w:rsidR="007D1E63" w:rsidRPr="001A6BB5">
        <w:t>gå</w:t>
      </w:r>
      <w:r w:rsidR="001814F4" w:rsidRPr="001A6BB5">
        <w:t xml:space="preserve"> (se också bet. 1999/2000:KU10, sid. 38 – 39).</w:t>
      </w:r>
      <w:r w:rsidR="007D1E63" w:rsidRPr="001A6BB5">
        <w:t xml:space="preserve"> </w:t>
      </w:r>
    </w:p>
    <w:p w:rsidR="00326E4F" w:rsidRPr="001A6BB5" w:rsidRDefault="00326E4F" w:rsidP="00326E4F">
      <w:pPr>
        <w:pStyle w:val="Normaltindrag"/>
      </w:pPr>
    </w:p>
    <w:p w:rsidR="00326E4F" w:rsidRPr="001A6BB5" w:rsidRDefault="00326E4F" w:rsidP="00326E4F">
      <w:pPr>
        <w:rPr>
          <w:i/>
        </w:rPr>
      </w:pPr>
      <w:r w:rsidRPr="001A6BB5">
        <w:rPr>
          <w:i/>
        </w:rPr>
        <w:t>Överträdelseärenden</w:t>
      </w:r>
      <w:r w:rsidR="00117E59" w:rsidRPr="001A6BB5">
        <w:rPr>
          <w:i/>
        </w:rPr>
        <w:t xml:space="preserve"> (avsnitt 46.2.3)</w:t>
      </w:r>
    </w:p>
    <w:p w:rsidR="0060413B" w:rsidRPr="001A6BB5" w:rsidRDefault="0060413B" w:rsidP="00326E4F">
      <w:r w:rsidRPr="001A6BB5">
        <w:t>I skrivelsen redovisas också liksom föregående år s.k. överträdelseäre</w:t>
      </w:r>
      <w:r w:rsidRPr="001A6BB5">
        <w:t>n</w:t>
      </w:r>
      <w:r w:rsidRPr="001A6BB5">
        <w:t>den mot Sverige och mål av svenskt intresse vid EG-domstolen och EG:s förstai</w:t>
      </w:r>
      <w:r w:rsidRPr="001A6BB5">
        <w:t>n</w:t>
      </w:r>
      <w:r w:rsidRPr="001A6BB5">
        <w:t>stansrätt</w:t>
      </w:r>
      <w:r w:rsidR="00DE3FA9" w:rsidRPr="001A6BB5">
        <w:t>.</w:t>
      </w:r>
      <w:r w:rsidRPr="001A6BB5">
        <w:t xml:space="preserve"> Det välkomnas att det i årets skrivelse finns uppgi</w:t>
      </w:r>
      <w:r w:rsidRPr="001A6BB5">
        <w:t>f</w:t>
      </w:r>
      <w:r w:rsidRPr="001A6BB5">
        <w:t>ter om hur läget är i förhållande till föregående år.</w:t>
      </w:r>
      <w:r w:rsidR="00326E4F" w:rsidRPr="001A6BB5">
        <w:t xml:space="preserve"> </w:t>
      </w:r>
      <w:r w:rsidR="00CF70D9" w:rsidRPr="001A6BB5">
        <w:t>EU-nämnden finner det också värdefullt att det i årets skrivelse liksom tidigare finns en bilaga med inform</w:t>
      </w:r>
      <w:r w:rsidR="00CF70D9" w:rsidRPr="001A6BB5">
        <w:t>a</w:t>
      </w:r>
      <w:r w:rsidR="00CF70D9" w:rsidRPr="001A6BB5">
        <w:t xml:space="preserve">tion om dels mål i EG-domstolen, dels s.k. överträdelseärenden och </w:t>
      </w:r>
      <w:r w:rsidR="00DE54A9" w:rsidRPr="001A6BB5">
        <w:t xml:space="preserve">att </w:t>
      </w:r>
      <w:r w:rsidR="00CF70D9" w:rsidRPr="001A6BB5">
        <w:t>info</w:t>
      </w:r>
      <w:r w:rsidR="00CF70D9" w:rsidRPr="001A6BB5">
        <w:t>r</w:t>
      </w:r>
      <w:r w:rsidR="00CF70D9" w:rsidRPr="001A6BB5">
        <w:t xml:space="preserve">mationen denna gång är uppställd departementsvis. </w:t>
      </w:r>
      <w:r w:rsidRPr="001A6BB5">
        <w:t>I övrigt vore det, som EU-nämnden tidigare påpekat, av intresse att som en jämförelse få inform</w:t>
      </w:r>
      <w:r w:rsidRPr="001A6BB5">
        <w:t>a</w:t>
      </w:r>
      <w:r w:rsidRPr="001A6BB5">
        <w:t>tion om antalet överträdelseärenden och fällande domar mot övriga medlemslä</w:t>
      </w:r>
      <w:r w:rsidRPr="001A6BB5">
        <w:t>n</w:t>
      </w:r>
      <w:r w:rsidRPr="001A6BB5">
        <w:t>der.</w:t>
      </w:r>
    </w:p>
    <w:p w:rsidR="00326E4F" w:rsidRPr="001A6BB5" w:rsidRDefault="00326E4F" w:rsidP="00326E4F">
      <w:pPr>
        <w:pStyle w:val="Normaltindrag"/>
      </w:pPr>
    </w:p>
    <w:p w:rsidR="00326E4F" w:rsidRPr="001A6BB5" w:rsidRDefault="00326E4F" w:rsidP="00326E4F">
      <w:pPr>
        <w:rPr>
          <w:i/>
        </w:rPr>
      </w:pPr>
      <w:r w:rsidRPr="001A6BB5">
        <w:rPr>
          <w:i/>
        </w:rPr>
        <w:t>Europaparlamentet</w:t>
      </w:r>
      <w:r w:rsidR="00117E59" w:rsidRPr="001A6BB5">
        <w:rPr>
          <w:i/>
        </w:rPr>
        <w:t xml:space="preserve"> (avsnitt 46.3)</w:t>
      </w:r>
    </w:p>
    <w:p w:rsidR="00326E4F" w:rsidRPr="001A6BB5" w:rsidRDefault="00326E4F" w:rsidP="00326E4F">
      <w:r w:rsidRPr="001A6BB5">
        <w:t>I årets skrivelse nämns i avsnittet om Europaparlamentet frågan om förslaget till ledamotsstadga. En majoritet i EU-nämnden ställde sig i januari 2004 bakom regeringens ståndpunkt att välkomna Europaparlamentets kompr</w:t>
      </w:r>
      <w:r w:rsidRPr="001A6BB5">
        <w:t>o</w:t>
      </w:r>
      <w:r w:rsidRPr="001A6BB5">
        <w:t>missförslag med undantag av den föreslagna arvodesnivån som en enig EU-nämnd, liksom rege</w:t>
      </w:r>
      <w:r w:rsidRPr="001A6BB5">
        <w:t>r</w:t>
      </w:r>
      <w:r w:rsidRPr="001A6BB5">
        <w:t>ingen, ansåg vara alltför hög. För förslaget fanns dock inte nödvä</w:t>
      </w:r>
      <w:r w:rsidRPr="001A6BB5">
        <w:t>n</w:t>
      </w:r>
      <w:r w:rsidRPr="001A6BB5">
        <w:t xml:space="preserve">dig kvalificerad majoritet, varför det inte kunde godkännas vid rådsmötet. </w:t>
      </w:r>
      <w:r w:rsidR="00CF70D9" w:rsidRPr="001A6BB5">
        <w:t xml:space="preserve">Inför rådets överenskommelse i juli </w:t>
      </w:r>
      <w:r w:rsidR="00DE54A9" w:rsidRPr="001A6BB5">
        <w:t xml:space="preserve"> 2005 </w:t>
      </w:r>
      <w:r w:rsidR="00CF70D9" w:rsidRPr="001A6BB5">
        <w:t>kunde EU-nämndens maj</w:t>
      </w:r>
      <w:r w:rsidR="00CF70D9" w:rsidRPr="001A6BB5">
        <w:t>o</w:t>
      </w:r>
      <w:r w:rsidR="00CF70D9" w:rsidRPr="001A6BB5">
        <w:t>ritet acceptera regeringens bedömning att fördelarna i förslaget vid en samlad bedömning överväger nackdelarna.</w:t>
      </w:r>
    </w:p>
    <w:p w:rsidR="0060413B" w:rsidRPr="001A6BB5" w:rsidRDefault="0060413B" w:rsidP="0060413B">
      <w:pPr>
        <w:rPr>
          <w:sz w:val="18"/>
          <w:szCs w:val="18"/>
        </w:rPr>
      </w:pPr>
    </w:p>
    <w:p w:rsidR="0060413B" w:rsidRPr="001A6BB5" w:rsidRDefault="001A1799" w:rsidP="003C2440">
      <w:pPr>
        <w:spacing w:before="0"/>
        <w:rPr>
          <w:i/>
        </w:rPr>
      </w:pPr>
      <w:r w:rsidRPr="001A6BB5">
        <w:rPr>
          <w:i/>
        </w:rPr>
        <w:br w:type="page"/>
      </w:r>
      <w:r w:rsidR="00326E4F" w:rsidRPr="001A6BB5">
        <w:rPr>
          <w:i/>
        </w:rPr>
        <w:t>Öppenhet och insyn</w:t>
      </w:r>
      <w:r w:rsidR="00117E59" w:rsidRPr="001A6BB5">
        <w:rPr>
          <w:i/>
        </w:rPr>
        <w:t xml:space="preserve"> (avsnitt 46.7)</w:t>
      </w:r>
    </w:p>
    <w:p w:rsidR="0060413B" w:rsidRPr="001A6BB5" w:rsidRDefault="0060413B" w:rsidP="00326E4F">
      <w:r w:rsidRPr="001A6BB5">
        <w:t>Beträffande öppenheten och insynen är det glädjande att te</w:t>
      </w:r>
      <w:r w:rsidRPr="001A6BB5">
        <w:t>n</w:t>
      </w:r>
      <w:r w:rsidRPr="001A6BB5">
        <w:t xml:space="preserve">densen för ökad öppenhet är tydlig under år 2005. </w:t>
      </w:r>
    </w:p>
    <w:p w:rsidR="00DF370B" w:rsidRPr="001A6BB5" w:rsidRDefault="00DF370B" w:rsidP="00DE54A9">
      <w:pPr>
        <w:pStyle w:val="Normaltindrag"/>
      </w:pPr>
      <w:r w:rsidRPr="001A6BB5">
        <w:t>I skrivelsen redovisas att Europaparlamentet, rådet och kommissionen ti</w:t>
      </w:r>
      <w:r w:rsidRPr="001A6BB5">
        <w:t>l</w:t>
      </w:r>
      <w:r w:rsidRPr="001A6BB5">
        <w:t>lämpar förordningen om allmänhetens tillgång till dessa institutioners han</w:t>
      </w:r>
      <w:r w:rsidRPr="001A6BB5">
        <w:t>d</w:t>
      </w:r>
      <w:r w:rsidRPr="001A6BB5">
        <w:t>lingar (den</w:t>
      </w:r>
      <w:r w:rsidR="00713BCB" w:rsidRPr="001A6BB5">
        <w:t xml:space="preserve"> </w:t>
      </w:r>
      <w:r w:rsidRPr="001A6BB5">
        <w:t xml:space="preserve">s.k. öppenhetsförordningen). Beträffande rådets handlingar finns emellertid också i rådets säkerhetsbestämmelser </w:t>
      </w:r>
      <w:r w:rsidR="00713BCB" w:rsidRPr="001A6BB5">
        <w:t xml:space="preserve">(2001/264/EG) </w:t>
      </w:r>
      <w:r w:rsidRPr="001A6BB5">
        <w:t>en omfatta</w:t>
      </w:r>
      <w:r w:rsidRPr="001A6BB5">
        <w:t>n</w:t>
      </w:r>
      <w:r w:rsidRPr="001A6BB5">
        <w:t xml:space="preserve">de reglering av rådshandlingar som anses känsliga. </w:t>
      </w:r>
      <w:r w:rsidR="007D1E63" w:rsidRPr="001A6BB5">
        <w:t>EU-nämnden vill framhå</w:t>
      </w:r>
      <w:r w:rsidR="007D1E63" w:rsidRPr="001A6BB5">
        <w:t>l</w:t>
      </w:r>
      <w:r w:rsidR="007D1E63" w:rsidRPr="001A6BB5">
        <w:t>la det angelägna i att rådshandlingar som är försedda med EU:s hemligb</w:t>
      </w:r>
      <w:r w:rsidR="007D1E63" w:rsidRPr="001A6BB5">
        <w:t>e</w:t>
      </w:r>
      <w:r w:rsidR="007D1E63" w:rsidRPr="001A6BB5">
        <w:t>teckningar inte rutinmässigt sekretessbeläggs vid den bedömning som görs enligt den svenska sekretesslagen</w:t>
      </w:r>
      <w:r w:rsidR="00554094" w:rsidRPr="001A6BB5">
        <w:t>.</w:t>
      </w:r>
    </w:p>
    <w:p w:rsidR="00326E4F" w:rsidRPr="001A6BB5" w:rsidRDefault="00326E4F" w:rsidP="00DF370B"/>
    <w:p w:rsidR="00326E4F" w:rsidRPr="001A6BB5" w:rsidRDefault="00326E4F" w:rsidP="00326E4F">
      <w:pPr>
        <w:rPr>
          <w:i/>
        </w:rPr>
      </w:pPr>
      <w:r w:rsidRPr="001A6BB5">
        <w:rPr>
          <w:i/>
        </w:rPr>
        <w:t>Svenska språket och regelförbättring</w:t>
      </w:r>
      <w:r w:rsidR="00117E59" w:rsidRPr="001A6BB5">
        <w:rPr>
          <w:i/>
        </w:rPr>
        <w:t xml:space="preserve"> (avsnitt 46.9)</w:t>
      </w:r>
    </w:p>
    <w:p w:rsidR="0060413B" w:rsidRPr="001A6BB5" w:rsidRDefault="0060413B" w:rsidP="00326E4F">
      <w:r w:rsidRPr="001A6BB5">
        <w:t>När det gäller beredningen i EU-nämnden av de frågor som skall besl</w:t>
      </w:r>
      <w:r w:rsidRPr="001A6BB5">
        <w:t>u</w:t>
      </w:r>
      <w:r w:rsidRPr="001A6BB5">
        <w:t>tas av ministerrådet har nämnden tidigare framhållit vikten av att relevanta skrif</w:t>
      </w:r>
      <w:r w:rsidRPr="001A6BB5">
        <w:t>t</w:t>
      </w:r>
      <w:r w:rsidRPr="001A6BB5">
        <w:t>liga underlag i form av utkast på svenska finns tillgängliga inför EU-nämndens sa</w:t>
      </w:r>
      <w:r w:rsidRPr="001A6BB5">
        <w:t>m</w:t>
      </w:r>
      <w:r w:rsidRPr="001A6BB5">
        <w:t xml:space="preserve">manträden så att samrådet kan ske på ett meningsfullt sätt. </w:t>
      </w:r>
      <w:r w:rsidR="00CF70D9" w:rsidRPr="001A6BB5">
        <w:t xml:space="preserve">Under de brittiska och österrikiska ordförandeskapen synes en viss förbättring härvidlag ha ägt rum. </w:t>
      </w:r>
      <w:r w:rsidRPr="001A6BB5">
        <w:t xml:space="preserve">De svenska översättningarna av olika dokument föreligger ganska snabbt efter den första versionen på engelska.     </w:t>
      </w:r>
    </w:p>
    <w:p w:rsidR="00697098" w:rsidRPr="001A6BB5" w:rsidRDefault="00697098" w:rsidP="00697098">
      <w:pPr>
        <w:pStyle w:val="Normaltindrag"/>
        <w:rPr>
          <w:szCs w:val="19"/>
        </w:rPr>
      </w:pPr>
      <w:r w:rsidRPr="001A6BB5">
        <w:rPr>
          <w:szCs w:val="19"/>
        </w:rPr>
        <w:t>Nämnden konstaterar med tillfredsställelse att regeringen fortsätter sitt a</w:t>
      </w:r>
      <w:r w:rsidRPr="001A6BB5">
        <w:rPr>
          <w:szCs w:val="19"/>
        </w:rPr>
        <w:t>r</w:t>
      </w:r>
      <w:r w:rsidRPr="001A6BB5">
        <w:rPr>
          <w:szCs w:val="19"/>
        </w:rPr>
        <w:t xml:space="preserve">bete med att befrämja </w:t>
      </w:r>
      <w:r w:rsidR="005B079F" w:rsidRPr="001A6BB5">
        <w:rPr>
          <w:szCs w:val="19"/>
        </w:rPr>
        <w:t xml:space="preserve">regelförbättring, </w:t>
      </w:r>
      <w:r w:rsidRPr="001A6BB5">
        <w:rPr>
          <w:szCs w:val="19"/>
        </w:rPr>
        <w:t>begripligare EU-texter och utveckla EU-språkvården och anser att arbetet bör fortsätta med oförminskad styrka. Enhetlighet i EU-terminologin på svenska och mer lättillgängliga och begri</w:t>
      </w:r>
      <w:r w:rsidRPr="001A6BB5">
        <w:rPr>
          <w:szCs w:val="19"/>
        </w:rPr>
        <w:t>p</w:t>
      </w:r>
      <w:r w:rsidRPr="001A6BB5">
        <w:rPr>
          <w:szCs w:val="19"/>
        </w:rPr>
        <w:t>liga texter är viktiga mål, bl.</w:t>
      </w:r>
      <w:r w:rsidR="00554094" w:rsidRPr="001A6BB5">
        <w:rPr>
          <w:szCs w:val="19"/>
        </w:rPr>
        <w:t>a</w:t>
      </w:r>
      <w:r w:rsidRPr="001A6BB5">
        <w:rPr>
          <w:szCs w:val="19"/>
        </w:rPr>
        <w:t>. ur tillgänglighetssynpunkt och demokratisy</w:t>
      </w:r>
      <w:r w:rsidRPr="001A6BB5">
        <w:rPr>
          <w:szCs w:val="19"/>
        </w:rPr>
        <w:t>n</w:t>
      </w:r>
      <w:r w:rsidRPr="001A6BB5">
        <w:rPr>
          <w:szCs w:val="19"/>
        </w:rPr>
        <w:t>punkt .</w:t>
      </w:r>
    </w:p>
    <w:p w:rsidR="000D6E98" w:rsidRPr="001A6BB5" w:rsidRDefault="000D6E98">
      <w:pPr>
        <w:rPr>
          <w:szCs w:val="19"/>
        </w:rPr>
      </w:pPr>
    </w:p>
    <w:p w:rsidR="000D6E98" w:rsidRPr="001A6BB5" w:rsidRDefault="000D6E98" w:rsidP="000D6E98">
      <w:pPr>
        <w:pStyle w:val="Utskriftsdatum"/>
      </w:pPr>
      <w:r w:rsidRPr="001A6BB5">
        <w:t xml:space="preserve">Stockholm den </w:t>
      </w:r>
      <w:r w:rsidR="008425BB" w:rsidRPr="001A6BB5">
        <w:t>24</w:t>
      </w:r>
      <w:r w:rsidRPr="001A6BB5">
        <w:t xml:space="preserve"> </w:t>
      </w:r>
      <w:r w:rsidR="00865EA1" w:rsidRPr="001A6BB5">
        <w:t>april 2006</w:t>
      </w:r>
    </w:p>
    <w:p w:rsidR="000D6E98" w:rsidRPr="001A6BB5" w:rsidRDefault="000D6E98" w:rsidP="000D6E98">
      <w:r w:rsidRPr="001A6BB5">
        <w:t xml:space="preserve">På </w:t>
      </w:r>
      <w:r w:rsidR="00865EA1" w:rsidRPr="001A6BB5">
        <w:t>EU</w:t>
      </w:r>
      <w:r w:rsidRPr="001A6BB5">
        <w:t>-nämndens vägnar</w:t>
      </w:r>
    </w:p>
    <w:p w:rsidR="008425BB" w:rsidRPr="001A6BB5" w:rsidRDefault="008425BB" w:rsidP="003C2440">
      <w:pPr>
        <w:pStyle w:val="Ordfranden"/>
        <w:rPr>
          <w:noProof w:val="0"/>
        </w:rPr>
      </w:pPr>
      <w:r w:rsidRPr="001A6BB5">
        <w:rPr>
          <w:noProof w:val="0"/>
        </w:rPr>
        <w:t>Tommy Waidelich</w:t>
      </w:r>
    </w:p>
    <w:p w:rsidR="008425BB" w:rsidRPr="001A6BB5" w:rsidRDefault="008425BB" w:rsidP="008425BB">
      <w:pPr>
        <w:pStyle w:val="Normaltindrag"/>
      </w:pPr>
    </w:p>
    <w:p w:rsidR="008425BB" w:rsidRPr="001A6BB5" w:rsidRDefault="008425BB" w:rsidP="003C2440">
      <w:pPr>
        <w:pStyle w:val="Deltagare"/>
        <w:rPr>
          <w:noProof w:val="0"/>
        </w:rPr>
      </w:pPr>
      <w:r w:rsidRPr="001A6BB5">
        <w:rPr>
          <w:noProof w:val="0"/>
        </w:rPr>
        <w:t xml:space="preserve">Följande ledamöter har deltagit i beslutet: Tommy Waidelich (s), Carl B Hamilton (fp), Sonia Karlsson (s), Hillevi Larsson (s), Mats Odell (kd), Sven-Erik Sjöstrand (v), Anita Jönsson (s), Kenneth G Forslund (s), Ulf Holm (mp), </w:t>
      </w:r>
      <w:r w:rsidR="007D1E63" w:rsidRPr="001A6BB5">
        <w:rPr>
          <w:noProof w:val="0"/>
        </w:rPr>
        <w:t xml:space="preserve">Eva Arvidsson (s), </w:t>
      </w:r>
      <w:r w:rsidRPr="001A6BB5">
        <w:rPr>
          <w:noProof w:val="0"/>
        </w:rPr>
        <w:t>Agne Hansson (c), Agneta Lundberg (s), Björn Hamilton (m), M</w:t>
      </w:r>
      <w:r w:rsidRPr="001A6BB5">
        <w:rPr>
          <w:noProof w:val="0"/>
        </w:rPr>
        <w:t>a</w:t>
      </w:r>
      <w:r w:rsidRPr="001A6BB5">
        <w:rPr>
          <w:noProof w:val="0"/>
        </w:rPr>
        <w:t>riam Osman Sherifay (s) och Cecilia Wigström (f</w:t>
      </w:r>
      <w:r w:rsidR="006A70B1" w:rsidRPr="001A6BB5">
        <w:rPr>
          <w:noProof w:val="0"/>
        </w:rPr>
        <w:t>p).</w:t>
      </w:r>
    </w:p>
    <w:p w:rsidR="008425BB" w:rsidRPr="001A6BB5" w:rsidRDefault="008425BB" w:rsidP="008425BB"/>
    <w:p w:rsidR="000D6E98" w:rsidRPr="001A6BB5" w:rsidRDefault="000D6E98" w:rsidP="000D6E98">
      <w:bookmarkStart w:id="37" w:name="Ordförande"/>
      <w:bookmarkStart w:id="38" w:name="Deltagare"/>
      <w:bookmarkEnd w:id="37"/>
      <w:bookmarkEnd w:id="38"/>
    </w:p>
    <w:p w:rsidR="000D6E98" w:rsidRPr="001A6BB5" w:rsidRDefault="000D6E98" w:rsidP="000D6E98">
      <w:pPr>
        <w:pStyle w:val="Normaltindrag"/>
        <w:sectPr w:rsidR="000D6E98" w:rsidRPr="001A6BB5" w:rsidSect="001A1799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907" w:right="4649" w:bottom="4508" w:left="1304" w:header="340" w:footer="227" w:gutter="0"/>
          <w:cols w:space="720"/>
          <w:titlePg/>
        </w:sectPr>
      </w:pPr>
    </w:p>
    <w:p w:rsidR="000D6E98" w:rsidRPr="001A6BB5" w:rsidRDefault="000D6E98" w:rsidP="001C071F">
      <w:pPr>
        <w:pStyle w:val="R1"/>
      </w:pPr>
      <w:r w:rsidRPr="001A6BB5">
        <w:t>Innehållsförteckning</w:t>
      </w:r>
    </w:p>
    <w:p w:rsidR="00A03470" w:rsidRPr="001A6BB5" w:rsidRDefault="00A03470">
      <w:pPr>
        <w:pStyle w:val="Innehll1"/>
        <w:rPr>
          <w:sz w:val="24"/>
          <w:szCs w:val="24"/>
        </w:rPr>
      </w:pPr>
      <w:r w:rsidRPr="001A6BB5">
        <w:t>Regeringens skrivelse</w:t>
      </w:r>
      <w:r w:rsidRPr="001A6BB5">
        <w:tab/>
        <w:t>1</w:t>
      </w:r>
    </w:p>
    <w:p w:rsidR="00A03470" w:rsidRPr="001A6BB5" w:rsidRDefault="00A03470">
      <w:pPr>
        <w:pStyle w:val="Innehll1"/>
        <w:rPr>
          <w:sz w:val="24"/>
          <w:szCs w:val="24"/>
        </w:rPr>
      </w:pPr>
      <w:r w:rsidRPr="001A6BB5">
        <w:t>EU-nämnden</w:t>
      </w:r>
      <w:r w:rsidRPr="001A6BB5">
        <w:tab/>
        <w:t>2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Allmänna synpunkter på innehållet i skrivelsen</w:t>
      </w:r>
      <w:r w:rsidRPr="001A6BB5">
        <w:tab/>
        <w:t>2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Den övergripande utvecklingen i Europeiska unionen (del 1)</w:t>
      </w:r>
      <w:r w:rsidRPr="001A6BB5">
        <w:tab/>
        <w:t>3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EU:s förbindelser med omvärlden (del 2)</w:t>
      </w:r>
      <w:r w:rsidRPr="001A6BB5">
        <w:tab/>
        <w:t>5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Ekonomiska och finansiella frågor (del 3)</w:t>
      </w:r>
      <w:r w:rsidRPr="001A6BB5">
        <w:tab/>
        <w:t>5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Rättsliga och inrikes frågor (del 4)</w:t>
      </w:r>
      <w:r w:rsidRPr="001A6BB5">
        <w:tab/>
        <w:t>5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Sysselsättning och socialpolitik, hälso- och sjukvård, konsumentfrågor (del 5)</w:t>
      </w:r>
      <w:r w:rsidRPr="001A6BB5">
        <w:tab/>
        <w:t>6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Konkurrenskraftsfrågor (del 6)</w:t>
      </w:r>
      <w:r w:rsidRPr="001A6BB5">
        <w:tab/>
        <w:t>6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Transport, telekommunikation och energi (del 7)</w:t>
      </w:r>
      <w:r w:rsidRPr="001A6BB5">
        <w:tab/>
        <w:t>7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Jordbruk och fiske (del 8)</w:t>
      </w:r>
      <w:r w:rsidRPr="001A6BB5">
        <w:tab/>
        <w:t>7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Miljö (del 9)</w:t>
      </w:r>
      <w:r w:rsidRPr="001A6BB5">
        <w:tab/>
        <w:t>7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Utbildning, ungdom och kultur (del 10)</w:t>
      </w:r>
      <w:r w:rsidRPr="001A6BB5">
        <w:tab/>
        <w:t>8</w:t>
      </w:r>
    </w:p>
    <w:p w:rsidR="00A03470" w:rsidRPr="001A6BB5" w:rsidRDefault="00A03470">
      <w:pPr>
        <w:pStyle w:val="Innehll2"/>
        <w:rPr>
          <w:sz w:val="24"/>
          <w:szCs w:val="24"/>
        </w:rPr>
      </w:pPr>
      <w:r w:rsidRPr="001A6BB5">
        <w:t>EU:s institutioner (del 11)</w:t>
      </w:r>
      <w:r w:rsidRPr="001A6BB5">
        <w:tab/>
        <w:t>8</w:t>
      </w:r>
    </w:p>
    <w:p w:rsidR="009F2285" w:rsidRPr="001A6BB5" w:rsidRDefault="009F2285" w:rsidP="000D6E98"/>
    <w:p w:rsidR="009F2285" w:rsidRPr="001A6BB5" w:rsidRDefault="009F2285" w:rsidP="009F2285">
      <w:pPr>
        <w:pStyle w:val="Tryckort"/>
        <w:framePr w:wrap="around"/>
      </w:pPr>
      <w:r w:rsidRPr="001A6BB5">
        <w:t>Elanders Gotab, Stockholm  2006</w:t>
      </w:r>
    </w:p>
    <w:p w:rsidR="000D6E98" w:rsidRPr="001A6BB5" w:rsidRDefault="000D6E98" w:rsidP="009F2285">
      <w:pPr>
        <w:pStyle w:val="Normaltindrag"/>
      </w:pPr>
    </w:p>
    <w:sectPr w:rsidR="000D6E98" w:rsidRPr="001A6BB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2B90" w:rsidRPr="001A6BB5" w:rsidRDefault="00F62B90">
      <w:r w:rsidRPr="001A6BB5">
        <w:separator/>
      </w:r>
    </w:p>
  </w:endnote>
  <w:endnote w:type="continuationSeparator" w:id="0">
    <w:p w:rsidR="00F62B90" w:rsidRPr="001A6BB5" w:rsidRDefault="00F62B90">
      <w:r w:rsidRPr="001A6B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t>2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t>3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if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1A6BB5">
      <w:rPr>
        <w:noProof/>
      </w:rPr>
      <w:instrText>1</w:instrText>
    </w:r>
    <w:r w:rsidRPr="001A6BB5">
      <w:fldChar w:fldCharType="end"/>
    </w:r>
    <w:r w:rsidRPr="001A6BB5">
      <w:instrText xml:space="preserve">/2 </w:instrText>
    </w:r>
    <w:r w:rsidRPr="001A6BB5">
      <w:fldChar w:fldCharType="separate"/>
    </w:r>
    <w:r w:rsidR="001A6BB5">
      <w:rPr>
        <w:noProof/>
      </w:rPr>
      <w:instrText>0,5</w:instrText>
    </w:r>
    <w:r w:rsidRPr="001A6BB5">
      <w:fldChar w:fldCharType="end"/>
    </w:r>
    <w:r w:rsidRPr="001A6BB5">
      <w:instrText xml:space="preserve"> - </w:instrText>
    </w:r>
    <w:r w:rsidRPr="001A6BB5">
      <w:fldChar w:fldCharType="begin" w:fldLock="1"/>
    </w:r>
    <w:r w:rsidRPr="001A6BB5">
      <w:instrText xml:space="preserve"> = int(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1A6BB5">
      <w:rPr>
        <w:noProof/>
      </w:rPr>
      <w:instrText>1</w:instrText>
    </w:r>
    <w:r w:rsidRPr="001A6BB5">
      <w:fldChar w:fldCharType="end"/>
    </w:r>
    <w:r w:rsidRPr="001A6BB5">
      <w:instrText xml:space="preserve">/2) </w:instrText>
    </w:r>
    <w:r w:rsidRPr="001A6BB5">
      <w:fldChar w:fldCharType="separate"/>
    </w:r>
    <w:r w:rsidR="001A6BB5">
      <w:rPr>
        <w:noProof/>
      </w:rPr>
      <w:instrText>0</w:instrText>
    </w:r>
    <w:r w:rsidRPr="001A6BB5">
      <w:fldChar w:fldCharType="end"/>
    </w:r>
    <w:r w:rsidRPr="001A6BB5">
      <w:fldChar w:fldCharType="separate"/>
    </w:r>
    <w:r w:rsidR="001A6BB5">
      <w:rPr>
        <w:noProof/>
      </w:rPr>
      <w:instrText>0,5</w:instrText>
    </w:r>
    <w:r w:rsidRPr="001A6BB5">
      <w:fldChar w:fldCharType="end"/>
    </w:r>
    <w:r w:rsidRPr="001A6BB5">
      <w:instrText xml:space="preserve"> = 0 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instrText>4</w:instrText>
    </w:r>
    <w:r w:rsidRPr="001A6BB5">
      <w:fldChar w:fldCharType="end"/>
    </w:r>
  </w:p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instrText>""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="001A6BB5">
      <w:rPr>
        <w:noProof/>
      </w:rPr>
      <w:instrText>1</w:instrText>
    </w:r>
    <w:r w:rsidRPr="001A6BB5">
      <w:fldChar w:fldCharType="end"/>
    </w:r>
    <w:r w:rsidRPr="001A6BB5">
      <w:instrText>"</w:instrText>
    </w:r>
    <w:r w:rsidRPr="001A6BB5">
      <w:fldChar w:fldCharType="separate"/>
    </w:r>
    <w:r w:rsidR="001A6BB5">
      <w:rPr>
        <w:noProof/>
      </w:rPr>
      <w:t>1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="00B53F3B" w:rsidRPr="001A6BB5">
      <w:t>10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="00B53F3B" w:rsidRPr="001A6BB5">
      <w:t>9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if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B53F3B" w:rsidRPr="001A6BB5">
      <w:instrText>2</w:instrText>
    </w:r>
    <w:r w:rsidRPr="001A6BB5">
      <w:fldChar w:fldCharType="end"/>
    </w:r>
    <w:r w:rsidRPr="001A6BB5">
      <w:instrText xml:space="preserve">/2 </w:instrText>
    </w:r>
    <w:r w:rsidRPr="001A6BB5">
      <w:fldChar w:fldCharType="separate"/>
    </w:r>
    <w:r w:rsidR="00B53F3B" w:rsidRPr="001A6BB5">
      <w:instrText>1</w:instrText>
    </w:r>
    <w:r w:rsidRPr="001A6BB5">
      <w:fldChar w:fldCharType="end"/>
    </w:r>
    <w:r w:rsidRPr="001A6BB5">
      <w:instrText xml:space="preserve"> - </w:instrText>
    </w:r>
    <w:r w:rsidRPr="001A6BB5">
      <w:fldChar w:fldCharType="begin" w:fldLock="1"/>
    </w:r>
    <w:r w:rsidRPr="001A6BB5">
      <w:instrText xml:space="preserve"> = int(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B53F3B" w:rsidRPr="001A6BB5">
      <w:instrText>2</w:instrText>
    </w:r>
    <w:r w:rsidRPr="001A6BB5">
      <w:fldChar w:fldCharType="end"/>
    </w:r>
    <w:r w:rsidRPr="001A6BB5">
      <w:instrText xml:space="preserve">/2) </w:instrText>
    </w:r>
    <w:r w:rsidRPr="001A6BB5">
      <w:fldChar w:fldCharType="separate"/>
    </w:r>
    <w:r w:rsidR="00B53F3B" w:rsidRPr="001A6BB5">
      <w:instrText>1</w:instrText>
    </w:r>
    <w:r w:rsidRPr="001A6BB5">
      <w:fldChar w:fldCharType="end"/>
    </w:r>
    <w:r w:rsidRPr="001A6BB5">
      <w:fldChar w:fldCharType="separate"/>
    </w:r>
    <w:r w:rsidR="00B53F3B" w:rsidRPr="001A6BB5">
      <w:instrText>0</w:instrText>
    </w:r>
    <w:r w:rsidRPr="001A6BB5">
      <w:fldChar w:fldCharType="end"/>
    </w:r>
    <w:r w:rsidRPr="001A6BB5">
      <w:instrText xml:space="preserve"> = 0 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="00B53F3B" w:rsidRPr="001A6BB5">
      <w:instrText>2</w:instrText>
    </w:r>
    <w:r w:rsidRPr="001A6BB5">
      <w:fldChar w:fldCharType="end"/>
    </w:r>
  </w:p>
  <w:p w:rsidR="00B53F3B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instrText>""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instrText>5</w:instrText>
    </w:r>
    <w:r w:rsidRPr="001A6BB5">
      <w:fldChar w:fldCharType="end"/>
    </w:r>
    <w:r w:rsidRPr="001A6BB5">
      <w:instrText>"</w:instrText>
    </w:r>
    <w:r w:rsidRPr="001A6BB5">
      <w:fldChar w:fldCharType="separate"/>
    </w:r>
    <w:r w:rsidR="00B53F3B" w:rsidRPr="001A6BB5">
      <w:t>2</w:t>
    </w:r>
  </w:p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fldChar w:fldCharType="end"/>
    </w:r>
  </w:p>
  <w:p w:rsidR="00BA1EDD" w:rsidRPr="001A6BB5" w:rsidRDefault="00BA1EDD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t>2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t>3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fotV"/>
      <w:framePr w:w="8732" w:h="284" w:hRule="exact" w:hSpace="0" w:vSpace="0" w:wrap="around" w:xAlign="inside" w:y="13042" w:anchorLock="0"/>
    </w:pPr>
    <w:r w:rsidRPr="001A6BB5">
      <w:fldChar w:fldCharType="begin" w:fldLock="1"/>
    </w:r>
    <w:r w:rsidRPr="001A6BB5">
      <w:instrText xml:space="preserve"> if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= 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B53F3B" w:rsidRPr="001A6BB5">
      <w:instrText>11</w:instrText>
    </w:r>
    <w:r w:rsidRPr="001A6BB5">
      <w:fldChar w:fldCharType="end"/>
    </w:r>
    <w:r w:rsidRPr="001A6BB5">
      <w:instrText xml:space="preserve">/2 </w:instrText>
    </w:r>
    <w:r w:rsidRPr="001A6BB5">
      <w:fldChar w:fldCharType="separate"/>
    </w:r>
    <w:r w:rsidR="00B53F3B" w:rsidRPr="001A6BB5">
      <w:instrText>5,5</w:instrText>
    </w:r>
    <w:r w:rsidRPr="001A6BB5">
      <w:fldChar w:fldCharType="end"/>
    </w:r>
    <w:r w:rsidRPr="001A6BB5">
      <w:instrText xml:space="preserve"> - </w:instrText>
    </w:r>
    <w:r w:rsidRPr="001A6BB5">
      <w:fldChar w:fldCharType="begin" w:fldLock="1"/>
    </w:r>
    <w:r w:rsidRPr="001A6BB5">
      <w:instrText xml:space="preserve"> = int(</w:instrText>
    </w:r>
    <w:r w:rsidRPr="001A6BB5">
      <w:fldChar w:fldCharType="begin" w:fldLock="1"/>
    </w:r>
    <w:r w:rsidRPr="001A6BB5">
      <w:instrText xml:space="preserve"> page</w:instrText>
    </w:r>
    <w:r w:rsidRPr="001A6BB5">
      <w:fldChar w:fldCharType="separate"/>
    </w:r>
    <w:r w:rsidR="00B53F3B" w:rsidRPr="001A6BB5">
      <w:instrText>11</w:instrText>
    </w:r>
    <w:r w:rsidRPr="001A6BB5">
      <w:fldChar w:fldCharType="end"/>
    </w:r>
    <w:r w:rsidRPr="001A6BB5">
      <w:instrText xml:space="preserve">/2) </w:instrText>
    </w:r>
    <w:r w:rsidRPr="001A6BB5">
      <w:fldChar w:fldCharType="separate"/>
    </w:r>
    <w:r w:rsidR="00B53F3B" w:rsidRPr="001A6BB5">
      <w:instrText>5</w:instrText>
    </w:r>
    <w:r w:rsidRPr="001A6BB5">
      <w:fldChar w:fldCharType="end"/>
    </w:r>
    <w:r w:rsidRPr="001A6BB5">
      <w:fldChar w:fldCharType="separate"/>
    </w:r>
    <w:r w:rsidR="00B53F3B" w:rsidRPr="001A6BB5">
      <w:instrText>0,5</w:instrText>
    </w:r>
    <w:r w:rsidRPr="001A6BB5">
      <w:fldChar w:fldCharType="end"/>
    </w:r>
    <w:r w:rsidRPr="001A6BB5">
      <w:instrText xml:space="preserve"> = 0 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Pr="001A6BB5">
      <w:instrText>12</w:instrText>
    </w:r>
    <w:r w:rsidRPr="001A6BB5">
      <w:fldChar w:fldCharType="end"/>
    </w:r>
  </w:p>
  <w:p w:rsidR="00BA1EDD" w:rsidRPr="001A6BB5" w:rsidRDefault="00BA1EDD">
    <w:pPr>
      <w:pStyle w:val="SidfotH"/>
      <w:framePr w:w="8732" w:h="284" w:hRule="exact" w:hSpace="0" w:vSpace="0" w:wrap="around" w:xAlign="inside" w:y="13042" w:anchorLock="0"/>
    </w:pPr>
    <w:r w:rsidRPr="001A6BB5">
      <w:instrText>""</w:instrText>
    </w:r>
    <w:r w:rsidRPr="001A6BB5">
      <w:fldChar w:fldCharType="begin" w:fldLock="1"/>
    </w:r>
    <w:r w:rsidRPr="001A6BB5">
      <w:instrText xml:space="preserve"> P</w:instrText>
    </w:r>
    <w:r w:rsidRPr="001A6BB5">
      <w:instrText>A</w:instrText>
    </w:r>
    <w:r w:rsidRPr="001A6BB5">
      <w:instrText xml:space="preserve">GE </w:instrText>
    </w:r>
    <w:r w:rsidRPr="001A6BB5">
      <w:fldChar w:fldCharType="separate"/>
    </w:r>
    <w:r w:rsidR="00B53F3B" w:rsidRPr="001A6BB5">
      <w:instrText>11</w:instrText>
    </w:r>
    <w:r w:rsidRPr="001A6BB5">
      <w:fldChar w:fldCharType="end"/>
    </w:r>
    <w:r w:rsidRPr="001A6BB5">
      <w:instrText>"</w:instrText>
    </w:r>
    <w:r w:rsidRPr="001A6BB5">
      <w:fldChar w:fldCharType="separate"/>
    </w:r>
    <w:r w:rsidR="00B53F3B" w:rsidRPr="001A6BB5">
      <w:t>11</w:t>
    </w:r>
    <w:r w:rsidRPr="001A6BB5">
      <w:fldChar w:fldCharType="end"/>
    </w:r>
  </w:p>
  <w:p w:rsidR="00BA1EDD" w:rsidRPr="001A6BB5" w:rsidRDefault="00BA1ED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2B90" w:rsidRPr="001A6BB5" w:rsidRDefault="00F62B90">
      <w:r w:rsidRPr="001A6BB5">
        <w:separator/>
      </w:r>
    </w:p>
  </w:footnote>
  <w:footnote w:type="continuationSeparator" w:id="0">
    <w:p w:rsidR="00F62B90" w:rsidRPr="001A6BB5" w:rsidRDefault="00F62B90">
      <w:r w:rsidRPr="001A6B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BetänkandeÅr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2005/06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t>: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Utskott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EUN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BetänkandeNr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2y</w:t>
    </w:r>
    <w:r w:rsidRPr="001A6BB5">
      <w:rPr>
        <w:rStyle w:val="SidhuvudUtskott"/>
      </w:rPr>
      <w:fldChar w:fldCharType="end"/>
    </w:r>
    <w:r w:rsidRPr="001A6BB5">
      <w:t xml:space="preserve">     </w:t>
    </w:r>
    <w:r w:rsidRPr="001A6BB5">
      <w:rPr>
        <w:rStyle w:val="SidhuvudBilaga"/>
      </w:rPr>
      <w:t xml:space="preserve"> </w:t>
    </w:r>
    <w:r w:rsidRPr="001A6BB5">
      <w:rPr>
        <w:rStyle w:val="SidhuvudRubrikReferens"/>
      </w:rPr>
      <w:fldChar w:fldCharType="begin" w:fldLock="1"/>
    </w:r>
    <w:r w:rsidRPr="001A6BB5">
      <w:rPr>
        <w:rStyle w:val="SidhuvudRubrikReferens"/>
      </w:rPr>
      <w:instrText xml:space="preserve"> StyleREF "Rubrik 1" </w:instrText>
    </w:r>
    <w:r w:rsidRPr="001A6BB5">
      <w:rPr>
        <w:rStyle w:val="SidhuvudRubrikReferens"/>
      </w:rPr>
      <w:fldChar w:fldCharType="separate"/>
    </w:r>
    <w:r w:rsidRPr="001A6BB5">
      <w:rPr>
        <w:rStyle w:val="SidhuvudRubrikReferens"/>
      </w:rPr>
      <w:t>Regeringens skrivelse</w:t>
    </w:r>
    <w:r w:rsidRPr="001A6BB5">
      <w:rPr>
        <w:rStyle w:val="SidhuvudRubrikReferens"/>
      </w:rPr>
      <w:fldChar w:fldCharType="end"/>
    </w:r>
  </w:p>
  <w:p w:rsidR="00BA1EDD" w:rsidRPr="001A6BB5" w:rsidRDefault="00BA1EDD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Status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if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"UtkastDatum"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Nej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 = "Ja" "   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PRINTDATE \@ "yyyy-MM-dd HH.mm" 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2000-08-11 16.42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" </w:instrTex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huvudKantUdda"/>
      <w:framePr w:w="8732" w:h="567" w:hRule="exact" w:vSpace="0" w:wrap="around" w:vAnchor="page" w:y="341" w:anchorLock="0"/>
    </w:pPr>
    <w:r w:rsidRPr="001A6BB5">
      <w:rPr>
        <w:rStyle w:val="SidhuvudRubrikReferens"/>
      </w:rPr>
      <w:fldChar w:fldCharType="begin" w:fldLock="1"/>
    </w:r>
    <w:r w:rsidRPr="001A6BB5">
      <w:rPr>
        <w:rStyle w:val="SidhuvudRubrikReferens"/>
      </w:rPr>
      <w:instrText xml:space="preserve"> StyleREF "Rubrik 1" </w:instrText>
    </w:r>
    <w:r w:rsidRPr="001A6BB5">
      <w:rPr>
        <w:rStyle w:val="SidhuvudRubrikReferens"/>
      </w:rPr>
      <w:fldChar w:fldCharType="separate"/>
    </w:r>
    <w:r w:rsidRPr="001A6BB5">
      <w:rPr>
        <w:rStyle w:val="SidhuvudRubrikReferens"/>
      </w:rPr>
      <w:t>Regeringens skrivelse</w:t>
    </w:r>
    <w:r w:rsidRPr="001A6BB5">
      <w:rPr>
        <w:rStyle w:val="SidhuvudRubrikReferens"/>
      </w:rPr>
      <w:fldChar w:fldCharType="end"/>
    </w:r>
    <w:r w:rsidRPr="001A6BB5">
      <w:rPr>
        <w:rStyle w:val="SidhuvudBilaga"/>
      </w:rPr>
      <w:t xml:space="preserve"> </w:t>
    </w:r>
    <w:r w:rsidRPr="001A6BB5">
      <w:t xml:space="preserve">     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BetänkandeÅr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2005/06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t>: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</w:instrText>
    </w:r>
    <w:r w:rsidRPr="001A6BB5">
      <w:instrText xml:space="preserve"> </w:instrText>
    </w:r>
    <w:r w:rsidRPr="001A6BB5">
      <w:rPr>
        <w:rStyle w:val="SidhuvudUtskott"/>
      </w:rPr>
      <w:instrText>Utskott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EUN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</w:instrText>
    </w:r>
    <w:r w:rsidRPr="001A6BB5">
      <w:rPr>
        <w:rStyle w:val="SidhuvudUtskott"/>
      </w:rPr>
      <w:instrText>n</w:instrText>
    </w:r>
    <w:r w:rsidRPr="001A6BB5">
      <w:rPr>
        <w:rStyle w:val="SidhuvudUtskott"/>
      </w:rPr>
      <w:instrText>kandeNr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2y</w: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KantUdda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if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"UtkastDatum"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Nej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 = "Ja" "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PRINTDATE \@ "yyyy-MM-dd HH.mm    " 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2000-08-11 16.42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" 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</w:instrText>
    </w:r>
    <w:r w:rsidRPr="001A6BB5">
      <w:rPr>
        <w:rStyle w:val="SidhuvudUtskott"/>
      </w:rPr>
      <w:instrText>O</w:instrText>
    </w:r>
    <w:r w:rsidRPr="001A6BB5">
      <w:rPr>
        <w:rStyle w:val="SidhuvudUtskott"/>
      </w:rPr>
      <w:instrText>PERTY Status</w:instrTex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53F3B">
    <w:pPr>
      <w:pStyle w:val="SidhuvudKantUdda"/>
      <w:framePr w:w="8732" w:h="567" w:hRule="exact" w:vSpace="0" w:wrap="around" w:vAnchor="page" w:y="341" w:anchorLock="0"/>
    </w:pPr>
    <w:r w:rsidRPr="001A6BB5">
      <w:t xml:space="preserve"> </w:t>
    </w:r>
  </w:p>
  <w:p w:rsidR="00BA1EDD" w:rsidRPr="001A6BB5" w:rsidRDefault="00BA1EDD">
    <w:pPr>
      <w:pStyle w:val="Sidhuvud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t>2005/06:EUN2y</w:t>
    </w:r>
    <w:r w:rsidRPr="001A6BB5">
      <w:t xml:space="preserve">     </w:t>
    </w:r>
    <w:r w:rsidRPr="001A6BB5">
      <w:rPr>
        <w:rStyle w:val="SidhuvudBilaga"/>
      </w:rPr>
      <w:t xml:space="preserve"> </w:t>
    </w:r>
    <w:r w:rsidR="00B53F3B" w:rsidRPr="001A6BB5">
      <w:rPr>
        <w:rStyle w:val="SidhuvudRubrikReferens"/>
      </w:rPr>
      <w:t>EU-nämnden</w:t>
    </w:r>
  </w:p>
  <w:p w:rsidR="00BA1EDD" w:rsidRPr="001A6BB5" w:rsidRDefault="00BA1EDD">
    <w:pPr>
      <w:pStyle w:val="SidhuvudKantJmn"/>
      <w:framePr w:w="8732" w:h="567" w:hRule="exact" w:vSpace="0" w:wrap="around" w:vAnchor="page" w:y="341" w:anchorLock="0"/>
    </w:pPr>
  </w:p>
  <w:p w:rsidR="00BA1EDD" w:rsidRPr="001A6BB5" w:rsidRDefault="00BA1EDD">
    <w:pPr>
      <w:pStyle w:val="Sidhuvud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53F3B">
    <w:pPr>
      <w:pStyle w:val="SidhuvudKantUdda"/>
      <w:framePr w:w="8732" w:h="567" w:hRule="exact" w:vSpace="0" w:wrap="around" w:vAnchor="page" w:y="341" w:anchorLock="0"/>
    </w:pPr>
    <w:r w:rsidRPr="001A6BB5">
      <w:rPr>
        <w:rStyle w:val="SidhuvudRubrikReferens"/>
      </w:rPr>
      <w:t>EU-nämnden</w:t>
    </w:r>
    <w:r w:rsidR="00BA1EDD" w:rsidRPr="001A6BB5">
      <w:rPr>
        <w:rStyle w:val="SidhuvudBilaga"/>
      </w:rPr>
      <w:t xml:space="preserve"> </w:t>
    </w:r>
    <w:r w:rsidR="00BA1EDD" w:rsidRPr="001A6BB5">
      <w:t xml:space="preserve">     </w:t>
    </w:r>
    <w:r w:rsidR="00BA1EDD" w:rsidRPr="001A6BB5">
      <w:rPr>
        <w:rStyle w:val="SidhuvudUtskott"/>
      </w:rPr>
      <w:t>2005/06:EUN2y</w:t>
    </w:r>
  </w:p>
  <w:p w:rsidR="00BA1EDD" w:rsidRPr="001A6BB5" w:rsidRDefault="00BA1EDD">
    <w:pPr>
      <w:pStyle w:val="SidhuvudKantUdda"/>
      <w:framePr w:w="8732" w:h="567" w:hRule="exact" w:vSpace="0" w:wrap="around" w:vAnchor="page" w:y="341" w:anchorLock="0"/>
    </w:pPr>
  </w:p>
  <w:p w:rsidR="00BA1EDD" w:rsidRPr="001A6BB5" w:rsidRDefault="00BA1EDD">
    <w:pPr>
      <w:pStyle w:val="Sidhuvud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3B" w:rsidRPr="001A6BB5" w:rsidRDefault="00B53F3B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t>2005/06:EUN2y</w:t>
    </w:r>
    <w:r w:rsidRPr="001A6BB5">
      <w:t xml:space="preserve">    </w:t>
    </w:r>
  </w:p>
  <w:p w:rsidR="00B53F3B" w:rsidRPr="001A6BB5" w:rsidRDefault="00B53F3B">
    <w:pPr>
      <w:pStyle w:val="SidhuvudKantJmn"/>
      <w:framePr w:w="8732" w:h="567" w:hRule="exact" w:vSpace="0" w:wrap="around" w:vAnchor="page" w:y="341" w:anchorLock="0"/>
    </w:pPr>
  </w:p>
  <w:p w:rsidR="00BA1EDD" w:rsidRPr="001A6BB5" w:rsidRDefault="00B53F3B">
    <w:pPr>
      <w:pStyle w:val="SidhuvudKantUdda"/>
      <w:framePr w:w="8732" w:h="567" w:hRule="exact" w:vSpace="0" w:wrap="around" w:vAnchor="page" w:y="341" w:anchorLock="0"/>
    </w:pPr>
    <w:r w:rsidRPr="001A6BB5">
      <w:rPr>
        <w:rStyle w:val="SidhuvudRubrikReferens"/>
        <w:smallCaps w:val="0"/>
      </w:rPr>
      <w:t xml:space="preserve"> </w:t>
    </w:r>
  </w:p>
  <w:p w:rsidR="00BA1EDD" w:rsidRPr="001A6BB5" w:rsidRDefault="00BA1EDD">
    <w:pPr>
      <w:pStyle w:val="Sidhuvud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BetänkandeÅr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2005/06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t>: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Utskott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EUN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BetänkandeNr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2y</w:t>
    </w:r>
    <w:r w:rsidRPr="001A6BB5">
      <w:rPr>
        <w:rStyle w:val="SidhuvudUtskott"/>
      </w:rPr>
      <w:fldChar w:fldCharType="end"/>
    </w:r>
    <w:r w:rsidRPr="001A6BB5">
      <w:t xml:space="preserve">     </w:t>
    </w:r>
    <w:r w:rsidRPr="001A6BB5">
      <w:rPr>
        <w:rStyle w:val="SidhuvudBilaga"/>
      </w:rPr>
      <w:t xml:space="preserve"> </w:t>
    </w:r>
    <w:r w:rsidRPr="001A6BB5">
      <w:rPr>
        <w:rStyle w:val="SidhuvudRubrikReferens"/>
      </w:rPr>
      <w:fldChar w:fldCharType="begin" w:fldLock="1"/>
    </w:r>
    <w:r w:rsidRPr="001A6BB5">
      <w:rPr>
        <w:rStyle w:val="SidhuvudRubrikReferens"/>
      </w:rPr>
      <w:instrText xml:space="preserve"> StyleREF "Rubrik 1" </w:instrText>
    </w:r>
    <w:r w:rsidRPr="001A6BB5">
      <w:rPr>
        <w:rStyle w:val="SidhuvudRubrikReferens"/>
      </w:rPr>
      <w:fldChar w:fldCharType="separate"/>
    </w:r>
    <w:r w:rsidRPr="001A6BB5">
      <w:rPr>
        <w:rStyle w:val="SidhuvudRubrikReferens"/>
      </w:rPr>
      <w:t>EU-nämnden</w:t>
    </w:r>
    <w:r w:rsidRPr="001A6BB5">
      <w:rPr>
        <w:rStyle w:val="SidhuvudRubrikReferens"/>
      </w:rPr>
      <w:fldChar w:fldCharType="end"/>
    </w:r>
  </w:p>
  <w:p w:rsidR="00BA1EDD" w:rsidRPr="001A6BB5" w:rsidRDefault="00BA1EDD">
    <w:pPr>
      <w:pStyle w:val="SidhuvudKantJmn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Status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if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"UtkastDatum"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Nej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 = "Ja" "   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PRINTDATE \@ "yyyy-MM-dd HH.mm" 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2000-08-11 16.42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" </w:instrTex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A1EDD" w:rsidRPr="001A6BB5" w:rsidRDefault="00BA1EDD">
    <w:pPr>
      <w:pStyle w:val="SidhuvudKantUdda"/>
      <w:framePr w:w="8732" w:h="567" w:hRule="exact" w:vSpace="0" w:wrap="around" w:vAnchor="page" w:y="341" w:anchorLock="0"/>
    </w:pPr>
    <w:r w:rsidRPr="001A6BB5">
      <w:rPr>
        <w:rStyle w:val="SidhuvudRubrikReferens"/>
      </w:rPr>
      <w:fldChar w:fldCharType="begin" w:fldLock="1"/>
    </w:r>
    <w:r w:rsidRPr="001A6BB5">
      <w:rPr>
        <w:rStyle w:val="SidhuvudRubrikReferens"/>
      </w:rPr>
      <w:instrText xml:space="preserve"> StyleREF "Rubrik 1" </w:instrText>
    </w:r>
    <w:r w:rsidRPr="001A6BB5">
      <w:rPr>
        <w:rStyle w:val="SidhuvudRubrikReferens"/>
      </w:rPr>
      <w:fldChar w:fldCharType="separate"/>
    </w:r>
    <w:r w:rsidRPr="001A6BB5">
      <w:rPr>
        <w:rStyle w:val="SidhuvudRubrikReferens"/>
      </w:rPr>
      <w:t>EU-nämnden</w:t>
    </w:r>
    <w:r w:rsidRPr="001A6BB5">
      <w:rPr>
        <w:rStyle w:val="SidhuvudRubrikReferens"/>
      </w:rPr>
      <w:fldChar w:fldCharType="end"/>
    </w:r>
    <w:r w:rsidRPr="001A6BB5">
      <w:rPr>
        <w:rStyle w:val="SidhuvudBilaga"/>
      </w:rPr>
      <w:t xml:space="preserve"> </w:t>
    </w:r>
    <w:r w:rsidRPr="001A6BB5">
      <w:t xml:space="preserve">     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BetänkandeÅr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2005/06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t>:</w: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</w:instrText>
    </w:r>
    <w:r w:rsidRPr="001A6BB5">
      <w:instrText xml:space="preserve"> </w:instrText>
    </w:r>
    <w:r w:rsidRPr="001A6BB5">
      <w:rPr>
        <w:rStyle w:val="SidhuvudUtskott"/>
      </w:rPr>
      <w:instrText>Utskott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EUN</w: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Betä</w:instrText>
    </w:r>
    <w:r w:rsidRPr="001A6BB5">
      <w:rPr>
        <w:rStyle w:val="SidhuvudUtskott"/>
      </w:rPr>
      <w:instrText>n</w:instrText>
    </w:r>
    <w:r w:rsidRPr="001A6BB5">
      <w:rPr>
        <w:rStyle w:val="SidhuvudUtskott"/>
      </w:rPr>
      <w:instrText>kandeNr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t>2y</w: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KantUdda"/>
      <w:framePr w:w="8732" w:h="567" w:hRule="exact" w:vSpace="0" w:wrap="around" w:vAnchor="page" w:y="341" w:anchorLock="0"/>
    </w:pP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if 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DOCPROPERTY "UtkastDatum"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Nej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 = "Ja" "</w:instrText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PRINTDATE \@ "yyyy-MM-dd HH.mm    " </w:instrText>
    </w:r>
    <w:r w:rsidRPr="001A6BB5">
      <w:rPr>
        <w:rStyle w:val="SidhuvudUtskott"/>
      </w:rPr>
      <w:fldChar w:fldCharType="separate"/>
    </w:r>
    <w:r w:rsidRPr="001A6BB5">
      <w:rPr>
        <w:rStyle w:val="SidhuvudUtskott"/>
      </w:rPr>
      <w:instrText>2000-08-11 16.42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instrText xml:space="preserve">" </w:instrText>
    </w:r>
    <w:r w:rsidRPr="001A6BB5">
      <w:rPr>
        <w:rStyle w:val="SidhuvudUtskott"/>
      </w:rPr>
      <w:fldChar w:fldCharType="end"/>
    </w:r>
    <w:r w:rsidRPr="001A6BB5">
      <w:rPr>
        <w:rStyle w:val="SidhuvudUtskott"/>
      </w:rPr>
      <w:fldChar w:fldCharType="begin" w:fldLock="1"/>
    </w:r>
    <w:r w:rsidRPr="001A6BB5">
      <w:rPr>
        <w:rStyle w:val="SidhuvudUtskott"/>
      </w:rPr>
      <w:instrText xml:space="preserve"> DOCPR</w:instrText>
    </w:r>
    <w:r w:rsidRPr="001A6BB5">
      <w:rPr>
        <w:rStyle w:val="SidhuvudUtskott"/>
      </w:rPr>
      <w:instrText>O</w:instrText>
    </w:r>
    <w:r w:rsidRPr="001A6BB5">
      <w:rPr>
        <w:rStyle w:val="SidhuvudUtskott"/>
      </w:rPr>
      <w:instrText>PERTY Status</w:instrText>
    </w:r>
    <w:r w:rsidRPr="001A6BB5">
      <w:rPr>
        <w:rStyle w:val="SidhuvudUtskott"/>
      </w:rPr>
      <w:fldChar w:fldCharType="end"/>
    </w:r>
  </w:p>
  <w:p w:rsidR="00BA1EDD" w:rsidRPr="001A6BB5" w:rsidRDefault="00BA1EDD">
    <w:pPr>
      <w:pStyle w:val="Sidhuvud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3F3B" w:rsidRPr="001A6BB5" w:rsidRDefault="00B53F3B">
    <w:pPr>
      <w:pStyle w:val="SidhuvudKantUdda"/>
      <w:framePr w:w="8732" w:h="567" w:hRule="exact" w:vSpace="0" w:wrap="around" w:vAnchor="page" w:y="341" w:anchorLock="0"/>
    </w:pPr>
    <w:r w:rsidRPr="001A6BB5">
      <w:t xml:space="preserve">  </w:t>
    </w:r>
    <w:r w:rsidRPr="001A6BB5">
      <w:rPr>
        <w:rStyle w:val="SidhuvudUtskott"/>
      </w:rPr>
      <w:t>2005/06:EUN2y</w:t>
    </w:r>
  </w:p>
  <w:p w:rsidR="00BA1EDD" w:rsidRPr="001A6BB5" w:rsidRDefault="00BA1EDD">
    <w:pPr>
      <w:pStyle w:val="SidhuvudKantUdda"/>
      <w:framePr w:w="8732" w:h="567" w:hRule="exact" w:vSpace="0" w:wrap="around" w:vAnchor="page" w:y="341" w:anchorLock="0"/>
    </w:pPr>
  </w:p>
  <w:p w:rsidR="00BA1EDD" w:rsidRPr="001A6BB5" w:rsidRDefault="00BA1EDD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536194100">
    <w:abstractNumId w:val="10"/>
  </w:num>
  <w:num w:numId="2" w16cid:durableId="1829785583">
    <w:abstractNumId w:val="8"/>
  </w:num>
  <w:num w:numId="3" w16cid:durableId="1163085964">
    <w:abstractNumId w:val="3"/>
  </w:num>
  <w:num w:numId="4" w16cid:durableId="1454254739">
    <w:abstractNumId w:val="2"/>
  </w:num>
  <w:num w:numId="5" w16cid:durableId="196234310">
    <w:abstractNumId w:val="1"/>
  </w:num>
  <w:num w:numId="6" w16cid:durableId="1854606647">
    <w:abstractNumId w:val="0"/>
  </w:num>
  <w:num w:numId="7" w16cid:durableId="871259886">
    <w:abstractNumId w:val="9"/>
  </w:num>
  <w:num w:numId="8" w16cid:durableId="683895751">
    <w:abstractNumId w:val="7"/>
  </w:num>
  <w:num w:numId="9" w16cid:durableId="1951011345">
    <w:abstractNumId w:val="6"/>
  </w:num>
  <w:num w:numId="10" w16cid:durableId="1070154470">
    <w:abstractNumId w:val="5"/>
  </w:num>
  <w:num w:numId="11" w16cid:durableId="6145624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eu-nämndens"/>
    <w:docVar w:name="Skapår" w:val="0506"/>
  </w:docVars>
  <w:rsids>
    <w:rsidRoot w:val="00A9338D"/>
    <w:rsid w:val="00002EEB"/>
    <w:rsid w:val="00030D02"/>
    <w:rsid w:val="00057705"/>
    <w:rsid w:val="000731D0"/>
    <w:rsid w:val="00083509"/>
    <w:rsid w:val="00091D55"/>
    <w:rsid w:val="000A214A"/>
    <w:rsid w:val="000D1CF8"/>
    <w:rsid w:val="000D6E98"/>
    <w:rsid w:val="00117E59"/>
    <w:rsid w:val="00137BF4"/>
    <w:rsid w:val="0016193E"/>
    <w:rsid w:val="00180BD7"/>
    <w:rsid w:val="001814F4"/>
    <w:rsid w:val="001908F2"/>
    <w:rsid w:val="001A1799"/>
    <w:rsid w:val="001A6BB5"/>
    <w:rsid w:val="001C071F"/>
    <w:rsid w:val="00203D5E"/>
    <w:rsid w:val="0020568A"/>
    <w:rsid w:val="00231158"/>
    <w:rsid w:val="0025038C"/>
    <w:rsid w:val="002630FE"/>
    <w:rsid w:val="00284DCA"/>
    <w:rsid w:val="0028784D"/>
    <w:rsid w:val="00292BA4"/>
    <w:rsid w:val="002B0833"/>
    <w:rsid w:val="002B3E6E"/>
    <w:rsid w:val="002C33E7"/>
    <w:rsid w:val="002D625B"/>
    <w:rsid w:val="002F13CE"/>
    <w:rsid w:val="00326E4F"/>
    <w:rsid w:val="0034682A"/>
    <w:rsid w:val="00365C9D"/>
    <w:rsid w:val="00381B7B"/>
    <w:rsid w:val="003A5106"/>
    <w:rsid w:val="003C2440"/>
    <w:rsid w:val="003C501E"/>
    <w:rsid w:val="00400C5D"/>
    <w:rsid w:val="00422CD3"/>
    <w:rsid w:val="00435F23"/>
    <w:rsid w:val="00481055"/>
    <w:rsid w:val="004C3BC8"/>
    <w:rsid w:val="004F3342"/>
    <w:rsid w:val="005036F3"/>
    <w:rsid w:val="00510BB5"/>
    <w:rsid w:val="0054394B"/>
    <w:rsid w:val="00554094"/>
    <w:rsid w:val="00583FBD"/>
    <w:rsid w:val="005A742C"/>
    <w:rsid w:val="005B079F"/>
    <w:rsid w:val="005F493F"/>
    <w:rsid w:val="0060200C"/>
    <w:rsid w:val="0060413B"/>
    <w:rsid w:val="006104C6"/>
    <w:rsid w:val="0063410B"/>
    <w:rsid w:val="00682BFF"/>
    <w:rsid w:val="00697098"/>
    <w:rsid w:val="006978B6"/>
    <w:rsid w:val="006A70B1"/>
    <w:rsid w:val="006E08C6"/>
    <w:rsid w:val="006E5713"/>
    <w:rsid w:val="007004AD"/>
    <w:rsid w:val="00713BCB"/>
    <w:rsid w:val="007259D0"/>
    <w:rsid w:val="007543B9"/>
    <w:rsid w:val="00765E14"/>
    <w:rsid w:val="007B0EB7"/>
    <w:rsid w:val="007B7D58"/>
    <w:rsid w:val="007D1E63"/>
    <w:rsid w:val="008016EB"/>
    <w:rsid w:val="00804FB6"/>
    <w:rsid w:val="008425BB"/>
    <w:rsid w:val="008460CB"/>
    <w:rsid w:val="00865EA1"/>
    <w:rsid w:val="008941DE"/>
    <w:rsid w:val="008B69C9"/>
    <w:rsid w:val="008C401F"/>
    <w:rsid w:val="008D0060"/>
    <w:rsid w:val="008D1A80"/>
    <w:rsid w:val="008E6A60"/>
    <w:rsid w:val="008F2FA2"/>
    <w:rsid w:val="00901541"/>
    <w:rsid w:val="00923669"/>
    <w:rsid w:val="0093346F"/>
    <w:rsid w:val="00963D8F"/>
    <w:rsid w:val="009A195A"/>
    <w:rsid w:val="009A37F3"/>
    <w:rsid w:val="009A751A"/>
    <w:rsid w:val="009C5A7E"/>
    <w:rsid w:val="009D0131"/>
    <w:rsid w:val="009F2285"/>
    <w:rsid w:val="00A00808"/>
    <w:rsid w:val="00A03470"/>
    <w:rsid w:val="00A25FBB"/>
    <w:rsid w:val="00A308BB"/>
    <w:rsid w:val="00A33751"/>
    <w:rsid w:val="00A822BC"/>
    <w:rsid w:val="00A9338D"/>
    <w:rsid w:val="00AA7059"/>
    <w:rsid w:val="00AC6EFD"/>
    <w:rsid w:val="00B113A7"/>
    <w:rsid w:val="00B53F3B"/>
    <w:rsid w:val="00BA1EDD"/>
    <w:rsid w:val="00BF6643"/>
    <w:rsid w:val="00BF678D"/>
    <w:rsid w:val="00C17CD8"/>
    <w:rsid w:val="00C83989"/>
    <w:rsid w:val="00CA1BE0"/>
    <w:rsid w:val="00CA6D93"/>
    <w:rsid w:val="00CB2293"/>
    <w:rsid w:val="00CC6C92"/>
    <w:rsid w:val="00CF70D9"/>
    <w:rsid w:val="00D0410D"/>
    <w:rsid w:val="00D1233E"/>
    <w:rsid w:val="00D307D1"/>
    <w:rsid w:val="00DB0821"/>
    <w:rsid w:val="00DD7B5A"/>
    <w:rsid w:val="00DE3FA9"/>
    <w:rsid w:val="00DE5070"/>
    <w:rsid w:val="00DE54A9"/>
    <w:rsid w:val="00DF370B"/>
    <w:rsid w:val="00E07035"/>
    <w:rsid w:val="00E40259"/>
    <w:rsid w:val="00E615EB"/>
    <w:rsid w:val="00E713E4"/>
    <w:rsid w:val="00E75CB1"/>
    <w:rsid w:val="00E918A9"/>
    <w:rsid w:val="00E95AD1"/>
    <w:rsid w:val="00EB16A1"/>
    <w:rsid w:val="00ED33CA"/>
    <w:rsid w:val="00ED6530"/>
    <w:rsid w:val="00EE785B"/>
    <w:rsid w:val="00F05546"/>
    <w:rsid w:val="00F13891"/>
    <w:rsid w:val="00F24C50"/>
    <w:rsid w:val="00F35DAA"/>
    <w:rsid w:val="00F53A97"/>
    <w:rsid w:val="00F62B90"/>
    <w:rsid w:val="00F84B2D"/>
    <w:rsid w:val="00FA43A0"/>
    <w:rsid w:val="00FB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6CDA1-0F2B-4EE6-B7F5-720984189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basedOn w:val="Normal"/>
    <w:pPr>
      <w:spacing w:before="0"/>
      <w:ind w:firstLine="227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customStyle="1" w:styleId="Diagramrubrik">
    <w:name w:val="Diagramrubrik"/>
    <w:basedOn w:val="Tabellrubrik"/>
    <w:next w:val="Normal"/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Formatmall1">
    <w:name w:val="Formatmall1"/>
    <w:basedOn w:val="Reservationspunkt"/>
    <w:next w:val="Reservanter"/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HuvudRubrikRad2">
    <w:name w:val="HuvudRubrikRad2"/>
    <w:basedOn w:val="HuvudRubrik"/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 w:eastAsia="sv-SE"/>
    </w:r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styleId="Oformateradtext">
    <w:name w:val="Plain Text"/>
    <w:basedOn w:val="Normal"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character" w:styleId="Radnummer">
    <w:name w:val="line number"/>
    <w:basedOn w:val="Standardstycketeckensnitt"/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styleId="Sidfot">
    <w:name w:val="footer"/>
    <w:basedOn w:val="Normal"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styleId="Sidhuvud">
    <w:name w:val="header"/>
    <w:basedOn w:val="Normal"/>
    <w:pPr>
      <w:tabs>
        <w:tab w:val="center" w:pos="4252"/>
        <w:tab w:val="right" w:pos="8504"/>
      </w:tabs>
      <w:spacing w:before="0"/>
      <w:ind w:left="-851"/>
      <w:jc w:val="left"/>
    </w:p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customStyle="1" w:styleId="SidhuvudKantJmn">
    <w:name w:val="SidhuvudKantJämn"/>
    <w:basedOn w:val="SidhuvudKant"/>
    <w:pPr>
      <w:framePr w:wrap="around"/>
    </w:p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character" w:styleId="Sidnummer">
    <w:name w:val="page number"/>
    <w:basedOn w:val="Standardstycketeckensnitt"/>
    <w:rPr>
      <w:rFonts w:ascii="Times New Roman" w:hAnsi="Times New Roman"/>
      <w:sz w:val="19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Yttrandepunkt">
    <w:name w:val="Yttrandepunkt"/>
    <w:basedOn w:val="Reservationspunkt"/>
    <w:next w:val="Reservant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footer" Target="footer8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3454</Words>
  <Characters>21450</Characters>
  <Application>Microsoft Office Word</Application>
  <DocSecurity>4</DocSecurity>
  <Lines>412</Lines>
  <Paragraphs>105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EU-nämndens yttrande</vt:lpstr>
    </vt:vector>
  </TitlesOfParts>
  <Company>Riksdagen</Company>
  <LinksUpToDate>false</LinksUpToDate>
  <CharactersWithSpaces>24799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EU-nämndens yttrande</dc:title>
  <dc:subject>EU-nämndens yttrande</dc:subject>
  <dc:creator>Riksdagen</dc:creator>
  <cp:keywords>Riksdagen</cp:keywords>
  <dc:description/>
  <cp:lastModifiedBy>Lars Brink</cp:lastModifiedBy>
  <cp:revision>2</cp:revision>
  <cp:lastPrinted>2006-04-19T11:53:00Z</cp:lastPrinted>
  <dcterms:created xsi:type="dcterms:W3CDTF">2025-12-16T22:26:00Z</dcterms:created>
  <dcterms:modified xsi:type="dcterms:W3CDTF">2025-12-16T22:26:00Z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2y</vt:lpwstr>
  </property>
  <property fmtid="{D5CDD505-2E9C-101B-9397-08002B2CF9AE}" pid="3" name="Utskott">
    <vt:lpwstr>EUN</vt:lpwstr>
  </property>
  <property fmtid="{D5CDD505-2E9C-101B-9397-08002B2CF9AE}" pid="4" name="BetänkandeÅr">
    <vt:lpwstr>2005/06</vt:lpwstr>
  </property>
  <property fmtid="{D5CDD505-2E9C-101B-9397-08002B2CF9AE}" pid="5" name="UtkastDatum">
    <vt:lpwstr>Nej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