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514" w:rsidRPr="00B37514" w:rsidRDefault="00B37514">
      <w:pPr>
        <w:pStyle w:val="Frslagsrubrik"/>
      </w:pPr>
      <w:r w:rsidRPr="00B37514">
        <w:t>Förslag till riksdagsbeslut</w:t>
      </w:r>
    </w:p>
    <w:p w:rsidR="00B37514" w:rsidRPr="00B37514" w:rsidRDefault="00B37514">
      <w:pPr>
        <w:pStyle w:val="Hemstlatt"/>
        <w:numPr>
          <w:ilvl w:val="0"/>
          <w:numId w:val="0"/>
        </w:numPr>
      </w:pPr>
      <w:r w:rsidRPr="00B37514">
        <w:t>Riksdagen tillkännager för regeringen som sin mening vad som anförs i motionen om att tillsätta en utredning för att se över behovet av en resningskommission.</w:t>
      </w:r>
    </w:p>
    <w:p w:rsidR="00B37514" w:rsidRPr="00B37514" w:rsidRDefault="00B37514">
      <w:pPr>
        <w:pStyle w:val="Rubrik1"/>
      </w:pPr>
      <w:r w:rsidRPr="00B37514">
        <w:t>Bakgrund</w:t>
      </w:r>
    </w:p>
    <w:p w:rsidR="00B37514" w:rsidRPr="00B37514" w:rsidRDefault="00B37514">
      <w:r w:rsidRPr="00B37514">
        <w:t>I Sverige har Högsta domstolen, HD, makt att både avslå och bevilja re</w:t>
      </w:r>
      <w:r w:rsidRPr="00B37514">
        <w:t>s</w:t>
      </w:r>
      <w:r w:rsidRPr="00B37514">
        <w:t>ningsansökningar från människor som anser sig oskyldigt dömda. Nålsögat är litet, och i princip beviljas bara resningstillstånd i de fall någon helt ny omständighet tillkommit, exempelvis nyfunnen bevisning.</w:t>
      </w:r>
    </w:p>
    <w:p w:rsidR="00B37514" w:rsidRPr="00B37514" w:rsidRDefault="00B37514">
      <w:pPr>
        <w:pStyle w:val="Normaltindrag"/>
      </w:pPr>
      <w:r w:rsidRPr="00B37514">
        <w:t>Sedan den 1 juli 2004 är det bara JO och JK som automatiskt får sina fall prövade i Högsta domstolen, HD. Riksåklagaren måste begära prövningstil</w:t>
      </w:r>
      <w:r w:rsidRPr="00B37514">
        <w:t>l</w:t>
      </w:r>
      <w:r w:rsidRPr="00B37514">
        <w:t>stånd och får ja i tre av fyra fall. Högsta domstolen prövar även mål som överklagas från någon av de sex hovrätterna i landet. Huvudregeln är att HD ger prövningstillstånd endast om fallet har prejudicerande verkan, det vill säga kan ge ledning i hur liknande fall ska bedömas i framtiden. År 2009 fick Högsta domstolen 4 738 ansökningar om prövning. Endast 118 stycken bevi</w:t>
      </w:r>
      <w:r w:rsidRPr="00B37514">
        <w:t>l</w:t>
      </w:r>
      <w:r w:rsidRPr="00B37514">
        <w:t>jades. I praktiken blir hovrätten högsta instans i de allra flesta mål.</w:t>
      </w:r>
    </w:p>
    <w:p w:rsidR="00B37514" w:rsidRPr="00B37514" w:rsidRDefault="00B37514">
      <w:pPr>
        <w:pStyle w:val="Normaltindrag"/>
      </w:pPr>
      <w:r w:rsidRPr="00B37514">
        <w:t>Flera rättsfall de senaste åren har påvisat behovet av en kompl</w:t>
      </w:r>
      <w:r w:rsidRPr="00B37514">
        <w:t>etterande i</w:t>
      </w:r>
      <w:r w:rsidRPr="00B37514">
        <w:t>n</w:t>
      </w:r>
      <w:r w:rsidRPr="00B37514">
        <w:t>stans till HD. De senaste årens mer uppmärksammade rättsfall, där en dömd trots allt har fått resning, har inte berott på en välvillig inställning från sa</w:t>
      </w:r>
      <w:r w:rsidRPr="00B37514">
        <w:t>m</w:t>
      </w:r>
      <w:r w:rsidRPr="00B37514">
        <w:t>hället utan genom hårt arbete från både journalister och advokater för att genom opinionsbildning skapa tryck för en förnyad prövning.</w:t>
      </w:r>
    </w:p>
    <w:p w:rsidR="00B37514" w:rsidRPr="00B37514" w:rsidRDefault="00B37514">
      <w:pPr>
        <w:pStyle w:val="Rubrik1"/>
      </w:pPr>
      <w:r w:rsidRPr="00B37514">
        <w:lastRenderedPageBreak/>
        <w:t>Utred en fristående resningskommission</w:t>
      </w:r>
    </w:p>
    <w:p w:rsidR="00B37514" w:rsidRPr="00B37514" w:rsidRDefault="00B37514">
      <w:r w:rsidRPr="00B37514">
        <w:t>En resningskommisson fristående från andra rättsvårdande myndigheter som åklagare och polis, skulle kunna granska de fall där förnyad prövning begärs.</w:t>
      </w:r>
    </w:p>
    <w:p w:rsidR="00B37514" w:rsidRPr="00B37514" w:rsidRDefault="00B37514">
      <w:pPr>
        <w:pStyle w:val="Normaltindrag"/>
      </w:pPr>
      <w:r w:rsidRPr="00B37514">
        <w:t>Resningskommissionen skulle inte bara bygga upp rättssäkerheten genom att ge de som anser sig dömda på felaktiga grunder en möjlighet till rättelse utan också på sikt förbättra metoderna att bedriva en förundersökning. Att människor frias efter många år i fängelse betyder också att någon skyldig går fri. De senaste årens friande domar betyder att minst tre gärningsmän, alla med grova brott på sitt samvete, ännu inte har fångats upp. Rättsväsendets arbetsmetoder måste ständigt prövas för att vara så rättssä</w:t>
      </w:r>
      <w:r w:rsidRPr="00B37514">
        <w:t>kert och effektivt som möjligt. Här har en resningskommission också en viktig uppgift.</w:t>
      </w:r>
    </w:p>
    <w:p w:rsidR="00B37514" w:rsidRPr="00B37514" w:rsidRDefault="00B37514">
      <w:pPr>
        <w:pStyle w:val="Normaltindrag"/>
      </w:pPr>
      <w:r w:rsidRPr="00B37514">
        <w:t>Flera länder i Europa har i dag en resningskommission i någon form, bland andra Storbritannien och Norge. Befogenheterna kan skilja mellan de olika kommissionerna. I Storbritannien kan kommissionen besluta om förnyade polisutredningar och kan göra egna undersökningar.</w:t>
      </w:r>
    </w:p>
    <w:p w:rsidR="00B37514" w:rsidRPr="00B37514" w:rsidRDefault="00B37514">
      <w:pPr>
        <w:pStyle w:val="Normaltindrag"/>
      </w:pPr>
      <w:r w:rsidRPr="00B37514">
        <w:t>Möjligheten och utformningen av en resningskommission som passar Sv</w:t>
      </w:r>
      <w:r w:rsidRPr="00B37514">
        <w:t>e</w:t>
      </w:r>
      <w:r w:rsidRPr="00B37514">
        <w:t>riges behov och myndighetsuppbyggnad bör med ovanstående som grund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7514">
        <w:trPr>
          <w:cantSplit/>
        </w:trPr>
        <w:tc>
          <w:tcPr>
            <w:tcW w:w="3046" w:type="dxa"/>
          </w:tcPr>
          <w:p w:rsidR="00B37514" w:rsidRPr="00B37514" w:rsidRDefault="00B37514">
            <w:pPr>
              <w:pStyle w:val="UnderskriftDatum"/>
              <w:spacing w:before="240"/>
            </w:pPr>
            <w:r w:rsidRPr="00B37514">
              <w:t>Stockholm den 27 oktober 2010</w:t>
            </w:r>
          </w:p>
        </w:tc>
        <w:tc>
          <w:tcPr>
            <w:tcW w:w="3047" w:type="dxa"/>
          </w:tcPr>
          <w:p w:rsidR="00B37514" w:rsidRPr="00B37514" w:rsidRDefault="00B37514">
            <w:pPr>
              <w:pStyle w:val="Underskrifter"/>
              <w:spacing w:before="240"/>
            </w:pPr>
          </w:p>
        </w:tc>
      </w:tr>
      <w:tr w:rsidR="00000000" w:rsidRPr="00B37514">
        <w:trPr>
          <w:cantSplit/>
        </w:trPr>
        <w:tc>
          <w:tcPr>
            <w:tcW w:w="3046" w:type="dxa"/>
          </w:tcPr>
          <w:p w:rsidR="00B37514" w:rsidRPr="00B37514" w:rsidRDefault="00B37514">
            <w:pPr>
              <w:pStyle w:val="Underskrifter"/>
            </w:pPr>
            <w:r w:rsidRPr="00B37514">
              <w:t>Otto von Arnold (KD)</w:t>
            </w:r>
          </w:p>
        </w:tc>
        <w:tc>
          <w:tcPr>
            <w:tcW w:w="3046" w:type="dxa"/>
          </w:tcPr>
          <w:p w:rsidR="00B37514" w:rsidRPr="00B37514" w:rsidRDefault="00B37514">
            <w:pPr>
              <w:pStyle w:val="Underskrifter"/>
            </w:pPr>
          </w:p>
        </w:tc>
      </w:tr>
    </w:tbl>
    <w:p w:rsidR="00B37514" w:rsidRPr="00B37514" w:rsidRDefault="00B37514">
      <w:pPr>
        <w:pStyle w:val="Normaltindrag"/>
      </w:pPr>
    </w:p>
    <w:sectPr w:rsidR="00000000" w:rsidRPr="00B375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514" w:rsidRPr="00B37514" w:rsidRDefault="00B37514">
      <w:r w:rsidRPr="00B37514">
        <w:separator/>
      </w:r>
    </w:p>
  </w:endnote>
  <w:endnote w:type="continuationSeparator" w:id="0">
    <w:p w:rsidR="00B37514" w:rsidRPr="00B37514" w:rsidRDefault="00B37514">
      <w:r w:rsidRPr="00B375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514" w:rsidRPr="00B37514" w:rsidRDefault="00B37514">
    <w:pPr>
      <w:pStyle w:val="Sidfot"/>
    </w:pPr>
    <w:r w:rsidRPr="00B375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776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14" w:rsidRDefault="00B375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514" w:rsidRDefault="00B375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514" w:rsidRPr="00B37514" w:rsidRDefault="00B37514">
    <w:pPr>
      <w:pStyle w:val="Sidfot"/>
    </w:pPr>
    <w:r w:rsidRPr="00B375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57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14" w:rsidRDefault="00B375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514" w:rsidRDefault="00B375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514" w:rsidRPr="00B37514" w:rsidRDefault="00B37514">
    <w:pPr>
      <w:pStyle w:val="Sidfot"/>
    </w:pPr>
    <w:r w:rsidRPr="00B375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56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14" w:rsidRDefault="00B37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514" w:rsidRDefault="00B37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514" w:rsidRPr="00B37514" w:rsidRDefault="00B37514">
      <w:r w:rsidRPr="00B37514">
        <w:separator/>
      </w:r>
    </w:p>
  </w:footnote>
  <w:footnote w:type="continuationSeparator" w:id="0">
    <w:p w:rsidR="00B37514" w:rsidRPr="00B37514" w:rsidRDefault="00B37514">
      <w:r w:rsidRPr="00B375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514" w:rsidRPr="00B37514" w:rsidRDefault="00B37514">
    <w:pPr>
      <w:pStyle w:val="Sidhuvud"/>
    </w:pPr>
    <w:r w:rsidRPr="00B375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379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14" w:rsidRDefault="00B375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514" w:rsidRDefault="00B375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514" w:rsidRPr="00B37514" w:rsidRDefault="00B37514">
    <w:pPr>
      <w:pStyle w:val="Sidhuvud"/>
    </w:pPr>
    <w:r w:rsidRPr="00B375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572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514" w:rsidRDefault="00B375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514" w:rsidRDefault="00B375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514" w:rsidRPr="00B37514" w:rsidRDefault="00B37514">
    <w:pPr>
      <w:pStyle w:val="FSHNormal"/>
      <w:tabs>
        <w:tab w:val="right" w:pos="5840"/>
      </w:tabs>
    </w:pPr>
    <w:r w:rsidRPr="00B37514">
      <w:br/>
    </w:r>
    <w:r w:rsidRPr="00B37514">
      <w:fldChar w:fldCharType="begin" w:fldLock="1"/>
    </w:r>
    <w:r w:rsidRPr="00B37514">
      <w:instrText xml:space="preserve"> DOCPROPERTY</w:instrText>
    </w:r>
    <w:r w:rsidRPr="00B37514">
      <w:rPr>
        <w:sz w:val="18"/>
      </w:rPr>
      <w:instrText xml:space="preserve"> "YearUser" *\charformat </w:instrText>
    </w:r>
    <w:r w:rsidRPr="00B37514">
      <w:fldChar w:fldCharType="separate"/>
    </w:r>
    <w:r w:rsidRPr="00B37514">
      <w:t>2010/11</w:t>
    </w:r>
    <w:r w:rsidRPr="00B37514">
      <w:fldChar w:fldCharType="end"/>
    </w:r>
    <w:r w:rsidRPr="00B37514">
      <w:t xml:space="preserve"> </w:t>
    </w:r>
    <w:r w:rsidRPr="00B37514">
      <w:tab/>
      <w:t xml:space="preserve">mnr: </w:t>
    </w:r>
    <w:r w:rsidRPr="00B37514">
      <w:fldChar w:fldCharType="begin" w:fldLock="1"/>
    </w:r>
    <w:r w:rsidRPr="00B37514">
      <w:instrText xml:space="preserve"> DOCPROPERTY</w:instrText>
    </w:r>
    <w:r w:rsidRPr="00B37514">
      <w:rPr>
        <w:sz w:val="18"/>
      </w:rPr>
      <w:instrText xml:space="preserve"> "Motionsnummer" *\charformat </w:instrText>
    </w:r>
    <w:r w:rsidRPr="00B37514">
      <w:fldChar w:fldCharType="separate"/>
    </w:r>
    <w:r w:rsidRPr="00B37514">
      <w:t>Ju376</w:t>
    </w:r>
    <w:r w:rsidRPr="00B37514">
      <w:fldChar w:fldCharType="end"/>
    </w:r>
    <w:r w:rsidRPr="00B37514">
      <w:br/>
    </w:r>
    <w:r w:rsidRPr="00B37514">
      <w:fldChar w:fldCharType="begin" w:fldLock="1"/>
    </w:r>
    <w:r w:rsidRPr="00B37514">
      <w:instrText xml:space="preserve"> DOCPROPERTY</w:instrText>
    </w:r>
    <w:r w:rsidRPr="00B37514">
      <w:rPr>
        <w:sz w:val="18"/>
      </w:rPr>
      <w:instrText xml:space="preserve"> "Samling" *\charformat </w:instrText>
    </w:r>
    <w:r w:rsidRPr="00B37514">
      <w:fldChar w:fldCharType="end"/>
    </w:r>
    <w:r w:rsidRPr="00B37514">
      <w:tab/>
      <w:t xml:space="preserve">pnr: </w:t>
    </w:r>
    <w:r w:rsidRPr="00B37514">
      <w:fldChar w:fldCharType="begin" w:fldLock="1"/>
    </w:r>
    <w:r w:rsidRPr="00B37514">
      <w:instrText xml:space="preserve"> DOCPROPERTY</w:instrText>
    </w:r>
    <w:r w:rsidRPr="00B37514">
      <w:rPr>
        <w:sz w:val="18"/>
      </w:rPr>
      <w:instrText xml:space="preserve"> "Partinummer" *\charformat </w:instrText>
    </w:r>
    <w:r w:rsidRPr="00B37514">
      <w:fldChar w:fldCharType="separate"/>
    </w:r>
    <w:r w:rsidRPr="00B37514">
      <w:t>KD831</w:t>
    </w:r>
    <w:r w:rsidRPr="00B37514">
      <w:fldChar w:fldCharType="end"/>
    </w:r>
  </w:p>
  <w:p w:rsidR="00B37514" w:rsidRPr="00B37514" w:rsidRDefault="00B37514">
    <w:pPr>
      <w:pStyle w:val="FSHRub1"/>
    </w:pPr>
    <w:r w:rsidRPr="00B37514">
      <w:t>Motion till riksdagen</w:t>
    </w:r>
    <w:r w:rsidRPr="00B37514">
      <w:br/>
    </w:r>
    <w:r w:rsidRPr="00B37514">
      <w:fldChar w:fldCharType="begin" w:fldLock="1"/>
    </w:r>
    <w:r w:rsidRPr="00B37514">
      <w:instrText xml:space="preserve"> DOCPROPERTY "YearUser" *\charformat </w:instrText>
    </w:r>
    <w:r w:rsidRPr="00B37514">
      <w:fldChar w:fldCharType="separate"/>
    </w:r>
    <w:r w:rsidRPr="00B37514">
      <w:t>2010/11</w:t>
    </w:r>
    <w:r w:rsidRPr="00B37514">
      <w:fldChar w:fldCharType="end"/>
    </w:r>
    <w:r w:rsidRPr="00B37514">
      <w:t>:</w:t>
    </w:r>
    <w:r w:rsidRPr="00B37514">
      <w:fldChar w:fldCharType="begin" w:fldLock="1"/>
    </w:r>
    <w:r w:rsidRPr="00B37514">
      <w:instrText xml:space="preserve"> DOCPROPERTY "Motionsnummer" *\charformat </w:instrText>
    </w:r>
    <w:r w:rsidRPr="00B37514">
      <w:fldChar w:fldCharType="separate"/>
    </w:r>
    <w:r w:rsidRPr="00B37514">
      <w:t>Ju376</w:t>
    </w:r>
    <w:r w:rsidRPr="00B37514">
      <w:fldChar w:fldCharType="end"/>
    </w:r>
  </w:p>
  <w:p w:rsidR="00B37514" w:rsidRPr="00B37514" w:rsidRDefault="00B37514">
    <w:pPr>
      <w:pStyle w:val="FSHNormalS5"/>
    </w:pPr>
    <w:r w:rsidRPr="00B37514">
      <w:fldChar w:fldCharType="begin" w:fldLock="1"/>
    </w:r>
    <w:r w:rsidRPr="00B37514">
      <w:instrText xml:space="preserve"> DOCPROPERTY "MotionarText" *\charformat </w:instrText>
    </w:r>
    <w:r w:rsidRPr="00B37514">
      <w:fldChar w:fldCharType="separate"/>
    </w:r>
    <w:r w:rsidRPr="00B37514">
      <w:t>av Otto von Arnold (KD)</w:t>
    </w:r>
    <w:r w:rsidRPr="00B37514">
      <w:fldChar w:fldCharType="end"/>
    </w:r>
    <w:r w:rsidRPr="00B37514">
      <w:br/>
    </w:r>
    <w:r w:rsidRPr="00B37514">
      <w:fldChar w:fldCharType="begin" w:fldLock="1"/>
    </w:r>
    <w:r w:rsidRPr="00B37514">
      <w:instrText xml:space="preserve"> DOCPROPERTY "SvarFrasKort" *\charformat </w:instrText>
    </w:r>
    <w:r w:rsidRPr="00B37514">
      <w:fldChar w:fldCharType="end"/>
    </w:r>
  </w:p>
  <w:p w:rsidR="00B37514" w:rsidRPr="00B37514" w:rsidRDefault="00B37514">
    <w:pPr>
      <w:pStyle w:val="FSHTitel"/>
    </w:pPr>
    <w:r w:rsidRPr="00B37514">
      <w:fldChar w:fldCharType="begin" w:fldLock="1"/>
    </w:r>
    <w:r w:rsidRPr="00B37514">
      <w:instrText xml:space="preserve"> DOCPROPERTY</w:instrText>
    </w:r>
    <w:r w:rsidRPr="00B37514">
      <w:rPr>
        <w:sz w:val="18"/>
      </w:rPr>
      <w:instrText xml:space="preserve"> "RubrikSvar" *\charformat </w:instrText>
    </w:r>
    <w:r w:rsidRPr="00B37514">
      <w:fldChar w:fldCharType="separate"/>
    </w:r>
    <w:r w:rsidRPr="00B37514">
      <w:t>Resningskommission</w:t>
    </w:r>
    <w:r w:rsidRPr="00B37514">
      <w:fldChar w:fldCharType="end"/>
    </w:r>
  </w:p>
  <w:p w:rsidR="00B37514" w:rsidRPr="00B37514" w:rsidRDefault="00B37514">
    <w:pPr>
      <w:pStyle w:val="Normal00"/>
    </w:pPr>
  </w:p>
  <w:p w:rsidR="00B37514" w:rsidRPr="00B37514" w:rsidRDefault="00B37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8A3B38"/>
    <w:multiLevelType w:val="hybridMultilevel"/>
    <w:tmpl w:val="A87E6CDE"/>
    <w:lvl w:ilvl="0" w:tplc="409609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3277422">
    <w:abstractNumId w:val="3"/>
  </w:num>
  <w:num w:numId="2" w16cid:durableId="325716192">
    <w:abstractNumId w:val="2"/>
  </w:num>
  <w:num w:numId="3" w16cid:durableId="645016934">
    <w:abstractNumId w:val="1"/>
  </w:num>
  <w:num w:numId="4" w16cid:durableId="1739328113">
    <w:abstractNumId w:val="0"/>
  </w:num>
  <w:num w:numId="5" w16cid:durableId="1403790755">
    <w:abstractNumId w:val="7"/>
  </w:num>
  <w:num w:numId="6" w16cid:durableId="592317987">
    <w:abstractNumId w:val="6"/>
  </w:num>
  <w:num w:numId="7" w16cid:durableId="240913266">
    <w:abstractNumId w:val="5"/>
  </w:num>
  <w:num w:numId="8" w16cid:durableId="1104497949">
    <w:abstractNumId w:val="4"/>
  </w:num>
  <w:num w:numId="9" w16cid:durableId="628316521">
    <w:abstractNumId w:val="8"/>
  </w:num>
  <w:num w:numId="10" w16cid:durableId="1792284023">
    <w:abstractNumId w:val="9"/>
  </w:num>
  <w:num w:numId="11" w16cid:durableId="654457016">
    <w:abstractNumId w:val="10"/>
  </w:num>
  <w:num w:numId="12" w16cid:durableId="1012606149">
    <w:abstractNumId w:val="13"/>
  </w:num>
  <w:num w:numId="13" w16cid:durableId="1421175294">
    <w:abstractNumId w:val="16"/>
  </w:num>
  <w:num w:numId="14" w16cid:durableId="241529855">
    <w:abstractNumId w:val="17"/>
  </w:num>
  <w:num w:numId="15" w16cid:durableId="1602180728">
    <w:abstractNumId w:val="11"/>
  </w:num>
  <w:num w:numId="16" w16cid:durableId="1950165933">
    <w:abstractNumId w:val="19"/>
  </w:num>
  <w:num w:numId="17" w16cid:durableId="1378091735">
    <w:abstractNumId w:val="18"/>
  </w:num>
  <w:num w:numId="18" w16cid:durableId="570309999">
    <w:abstractNumId w:val="15"/>
  </w:num>
  <w:num w:numId="19" w16cid:durableId="344945215">
    <w:abstractNumId w:val="12"/>
  </w:num>
  <w:num w:numId="20" w16cid:durableId="1034228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F38496E9-16DA-4B94-BCE4-4B841E9D6948}"/>
  </w:docVars>
  <w:rsids>
    <w:rsidRoot w:val="007351B1"/>
    <w:rsid w:val="007351B1"/>
    <w:rsid w:val="00B375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448AED7-7D94-4DC7-9B46-281D65C1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2287</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kd831</vt:lpstr>
    </vt:vector>
  </TitlesOfParts>
  <Company>Riksdagen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kd831</dc:title>
  <dc:subject>kd831</dc:subject>
  <dc:creator>Riksdagen</dc:creator>
  <cp:keywords>Riksdagen</cp:keywords>
  <dc:description>Versal/gemen i partibeteckning. Gemen i tryck för 0910, versal för 1011 och nyare</dc:description>
  <cp:lastModifiedBy>Lars Brink</cp:lastModifiedBy>
  <cp:revision>2</cp:revision>
  <cp:lastPrinted>2010-12-21T13:46:00Z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Resningskommission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Resningskommission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20102011000001070100000008310069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20102011000001070100000008310069</vt:lpwstr>
  </property>
  <property fmtid="{D5CDD505-2E9C-101B-9397-08002B2CF9AE}" pid="50" name="nummer">
    <vt:lpwstr>376</vt:lpwstr>
  </property>
  <property fmtid="{D5CDD505-2E9C-101B-9397-08002B2CF9AE}" pid="51" name="utskottsbeteckning">
    <vt:lpwstr>Ju</vt:lpwstr>
  </property>
  <property fmtid="{D5CDD505-2E9C-101B-9397-08002B2CF9AE}" pid="52" name="GlobalUID">
    <vt:lpwstr>{6DC52A1E-B78A-46E8-B9C5-163E702D3C2E}</vt:lpwstr>
  </property>
  <property fmtid="{D5CDD505-2E9C-101B-9397-08002B2CF9AE}" pid="53" name="Överföringar">
    <vt:i4>0</vt:i4>
  </property>
  <property fmtid="{D5CDD505-2E9C-101B-9397-08002B2CF9AE}" pid="54" name="Checksum">
    <vt:lpwstr>*0002651460134*</vt:lpwstr>
  </property>
  <property fmtid="{D5CDD505-2E9C-101B-9397-08002B2CF9AE}" pid="55" name="skuggnummer">
    <vt:lpwstr>2569</vt:lpwstr>
  </property>
  <property fmtid="{D5CDD505-2E9C-101B-9397-08002B2CF9AE}" pid="56" name="urixVersion">
    <vt:lpwstr>4.3.2.0</vt:lpwstr>
  </property>
  <property fmtid="{D5CDD505-2E9C-101B-9397-08002B2CF9AE}" pid="57" name="urixOrigin">
    <vt:lpwstr>110113 09:02:00.857</vt:lpwstr>
  </property>
  <property fmtid="{D5CDD505-2E9C-101B-9397-08002B2CF9AE}" pid="58" name="urixGuid">
    <vt:lpwstr>{4786F994-816B-4C89-9484-3E9B4ABF7540}</vt:lpwstr>
  </property>
</Properties>
</file>