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36A49F" w14:textId="77777777">
      <w:pPr>
        <w:pStyle w:val="Normalutanindragellerluft"/>
      </w:pPr>
      <w:bookmarkStart w:name="_Toc106800475" w:id="0"/>
      <w:bookmarkStart w:name="_Toc106801300" w:id="1"/>
    </w:p>
    <w:p w:rsidRPr="009B062B" w:rsidR="00AF30DD" w:rsidP="000D1408" w:rsidRDefault="007979CD" w14:paraId="4E56462C" w14:textId="77777777">
      <w:pPr>
        <w:pStyle w:val="RubrikFrslagTIllRiksdagsbeslut"/>
      </w:pPr>
      <w:sdt>
        <w:sdtPr>
          <w:alias w:val="CC_Boilerplate_4"/>
          <w:tag w:val="CC_Boilerplate_4"/>
          <w:id w:val="-1644581176"/>
          <w:lock w:val="sdtContentLocked"/>
          <w:placeholder>
            <w:docPart w:val="E71B726E4D0B4F0BA5FFA010D03114D4"/>
          </w:placeholder>
          <w:text/>
        </w:sdtPr>
        <w:sdtEndPr/>
        <w:sdtContent>
          <w:r w:rsidRPr="009B062B" w:rsidR="00AF30DD">
            <w:t>Förslag till riksdagsbeslut</w:t>
          </w:r>
        </w:sdtContent>
      </w:sdt>
      <w:bookmarkEnd w:id="0"/>
      <w:bookmarkEnd w:id="1"/>
    </w:p>
    <w:sdt>
      <w:sdtPr>
        <w:alias w:val="Yrkande 1"/>
        <w:tag w:val="49bb4b44-5d98-4027-9d50-7f6ba5546760"/>
        <w:id w:val="1830707757"/>
        <w:lock w:val="sdtLocked"/>
      </w:sdtPr>
      <w:sdtEndPr/>
      <w:sdtContent>
        <w:p w:rsidR="00E25D72" w:rsidRDefault="007979CD" w14:paraId="2C28DC11" w14:textId="77777777">
          <w:pPr>
            <w:pStyle w:val="Frslagstext"/>
            <w:numPr>
              <w:ilvl w:val="0"/>
              <w:numId w:val="0"/>
            </w:numPr>
          </w:pPr>
          <w:r>
            <w:t>Riksdagen ställer sig bakom det som anförs i motionen om att överväga att utreda förutsättningarna för att säkerställa att försäkringstagare får en opartisk och rättssäker medicinsk bedömning i personskadeärenden,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1D7840F92D4EF6BC665814C5F6431A"/>
        </w:placeholder>
        <w:text/>
      </w:sdtPr>
      <w:sdtEndPr/>
      <w:sdtContent>
        <w:p w:rsidRPr="009B062B" w:rsidR="006D79C9" w:rsidP="00333E95" w:rsidRDefault="006D79C9" w14:paraId="40A9FC1E" w14:textId="77777777">
          <w:pPr>
            <w:pStyle w:val="Rubrik1"/>
          </w:pPr>
          <w:r>
            <w:t>Motivering</w:t>
          </w:r>
        </w:p>
      </w:sdtContent>
    </w:sdt>
    <w:bookmarkEnd w:displacedByCustomXml="prev" w:id="3"/>
    <w:bookmarkEnd w:displacedByCustomXml="prev" w:id="4"/>
    <w:p w:rsidRPr="002D5F7E" w:rsidR="002D5F7E" w:rsidP="00EF7D8B" w:rsidRDefault="002D5F7E" w14:paraId="57F7DD25" w14:textId="10588CC9">
      <w:pPr>
        <w:ind w:firstLine="0"/>
        <w:rPr>
          <w:rFonts w:eastAsia="Times New Roman"/>
          <w:lang w:eastAsia="sv-SE"/>
        </w:rPr>
      </w:pPr>
      <w:r w:rsidRPr="002D5F7E">
        <w:rPr>
          <w:rFonts w:eastAsia="Times New Roman"/>
          <w:lang w:eastAsia="sv-SE"/>
        </w:rPr>
        <w:t>Försäkringssystemet bygger på förtroende. När en försäkringstagare råkar ut för en skada är det avgörande att den medicinska bedömningen som ligger till grund för beslut om ersättning upplevs som objektiv och rättvis. Tyvärr finns det i dag välgrundade skäl att ifrågasätta detta.</w:t>
      </w:r>
    </w:p>
    <w:p w:rsidRPr="002D5F7E" w:rsidR="002D5F7E" w:rsidP="00510BA5" w:rsidRDefault="002D5F7E" w14:paraId="5AEBBDB7"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I personskadeärenden anlitar försäkringsbolagen medicinska rådgivare, antingen direkt eller via externa företag. Även när dessa rådgivare är formellt fristående, är det försäkringsbolagen som betalar deras arvoden. Detta skapar en beroendeställning som gör att bedömningarnas opartiskhet kan ifrågasättas.</w:t>
      </w:r>
    </w:p>
    <w:p w:rsidRPr="002D5F7E" w:rsidR="002D5F7E" w:rsidP="00510BA5" w:rsidRDefault="002D5F7E" w14:paraId="20D9F730"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 xml:space="preserve">Försäkringsbranschen själv har pekat på att externa aktörer används för att höja trovärdigheten. Men eftersom även dessa arvoderas av försäkringsbolagen kvarstår samma grundproblem: den enskilde försäkringstagaren kan uppleva att läkarens lojalitet </w:t>
      </w:r>
      <w:r w:rsidRPr="002D5F7E">
        <w:rPr>
          <w:rFonts w:ascii="Times New Roman" w:hAnsi="Times New Roman" w:eastAsia="Times New Roman" w:cs="Times New Roman"/>
          <w:lang w:eastAsia="sv-SE"/>
        </w:rPr>
        <w:lastRenderedPageBreak/>
        <w:t>riskerar att påverkas av vem som står för ersättningen. Flera rättsfall och konsumentärenden har visat på bristande förtroende för dessa utlåtanden.</w:t>
      </w:r>
    </w:p>
    <w:p w:rsidRPr="002D5F7E" w:rsidR="002D5F7E" w:rsidP="00510BA5" w:rsidRDefault="002D5F7E" w14:paraId="64ECC0E1" w14:textId="418887F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 xml:space="preserve">Regeringen har tidigare avstått från att införa tillsyn eller särskilda regler för medicinska rådgivare. I stället har </w:t>
      </w:r>
      <w:r w:rsidR="00EF7D8B">
        <w:rPr>
          <w:rFonts w:ascii="Times New Roman" w:hAnsi="Times New Roman" w:eastAsia="Times New Roman" w:cs="Times New Roman"/>
          <w:lang w:eastAsia="sv-SE"/>
        </w:rPr>
        <w:t xml:space="preserve">det </w:t>
      </w:r>
      <w:r w:rsidRPr="002D5F7E">
        <w:rPr>
          <w:rFonts w:ascii="Times New Roman" w:hAnsi="Times New Roman" w:eastAsia="Times New Roman" w:cs="Times New Roman"/>
          <w:lang w:eastAsia="sv-SE"/>
        </w:rPr>
        <w:t>hänvisats till branschens egna åtgärder, såsom omprövningsmöjligheter och utbildning. Dessa är dock inte tillräckliga för att lösa det grundläggande problemet – att medicinska utlåtanden i personskadeärenden inte uppfattas som tillräckligt oberoende.</w:t>
      </w:r>
    </w:p>
    <w:p w:rsidRPr="002D5F7E" w:rsidR="002D5F7E" w:rsidP="00510BA5" w:rsidRDefault="002D5F7E" w14:paraId="69B06CC6" w14:textId="2DD4DE88">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Systemet fungerar i många fall bra, men det kvarstår allvarliga risker för bristande objektivitet. Försäkringstagaren måste kunna lita på att den medicinska bedömningen inte färgas av försäkringsbolagets ekonomiska intressen. Därför bör regeringen utreda modeller för att säkerställa en mer oberoende ordning, exempelvis genom att</w:t>
      </w:r>
    </w:p>
    <w:p w:rsidRPr="00510BA5" w:rsidR="002D5F7E" w:rsidP="00510BA5" w:rsidRDefault="00EF7D8B" w14:paraId="3049DD7E" w14:textId="5F6BDB48">
      <w:pPr>
        <w:pStyle w:val="Liststycke"/>
        <w:numPr>
          <w:ilvl w:val="0"/>
          <w:numId w:val="43"/>
        </w:numPr>
        <w:rPr>
          <w:rFonts w:ascii="Times New Roman" w:hAnsi="Times New Roman" w:eastAsia="Times New Roman" w:cs="Times New Roman"/>
          <w:lang w:eastAsia="sv-SE"/>
        </w:rPr>
      </w:pPr>
      <w:r>
        <w:rPr>
          <w:rFonts w:ascii="Times New Roman" w:hAnsi="Times New Roman" w:eastAsia="Times New Roman" w:cs="Times New Roman"/>
          <w:lang w:eastAsia="sv-SE"/>
        </w:rPr>
        <w:t>i</w:t>
      </w:r>
      <w:r w:rsidRPr="00510BA5" w:rsidR="002D5F7E">
        <w:rPr>
          <w:rFonts w:ascii="Times New Roman" w:hAnsi="Times New Roman" w:eastAsia="Times New Roman" w:cs="Times New Roman"/>
          <w:lang w:eastAsia="sv-SE"/>
        </w:rPr>
        <w:t>nrätta en särskild nationell instans för medicinska utlåtanden i försäkringsärenden</w:t>
      </w:r>
    </w:p>
    <w:p w:rsidRPr="00510BA5" w:rsidR="002D5F7E" w:rsidP="00510BA5" w:rsidRDefault="00EF7D8B" w14:paraId="1CC30464" w14:textId="6191C9CE">
      <w:pPr>
        <w:pStyle w:val="Liststycke"/>
        <w:numPr>
          <w:ilvl w:val="0"/>
          <w:numId w:val="43"/>
        </w:numPr>
        <w:rPr>
          <w:rFonts w:ascii="Times New Roman" w:hAnsi="Times New Roman" w:eastAsia="Times New Roman" w:cs="Times New Roman"/>
          <w:lang w:eastAsia="sv-SE"/>
        </w:rPr>
      </w:pPr>
      <w:r>
        <w:rPr>
          <w:rFonts w:ascii="Times New Roman" w:hAnsi="Times New Roman" w:eastAsia="Times New Roman" w:cs="Times New Roman"/>
          <w:lang w:eastAsia="sv-SE"/>
        </w:rPr>
        <w:t>l</w:t>
      </w:r>
      <w:r w:rsidRPr="00510BA5" w:rsidR="002D5F7E">
        <w:rPr>
          <w:rFonts w:ascii="Times New Roman" w:hAnsi="Times New Roman" w:eastAsia="Times New Roman" w:cs="Times New Roman"/>
          <w:lang w:eastAsia="sv-SE"/>
        </w:rPr>
        <w:t>åta Socialstyrelsen eller annan myndighet ansvara för förteckning och tillsyn av medicinska rådgivare</w:t>
      </w:r>
    </w:p>
    <w:p w:rsidRPr="00510BA5" w:rsidR="00510BA5" w:rsidP="00510BA5" w:rsidRDefault="00EF7D8B" w14:paraId="4B5840DA" w14:textId="21E38C43">
      <w:pPr>
        <w:pStyle w:val="Liststycke"/>
        <w:numPr>
          <w:ilvl w:val="0"/>
          <w:numId w:val="43"/>
        </w:numPr>
        <w:rPr>
          <w:rFonts w:ascii="Times New Roman" w:hAnsi="Times New Roman" w:eastAsia="Times New Roman" w:cs="Times New Roman"/>
          <w:lang w:eastAsia="sv-SE"/>
        </w:rPr>
      </w:pPr>
      <w:r>
        <w:rPr>
          <w:rFonts w:ascii="Times New Roman" w:hAnsi="Times New Roman" w:eastAsia="Times New Roman" w:cs="Times New Roman"/>
          <w:lang w:eastAsia="sv-SE"/>
        </w:rPr>
        <w:t>s</w:t>
      </w:r>
      <w:r w:rsidRPr="00510BA5" w:rsidR="002D5F7E">
        <w:rPr>
          <w:rFonts w:ascii="Times New Roman" w:hAnsi="Times New Roman" w:eastAsia="Times New Roman" w:cs="Times New Roman"/>
          <w:lang w:eastAsia="sv-SE"/>
        </w:rPr>
        <w:t>äkerställa att arvoden för medicinska utlåtanden inte betalas direkt av försäkringsbolagen, utan via en neutral fond eller motsvarande system</w:t>
      </w:r>
      <w:r w:rsidRPr="00510BA5" w:rsidR="00510BA5">
        <w:rPr>
          <w:rFonts w:ascii="Times New Roman" w:hAnsi="Times New Roman" w:eastAsia="Times New Roman" w:cs="Times New Roman"/>
          <w:lang w:eastAsia="sv-SE"/>
        </w:rPr>
        <w:t xml:space="preserve"> </w:t>
      </w:r>
    </w:p>
    <w:p w:rsidRPr="00510BA5" w:rsidR="002D5F7E" w:rsidP="00510BA5" w:rsidRDefault="00510BA5" w14:paraId="008C2D19" w14:textId="0D2A7B07">
      <w:pPr>
        <w:pStyle w:val="Liststycke"/>
        <w:numPr>
          <w:ilvl w:val="0"/>
          <w:numId w:val="43"/>
        </w:numPr>
        <w:rPr>
          <w:rFonts w:ascii="Times New Roman" w:hAnsi="Times New Roman" w:eastAsia="Times New Roman" w:cs="Times New Roman"/>
          <w:lang w:eastAsia="sv-SE"/>
        </w:rPr>
      </w:pPr>
      <w:r w:rsidRPr="00510BA5">
        <w:rPr>
          <w:rFonts w:ascii="Times New Roman" w:hAnsi="Times New Roman" w:eastAsia="Times New Roman" w:cs="Times New Roman"/>
          <w:lang w:eastAsia="sv-SE"/>
        </w:rPr>
        <w:t xml:space="preserve">medel till fonden eller motsvarande system ställs av försäkringsbolagen. </w:t>
      </w:r>
    </w:p>
    <w:p w:rsidR="005A1E8F" w:rsidP="00EF7D8B" w:rsidRDefault="002D5F7E" w14:paraId="5939A0D3" w14:textId="59D8973B">
      <w:pPr>
        <w:ind w:firstLine="0"/>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Genom en sådan reform kan förtroendet för försäkringssystemet stärkas, samtidigt som försäkringstagaren ges en rättvis och opartisk prövning.</w:t>
      </w:r>
      <w:r w:rsidR="00510BA5">
        <w:rPr>
          <w:rFonts w:ascii="Times New Roman" w:hAnsi="Times New Roman" w:eastAsia="Times New Roman" w:cs="Times New Roman"/>
          <w:lang w:eastAsia="sv-SE"/>
        </w:rPr>
        <w:t xml:space="preserve"> </w:t>
      </w:r>
      <w:r w:rsidRPr="002D5F7E">
        <w:rPr>
          <w:rFonts w:ascii="Times New Roman" w:hAnsi="Times New Roman" w:eastAsia="Times New Roman" w:cs="Times New Roman"/>
          <w:lang w:eastAsia="sv-SE"/>
        </w:rPr>
        <w:t>Försäkringsbolagen har ett legitimt behov av medicinsk expertis, men systemet måste utformas så att det upplevs rättssäkert och neutralt. Att försäkringstagare får tillgång till oberoende medicinska bedömningar är avgörande både för den enskildes trygghet och för förtroendet för hela försäkringsbranschen.</w:t>
      </w:r>
      <w:r>
        <w:rPr>
          <w:rFonts w:ascii="Times New Roman" w:hAnsi="Times New Roman" w:eastAsia="Times New Roman" w:cs="Times New Roman"/>
          <w:lang w:eastAsia="sv-SE"/>
        </w:rPr>
        <w:t xml:space="preserve"> Jag har tidigare motionerat i frågan 2023/24.</w:t>
      </w:r>
    </w:p>
    <w:sdt>
      <w:sdtPr>
        <w:rPr>
          <w:i/>
          <w:noProof/>
        </w:rPr>
        <w:alias w:val="CC_Underskrifter"/>
        <w:tag w:val="CC_Underskrifter"/>
        <w:id w:val="583496634"/>
        <w:lock w:val="sdtContentLocked"/>
        <w:placeholder>
          <w:docPart w:val="706316FE878E433BA4493DDEE7BFAC75"/>
        </w:placeholder>
      </w:sdtPr>
      <w:sdtEndPr/>
      <w:sdtContent>
        <w:p w:rsidR="000D1408" w:rsidP="000D1408" w:rsidRDefault="000D1408" w14:paraId="155D9970" w14:textId="77777777"/>
        <w:p w:rsidR="000D1408" w:rsidP="000D1408" w:rsidRDefault="007979CD" w14:paraId="45E4ADA7" w14:textId="57A1F818"/>
      </w:sdtContent>
    </w:sdt>
    <w:tbl>
      <w:tblPr>
        <w:tblW w:w="5000" w:type="pct"/>
        <w:tblLook w:val="04A0" w:firstRow="1" w:lastRow="0" w:firstColumn="1" w:lastColumn="0" w:noHBand="0" w:noVBand="1"/>
        <w:tblCaption w:val="underskrifter"/>
      </w:tblPr>
      <w:tblGrid>
        <w:gridCol w:w="4252"/>
        <w:gridCol w:w="4252"/>
      </w:tblGrid>
      <w:tr w:rsidR="00E25D72" w14:paraId="64B0FBA3" w14:textId="77777777">
        <w:trPr>
          <w:cantSplit/>
        </w:trPr>
        <w:tc>
          <w:tcPr>
            <w:tcW w:w="50" w:type="pct"/>
            <w:vAlign w:val="bottom"/>
          </w:tcPr>
          <w:p w:rsidR="00E25D72" w:rsidRDefault="007979CD" w14:paraId="52FBD372" w14:textId="77777777">
            <w:pPr>
              <w:pStyle w:val="Underskrifter"/>
              <w:spacing w:after="0"/>
            </w:pPr>
            <w:r>
              <w:t>Marléne Lund Kopparklint (M)</w:t>
            </w:r>
          </w:p>
        </w:tc>
        <w:tc>
          <w:tcPr>
            <w:tcW w:w="50" w:type="pct"/>
            <w:vAlign w:val="bottom"/>
          </w:tcPr>
          <w:p w:rsidR="00E25D72" w:rsidRDefault="00E25D72" w14:paraId="21EB8DF0" w14:textId="77777777">
            <w:pPr>
              <w:pStyle w:val="Underskrifter"/>
              <w:spacing w:after="0"/>
            </w:pPr>
          </w:p>
        </w:tc>
      </w:tr>
    </w:tbl>
    <w:p w:rsidRPr="008E0FE2" w:rsidR="004801AC" w:rsidP="00DF3554" w:rsidRDefault="004801AC" w14:paraId="088059B6" w14:textId="70E6AE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2C9C" w14:textId="77777777" w:rsidR="007979CD" w:rsidRDefault="007979CD" w:rsidP="000C1CAD">
      <w:pPr>
        <w:spacing w:line="240" w:lineRule="auto"/>
      </w:pPr>
      <w:r>
        <w:separator/>
      </w:r>
    </w:p>
  </w:endnote>
  <w:endnote w:type="continuationSeparator" w:id="0">
    <w:p w14:paraId="3E1DBA4C" w14:textId="77777777" w:rsidR="007979CD" w:rsidRDefault="00797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B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C4D2" w14:textId="14B3BD8B" w:rsidR="00262EA3" w:rsidRPr="000D1408" w:rsidRDefault="00262EA3" w:rsidP="000D1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3564" w14:textId="77777777" w:rsidR="007979CD" w:rsidRDefault="007979CD" w:rsidP="000C1CAD">
      <w:pPr>
        <w:spacing w:line="240" w:lineRule="auto"/>
      </w:pPr>
      <w:r>
        <w:separator/>
      </w:r>
    </w:p>
  </w:footnote>
  <w:footnote w:type="continuationSeparator" w:id="0">
    <w:p w14:paraId="2D184FBD" w14:textId="77777777" w:rsidR="007979CD" w:rsidRDefault="007979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1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D1107" wp14:editId="6FF2E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9F0611" w14:textId="201F84B2" w:rsidR="00262EA3" w:rsidRDefault="007979CD" w:rsidP="008103B5">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2D1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408" w14:paraId="009F0611" w14:textId="201F84B2">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v:textbox>
              <w10:wrap anchorx="page"/>
            </v:shape>
          </w:pict>
        </mc:Fallback>
      </mc:AlternateContent>
    </w:r>
  </w:p>
  <w:p w14:paraId="352CA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D35B" w14:textId="77777777" w:rsidR="00262EA3" w:rsidRDefault="00262EA3" w:rsidP="008563AC">
    <w:pPr>
      <w:jc w:val="right"/>
    </w:pPr>
  </w:p>
  <w:p w14:paraId="0C4A11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0303" w14:textId="77777777" w:rsidR="00262EA3" w:rsidRDefault="007979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592A974" wp14:editId="767BA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D6D72" w14:textId="497C7EA1" w:rsidR="00262EA3" w:rsidRDefault="007979CD" w:rsidP="00A314CF">
    <w:pPr>
      <w:pStyle w:val="FSHNormal"/>
      <w:spacing w:before="40"/>
    </w:pPr>
    <w:sdt>
      <w:sdtPr>
        <w:alias w:val="CC_Noformat_Motionstyp"/>
        <w:tag w:val="CC_Noformat_Motionstyp"/>
        <w:id w:val="1162973129"/>
        <w:lock w:val="sdtContentLocked"/>
        <w15:appearance w15:val="hidden"/>
        <w:text/>
      </w:sdtPr>
      <w:sdtEndPr/>
      <w:sdtContent>
        <w:r w:rsidR="000D1408">
          <w:t>Enskild motion</w:t>
        </w:r>
      </w:sdtContent>
    </w:sdt>
    <w:r w:rsidR="00821B36">
      <w:t xml:space="preserve"> </w:t>
    </w:r>
    <w:sdt>
      <w:sdtPr>
        <w:alias w:val="CC_Noformat_Partikod"/>
        <w:tag w:val="CC_Noformat_Partikod"/>
        <w:id w:val="1471015553"/>
        <w:lock w:val="contentLocked"/>
        <w:text/>
      </w:sdtPr>
      <w:sdtEndPr/>
      <w:sdtContent>
        <w:r w:rsidR="002D5F7E">
          <w:t>M</w:t>
        </w:r>
      </w:sdtContent>
    </w:sdt>
    <w:sdt>
      <w:sdtPr>
        <w:alias w:val="CC_Noformat_Partinummer"/>
        <w:tag w:val="CC_Noformat_Partinummer"/>
        <w:id w:val="-2014525982"/>
        <w:lock w:val="contentLocked"/>
        <w:text/>
      </w:sdtPr>
      <w:sdtEndPr/>
      <w:sdtContent>
        <w:r w:rsidR="005A1E8F">
          <w:t>1830</w:t>
        </w:r>
      </w:sdtContent>
    </w:sdt>
  </w:p>
  <w:p w14:paraId="171C8E2D" w14:textId="77777777" w:rsidR="00262EA3" w:rsidRPr="008227B3" w:rsidRDefault="007979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70D38" w14:textId="67786012" w:rsidR="00262EA3" w:rsidRPr="008227B3" w:rsidRDefault="007979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4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408">
          <w:t>:3337</w:t>
        </w:r>
      </w:sdtContent>
    </w:sdt>
  </w:p>
  <w:p w14:paraId="0112F204" w14:textId="6890A1F3" w:rsidR="00262EA3" w:rsidRDefault="007979CD" w:rsidP="00E03A3D">
    <w:pPr>
      <w:pStyle w:val="Motionr"/>
    </w:pPr>
    <w:sdt>
      <w:sdtPr>
        <w:alias w:val="CC_Noformat_Avtext"/>
        <w:tag w:val="CC_Noformat_Avtext"/>
        <w:id w:val="-2020768203"/>
        <w:lock w:val="sdtContentLocked"/>
        <w:placeholder>
          <w:docPart w:val="5DF2636CA6E94149B8233756DA914E38"/>
        </w:placeholder>
        <w15:appearance w15:val="hidden"/>
        <w:text/>
      </w:sdtPr>
      <w:sdtEndPr/>
      <w:sdtContent>
        <w:r w:rsidR="000D1408">
          <w:t>av Marléne Lund Kopparklint (M)</w:t>
        </w:r>
      </w:sdtContent>
    </w:sdt>
  </w:p>
  <w:sdt>
    <w:sdtPr>
      <w:alias w:val="CC_Noformat_Rubtext"/>
      <w:tag w:val="CC_Noformat_Rubtext"/>
      <w:id w:val="-218060500"/>
      <w:lock w:val="sdtLocked"/>
      <w:placeholder>
        <w:docPart w:val="812A466D5785469E979195EDB917C995"/>
      </w:placeholder>
      <w:text/>
    </w:sdtPr>
    <w:sdtEndPr/>
    <w:sdtContent>
      <w:p w14:paraId="4EDB40AB" w14:textId="21CF8F1D" w:rsidR="00262EA3" w:rsidRDefault="002D5F7E" w:rsidP="00283E0F">
        <w:pPr>
          <w:pStyle w:val="FSHRub2"/>
        </w:pPr>
        <w:r>
          <w:t>Opartiska medicinska bedömningar i personskadeärenden</w:t>
        </w:r>
      </w:p>
    </w:sdtContent>
  </w:sdt>
  <w:sdt>
    <w:sdtPr>
      <w:alias w:val="CC_Boilerplate_3"/>
      <w:tag w:val="CC_Boilerplate_3"/>
      <w:id w:val="1606463544"/>
      <w:lock w:val="sdtContentLocked"/>
      <w15:appearance w15:val="hidden"/>
      <w:text w:multiLine="1"/>
    </w:sdtPr>
    <w:sdtEndPr/>
    <w:sdtContent>
      <w:p w14:paraId="4C4CC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E1C84"/>
    <w:multiLevelType w:val="hybridMultilevel"/>
    <w:tmpl w:val="6C44F8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DF7FB9"/>
    <w:multiLevelType w:val="hybridMultilevel"/>
    <w:tmpl w:val="400A2B7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D9802E1"/>
    <w:multiLevelType w:val="multilevel"/>
    <w:tmpl w:val="3F6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538796">
    <w:abstractNumId w:val="9"/>
  </w:num>
  <w:num w:numId="2" w16cid:durableId="222066266">
    <w:abstractNumId w:val="8"/>
  </w:num>
  <w:num w:numId="3" w16cid:durableId="825630781">
    <w:abstractNumId w:val="17"/>
  </w:num>
  <w:num w:numId="4" w16cid:durableId="1133451298">
    <w:abstractNumId w:val="15"/>
  </w:num>
  <w:num w:numId="5" w16cid:durableId="1914780742">
    <w:abstractNumId w:val="18"/>
  </w:num>
  <w:num w:numId="6" w16cid:durableId="496042307">
    <w:abstractNumId w:val="20"/>
  </w:num>
  <w:num w:numId="7" w16cid:durableId="1929002480">
    <w:abstractNumId w:val="11"/>
  </w:num>
  <w:num w:numId="8" w16cid:durableId="1212614491">
    <w:abstractNumId w:val="12"/>
  </w:num>
  <w:num w:numId="9" w16cid:durableId="979304616">
    <w:abstractNumId w:val="16"/>
  </w:num>
  <w:num w:numId="10" w16cid:durableId="1953710043">
    <w:abstractNumId w:val="25"/>
  </w:num>
  <w:num w:numId="11" w16cid:durableId="924993344">
    <w:abstractNumId w:val="23"/>
  </w:num>
  <w:num w:numId="12" w16cid:durableId="1389110469">
    <w:abstractNumId w:val="23"/>
  </w:num>
  <w:num w:numId="13" w16cid:durableId="1987926291">
    <w:abstractNumId w:val="3"/>
  </w:num>
  <w:num w:numId="14" w16cid:durableId="1709840607">
    <w:abstractNumId w:val="2"/>
  </w:num>
  <w:num w:numId="15" w16cid:durableId="119105624">
    <w:abstractNumId w:val="1"/>
  </w:num>
  <w:num w:numId="16" w16cid:durableId="326054753">
    <w:abstractNumId w:val="0"/>
  </w:num>
  <w:num w:numId="17" w16cid:durableId="1170558774">
    <w:abstractNumId w:val="7"/>
  </w:num>
  <w:num w:numId="18" w16cid:durableId="485824656">
    <w:abstractNumId w:val="6"/>
  </w:num>
  <w:num w:numId="19" w16cid:durableId="1791630880">
    <w:abstractNumId w:val="5"/>
  </w:num>
  <w:num w:numId="20" w16cid:durableId="1658459986">
    <w:abstractNumId w:val="4"/>
  </w:num>
  <w:num w:numId="21" w16cid:durableId="1677880387">
    <w:abstractNumId w:val="23"/>
  </w:num>
  <w:num w:numId="22" w16cid:durableId="1648708125">
    <w:abstractNumId w:val="23"/>
  </w:num>
  <w:num w:numId="23" w16cid:durableId="831985644">
    <w:abstractNumId w:val="23"/>
  </w:num>
  <w:num w:numId="24" w16cid:durableId="1907063043">
    <w:abstractNumId w:val="23"/>
  </w:num>
  <w:num w:numId="25" w16cid:durableId="1061757325">
    <w:abstractNumId w:val="23"/>
  </w:num>
  <w:num w:numId="26" w16cid:durableId="1315067188">
    <w:abstractNumId w:val="25"/>
  </w:num>
  <w:num w:numId="27" w16cid:durableId="403722262">
    <w:abstractNumId w:val="25"/>
  </w:num>
  <w:num w:numId="28" w16cid:durableId="371805997">
    <w:abstractNumId w:val="25"/>
  </w:num>
  <w:num w:numId="29" w16cid:durableId="1248078403">
    <w:abstractNumId w:val="25"/>
  </w:num>
  <w:num w:numId="30" w16cid:durableId="1143279261">
    <w:abstractNumId w:val="23"/>
  </w:num>
  <w:num w:numId="31" w16cid:durableId="1227303407">
    <w:abstractNumId w:val="23"/>
  </w:num>
  <w:num w:numId="32" w16cid:durableId="1334451737">
    <w:abstractNumId w:val="25"/>
  </w:num>
  <w:num w:numId="33" w16cid:durableId="101848836">
    <w:abstractNumId w:val="23"/>
  </w:num>
  <w:num w:numId="34" w16cid:durableId="1517767109">
    <w:abstractNumId w:val="20"/>
  </w:num>
  <w:num w:numId="35" w16cid:durableId="2122264933">
    <w:abstractNumId w:val="20"/>
    <w:lvlOverride w:ilvl="0">
      <w:startOverride w:val="1"/>
    </w:lvlOverride>
  </w:num>
  <w:num w:numId="36" w16cid:durableId="480120075">
    <w:abstractNumId w:val="21"/>
  </w:num>
  <w:num w:numId="37" w16cid:durableId="1373504173">
    <w:abstractNumId w:val="20"/>
    <w:lvlOverride w:ilvl="0">
      <w:startOverride w:val="1"/>
    </w:lvlOverride>
  </w:num>
  <w:num w:numId="38" w16cid:durableId="1305744850">
    <w:abstractNumId w:val="13"/>
  </w:num>
  <w:num w:numId="39" w16cid:durableId="589847331">
    <w:abstractNumId w:val="10"/>
  </w:num>
  <w:num w:numId="40" w16cid:durableId="2063020130">
    <w:abstractNumId w:val="22"/>
  </w:num>
  <w:num w:numId="41" w16cid:durableId="1706754166">
    <w:abstractNumId w:val="24"/>
  </w:num>
  <w:num w:numId="42" w16cid:durableId="734619803">
    <w:abstractNumId w:val="14"/>
  </w:num>
  <w:num w:numId="43" w16cid:durableId="25991932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5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0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82"/>
    <w:rsid w:val="0015610E"/>
    <w:rsid w:val="00156688"/>
    <w:rsid w:val="001567C6"/>
    <w:rsid w:val="00157681"/>
    <w:rsid w:val="00160034"/>
    <w:rsid w:val="00160091"/>
    <w:rsid w:val="001600AA"/>
    <w:rsid w:val="00160AE9"/>
    <w:rsid w:val="0016163F"/>
    <w:rsid w:val="00161EC6"/>
    <w:rsid w:val="00162B8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A4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7E"/>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4F"/>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BA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8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C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98"/>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CD"/>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34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56A"/>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72"/>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8B"/>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F6381"/>
  <w15:chartTrackingRefBased/>
  <w15:docId w15:val="{AF0E6046-41E9-4D28-8095-D22BD0E8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B726E4D0B4F0BA5FFA010D03114D4"/>
        <w:category>
          <w:name w:val="Allmänt"/>
          <w:gallery w:val="placeholder"/>
        </w:category>
        <w:types>
          <w:type w:val="bbPlcHdr"/>
        </w:types>
        <w:behaviors>
          <w:behavior w:val="content"/>
        </w:behaviors>
        <w:guid w:val="{A966105D-12B0-4A71-9EFE-6C7D407377B5}"/>
      </w:docPartPr>
      <w:docPartBody>
        <w:p w:rsidR="00DF73D3" w:rsidRDefault="00DF73D3">
          <w:pPr>
            <w:pStyle w:val="E71B726E4D0B4F0BA5FFA010D03114D4"/>
          </w:pPr>
          <w:r w:rsidRPr="005A0A93">
            <w:rPr>
              <w:rStyle w:val="Platshllartext"/>
            </w:rPr>
            <w:t>Förslag till riksdagsbeslut</w:t>
          </w:r>
        </w:p>
      </w:docPartBody>
    </w:docPart>
    <w:docPart>
      <w:docPartPr>
        <w:name w:val="9D1D7840F92D4EF6BC665814C5F6431A"/>
        <w:category>
          <w:name w:val="Allmänt"/>
          <w:gallery w:val="placeholder"/>
        </w:category>
        <w:types>
          <w:type w:val="bbPlcHdr"/>
        </w:types>
        <w:behaviors>
          <w:behavior w:val="content"/>
        </w:behaviors>
        <w:guid w:val="{AE6A0AB9-11C3-4097-B1EF-783C704C450E}"/>
      </w:docPartPr>
      <w:docPartBody>
        <w:p w:rsidR="00DF73D3" w:rsidRDefault="00DF73D3">
          <w:pPr>
            <w:pStyle w:val="9D1D7840F92D4EF6BC665814C5F6431A"/>
          </w:pPr>
          <w:r w:rsidRPr="005A0A93">
            <w:rPr>
              <w:rStyle w:val="Platshllartext"/>
            </w:rPr>
            <w:t>Motivering</w:t>
          </w:r>
        </w:p>
      </w:docPartBody>
    </w:docPart>
    <w:docPart>
      <w:docPartPr>
        <w:name w:val="5DF2636CA6E94149B8233756DA914E38"/>
        <w:category>
          <w:name w:val="Allmänt"/>
          <w:gallery w:val="placeholder"/>
        </w:category>
        <w:types>
          <w:type w:val="bbPlcHdr"/>
        </w:types>
        <w:behaviors>
          <w:behavior w:val="content"/>
        </w:behaviors>
        <w:guid w:val="{1C44FC1C-DB5E-4B6E-B572-E699B26FAD29}"/>
      </w:docPartPr>
      <w:docPartBody>
        <w:p w:rsidR="00DF73D3" w:rsidRDefault="00DF73D3">
          <w:pPr>
            <w:pStyle w:val="5DF2636CA6E94149B8233756DA914E38"/>
          </w:pPr>
          <w:r>
            <w:rPr>
              <w:rStyle w:val="Platshllartext"/>
            </w:rPr>
            <w:t xml:space="preserve"> </w:t>
          </w:r>
        </w:p>
      </w:docPartBody>
    </w:docPart>
    <w:docPart>
      <w:docPartPr>
        <w:name w:val="812A466D5785469E979195EDB917C995"/>
        <w:category>
          <w:name w:val="Allmänt"/>
          <w:gallery w:val="placeholder"/>
        </w:category>
        <w:types>
          <w:type w:val="bbPlcHdr"/>
        </w:types>
        <w:behaviors>
          <w:behavior w:val="content"/>
        </w:behaviors>
        <w:guid w:val="{E641BBC7-22A3-4FBF-BF34-3AD9FAB63DEE}"/>
      </w:docPartPr>
      <w:docPartBody>
        <w:p w:rsidR="00DF73D3" w:rsidRDefault="00DF73D3">
          <w:pPr>
            <w:pStyle w:val="812A466D5785469E979195EDB917C995"/>
          </w:pPr>
          <w:r>
            <w:t xml:space="preserve"> </w:t>
          </w:r>
        </w:p>
      </w:docPartBody>
    </w:docPart>
    <w:docPart>
      <w:docPartPr>
        <w:name w:val="5615554231B04722BCADCE76B3E3E160"/>
        <w:category>
          <w:name w:val="Allmänt"/>
          <w:gallery w:val="placeholder"/>
        </w:category>
        <w:types>
          <w:type w:val="bbPlcHdr"/>
        </w:types>
        <w:behaviors>
          <w:behavior w:val="content"/>
        </w:behaviors>
        <w:guid w:val="{1F683224-0851-4F85-B80B-6641ED6BBBC3}"/>
      </w:docPartPr>
      <w:docPartBody>
        <w:p w:rsidR="00240AC9" w:rsidRDefault="006B45CB" w:rsidP="006B45CB">
          <w:pPr>
            <w:pStyle w:val="5615554231B04722BCADCE76B3E3E160"/>
          </w:pPr>
          <w:r w:rsidRPr="005A0A93">
            <w:rPr>
              <w:rStyle w:val="Platshllartext"/>
            </w:rPr>
            <w:t>Motivering</w:t>
          </w:r>
        </w:p>
      </w:docPartBody>
    </w:docPart>
    <w:docPart>
      <w:docPartPr>
        <w:name w:val="0E936003BE90491F9C17EE2C2D2B5603"/>
        <w:category>
          <w:name w:val="Allmänt"/>
          <w:gallery w:val="placeholder"/>
        </w:category>
        <w:types>
          <w:type w:val="bbPlcHdr"/>
        </w:types>
        <w:behaviors>
          <w:behavior w:val="content"/>
        </w:behaviors>
        <w:guid w:val="{DD047727-8497-4187-8B58-30CB8338E8F2}"/>
      </w:docPartPr>
      <w:docPartBody>
        <w:p w:rsidR="00240AC9" w:rsidRDefault="006B45CB" w:rsidP="006B45CB">
          <w:pPr>
            <w:pStyle w:val="0E936003BE90491F9C17EE2C2D2B5603"/>
          </w:pPr>
          <w:r w:rsidRPr="009B077E">
            <w:rPr>
              <w:rStyle w:val="Platshllartext"/>
            </w:rPr>
            <w:t>Namn på motionärer infogas/tas bort via panelen.</w:t>
          </w:r>
        </w:p>
      </w:docPartBody>
    </w:docPart>
    <w:docPart>
      <w:docPartPr>
        <w:name w:val="706316FE878E433BA4493DDEE7BFAC75"/>
        <w:category>
          <w:name w:val="Allmänt"/>
          <w:gallery w:val="placeholder"/>
        </w:category>
        <w:types>
          <w:type w:val="bbPlcHdr"/>
        </w:types>
        <w:behaviors>
          <w:behavior w:val="content"/>
        </w:behaviors>
        <w:guid w:val="{B54B97FC-C1F5-4AF3-B303-91A87C26FCC6}"/>
      </w:docPartPr>
      <w:docPartBody>
        <w:p w:rsidR="00D81710" w:rsidRDefault="00D81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3"/>
    <w:rsid w:val="0005058E"/>
    <w:rsid w:val="00103723"/>
    <w:rsid w:val="00240AC9"/>
    <w:rsid w:val="006B45CB"/>
    <w:rsid w:val="00815678"/>
    <w:rsid w:val="00B41B85"/>
    <w:rsid w:val="00D81710"/>
    <w:rsid w:val="00DF73D3"/>
    <w:rsid w:val="00F86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5CB"/>
    <w:rPr>
      <w:color w:val="F1A983" w:themeColor="accent2" w:themeTint="99"/>
    </w:rPr>
  </w:style>
  <w:style w:type="paragraph" w:customStyle="1" w:styleId="E71B726E4D0B4F0BA5FFA010D03114D4">
    <w:name w:val="E71B726E4D0B4F0BA5FFA010D03114D4"/>
  </w:style>
  <w:style w:type="paragraph" w:customStyle="1" w:styleId="15E8B4CD108C476983FDE1D7AE84694B">
    <w:name w:val="15E8B4CD108C476983FDE1D7AE84694B"/>
  </w:style>
  <w:style w:type="paragraph" w:customStyle="1" w:styleId="9D1D7840F92D4EF6BC665814C5F6431A">
    <w:name w:val="9D1D7840F92D4EF6BC665814C5F6431A"/>
  </w:style>
  <w:style w:type="paragraph" w:customStyle="1" w:styleId="D57E4C4241A14DA5A0F8328C32DCC983">
    <w:name w:val="D57E4C4241A14DA5A0F8328C32DCC983"/>
  </w:style>
  <w:style w:type="paragraph" w:customStyle="1" w:styleId="5DF2636CA6E94149B8233756DA914E38">
    <w:name w:val="5DF2636CA6E94149B8233756DA914E38"/>
  </w:style>
  <w:style w:type="paragraph" w:customStyle="1" w:styleId="812A466D5785469E979195EDB917C995">
    <w:name w:val="812A466D5785469E979195EDB917C995"/>
  </w:style>
  <w:style w:type="paragraph" w:customStyle="1" w:styleId="5615554231B04722BCADCE76B3E3E160">
    <w:name w:val="5615554231B04722BCADCE76B3E3E160"/>
    <w:rsid w:val="006B45CB"/>
  </w:style>
  <w:style w:type="paragraph" w:customStyle="1" w:styleId="0E936003BE90491F9C17EE2C2D2B5603">
    <w:name w:val="0E936003BE90491F9C17EE2C2D2B5603"/>
    <w:rsid w:val="006B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AA132-E38A-4365-A4D4-E6F4E7491D9C}"/>
</file>

<file path=customXml/itemProps2.xml><?xml version="1.0" encoding="utf-8"?>
<ds:datastoreItem xmlns:ds="http://schemas.openxmlformats.org/officeDocument/2006/customXml" ds:itemID="{0C9A1B79-F69B-4DDD-9552-9B2989B43934}"/>
</file>

<file path=customXml/itemProps3.xml><?xml version="1.0" encoding="utf-8"?>
<ds:datastoreItem xmlns:ds="http://schemas.openxmlformats.org/officeDocument/2006/customXml" ds:itemID="{43694624-5507-4258-AFE0-9AE1041A800C}"/>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2553</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Opartiska medicinska bedömningar i personskadeärenden</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