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90F15">
        <w:tblPrEx>
          <w:tblCellMar>
            <w:top w:w="0" w:type="dxa"/>
            <w:bottom w:w="0" w:type="dxa"/>
          </w:tblCellMar>
        </w:tblPrEx>
        <w:trPr>
          <w:cantSplit/>
          <w:trHeight w:hRule="exact" w:val="1260"/>
        </w:trPr>
        <w:tc>
          <w:tcPr>
            <w:tcW w:w="6024" w:type="dxa"/>
            <w:gridSpan w:val="2"/>
            <w:vMerge w:val="restart"/>
          </w:tcPr>
          <w:p w:rsidR="00FB23A6" w:rsidRPr="00D90F15" w:rsidRDefault="00D90F15">
            <w:pPr>
              <w:pStyle w:val="HuvudRubrik"/>
            </w:pPr>
            <w:r w:rsidRPr="00D90F1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32940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B23A6" w:rsidRPr="00D90F15" w:rsidRDefault="00FB23A6">
                                  <w:pPr>
                                    <w:pStyle w:val="Logo"/>
                                  </w:pPr>
                                  <w:r w:rsidRPr="00D90F1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281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B23A6" w:rsidRPr="00D90F15" w:rsidRDefault="00FB23A6">
                            <w:pPr>
                              <w:pStyle w:val="Logo"/>
                            </w:pPr>
                            <w:r w:rsidRPr="00D90F15">
                              <w:object w:dxaOrig="840" w:dyaOrig="1545">
                                <v:shape id="_x0000_i1026" type="#_x0000_t75" style="width:90.45pt;height:77.15pt" fillcolor="window">
                                  <v:imagedata r:id="rId7" o:title="" cropright="-75835f"/>
                                </v:shape>
                                <o:OLEObject Type="Embed" ProgID="Word.Picture.8" ShapeID="_x0000_i1026" DrawAspect="Content" ObjectID="_1827352816" r:id="rId9"/>
                              </w:object>
                            </w:r>
                          </w:p>
                        </w:txbxContent>
                      </v:textbox>
                      <w10:wrap anchorx="page" anchory="page"/>
                    </v:shape>
                  </w:pict>
                </mc:Fallback>
              </mc:AlternateContent>
            </w:r>
            <w:r w:rsidR="00FB23A6" w:rsidRPr="00D90F15">
              <w:t>Redogörelse till riksdagen</w:t>
            </w:r>
          </w:p>
          <w:p w:rsidR="00FB23A6" w:rsidRPr="00D90F15" w:rsidRDefault="00FB23A6">
            <w:pPr>
              <w:pStyle w:val="HuvudRubrikRad2"/>
            </w:pPr>
            <w:bookmarkStart w:id="16" w:name="BetänkandeNr"/>
            <w:bookmarkEnd w:id="16"/>
            <w:r w:rsidRPr="00D90F15">
              <w:t>2000/01:ER1</w:t>
            </w:r>
          </w:p>
          <w:p w:rsidR="00FB23A6" w:rsidRPr="00D90F15" w:rsidRDefault="00FB23A6">
            <w:pPr>
              <w:pStyle w:val="BetnkandeRubrik"/>
            </w:pPr>
            <w:bookmarkStart w:id="17" w:name="Huvudrubrik"/>
            <w:bookmarkEnd w:id="17"/>
            <w:r w:rsidRPr="00D90F15">
              <w:t xml:space="preserve">Från Sveriges delegation vid Europarådets </w:t>
            </w:r>
            <w:r w:rsidRPr="00D90F15">
              <w:br/>
              <w:t>parl</w:t>
            </w:r>
            <w:r w:rsidRPr="00D90F15">
              <w:t>a</w:t>
            </w:r>
            <w:r w:rsidRPr="00D90F15">
              <w:t>mentariska församling</w:t>
            </w:r>
          </w:p>
        </w:tc>
        <w:tc>
          <w:tcPr>
            <w:tcW w:w="1559" w:type="dxa"/>
            <w:tcBorders>
              <w:bottom w:val="nil"/>
            </w:tcBorders>
          </w:tcPr>
          <w:p w:rsidR="00FB23A6" w:rsidRPr="00D90F15" w:rsidRDefault="00FB23A6">
            <w:pPr>
              <w:spacing w:before="0" w:line="230" w:lineRule="auto"/>
              <w:rPr>
                <w:sz w:val="24"/>
              </w:rPr>
            </w:pPr>
          </w:p>
        </w:tc>
      </w:tr>
      <w:tr w:rsidR="00000000" w:rsidRPr="00D90F15">
        <w:tblPrEx>
          <w:tblCellMar>
            <w:top w:w="0" w:type="dxa"/>
            <w:bottom w:w="0" w:type="dxa"/>
          </w:tblCellMar>
        </w:tblPrEx>
        <w:trPr>
          <w:cantSplit/>
          <w:trHeight w:hRule="exact" w:val="240"/>
        </w:trPr>
        <w:tc>
          <w:tcPr>
            <w:tcW w:w="6024" w:type="dxa"/>
            <w:gridSpan w:val="2"/>
            <w:vMerge/>
            <w:tcBorders>
              <w:top w:val="nil"/>
              <w:bottom w:val="nil"/>
            </w:tcBorders>
          </w:tcPr>
          <w:p w:rsidR="00FB23A6" w:rsidRPr="00D90F15" w:rsidRDefault="00FB23A6">
            <w:pPr>
              <w:spacing w:before="40" w:after="900" w:line="280" w:lineRule="exact"/>
              <w:jc w:val="left"/>
              <w:rPr>
                <w:sz w:val="28"/>
              </w:rPr>
            </w:pPr>
          </w:p>
        </w:tc>
        <w:tc>
          <w:tcPr>
            <w:tcW w:w="1559" w:type="dxa"/>
          </w:tcPr>
          <w:p w:rsidR="00FB23A6" w:rsidRPr="00D90F15" w:rsidRDefault="00FB23A6">
            <w:pPr>
              <w:pStyle w:val="rtal"/>
            </w:pPr>
            <w:r w:rsidRPr="00D90F15">
              <w:t>2000/01</w:t>
            </w:r>
          </w:p>
        </w:tc>
      </w:tr>
      <w:tr w:rsidR="00000000" w:rsidRPr="00D90F15">
        <w:tblPrEx>
          <w:tblCellMar>
            <w:top w:w="0" w:type="dxa"/>
            <w:bottom w:w="0" w:type="dxa"/>
          </w:tblCellMar>
        </w:tblPrEx>
        <w:trPr>
          <w:cantSplit/>
          <w:trHeight w:val="560"/>
        </w:trPr>
        <w:tc>
          <w:tcPr>
            <w:tcW w:w="6024" w:type="dxa"/>
            <w:gridSpan w:val="2"/>
            <w:vMerge/>
            <w:tcBorders>
              <w:top w:val="nil"/>
              <w:bottom w:val="single" w:sz="6" w:space="0" w:color="auto"/>
            </w:tcBorders>
          </w:tcPr>
          <w:p w:rsidR="00FB23A6" w:rsidRPr="00D90F15" w:rsidRDefault="00FB23A6">
            <w:pPr>
              <w:spacing w:before="40" w:after="900" w:line="280" w:lineRule="exact"/>
              <w:jc w:val="left"/>
              <w:rPr>
                <w:sz w:val="28"/>
              </w:rPr>
            </w:pPr>
          </w:p>
        </w:tc>
        <w:tc>
          <w:tcPr>
            <w:tcW w:w="1559" w:type="dxa"/>
            <w:tcBorders>
              <w:bottom w:val="single" w:sz="6" w:space="0" w:color="auto"/>
            </w:tcBorders>
          </w:tcPr>
          <w:p w:rsidR="00FB23A6" w:rsidRPr="00D90F15" w:rsidRDefault="00FB23A6">
            <w:pPr>
              <w:pStyle w:val="rtal"/>
            </w:pPr>
            <w:r w:rsidRPr="00D90F15">
              <w:t>ER1</w:t>
            </w:r>
          </w:p>
        </w:tc>
      </w:tr>
      <w:tr w:rsidR="00000000" w:rsidRPr="00D90F15">
        <w:tblPrEx>
          <w:tblCellMar>
            <w:top w:w="0" w:type="dxa"/>
            <w:bottom w:w="0" w:type="dxa"/>
          </w:tblCellMar>
        </w:tblPrEx>
        <w:trPr>
          <w:cantSplit/>
          <w:trHeight w:hRule="exact" w:val="660"/>
        </w:trPr>
        <w:tc>
          <w:tcPr>
            <w:tcW w:w="3012" w:type="dxa"/>
          </w:tcPr>
          <w:p w:rsidR="00FB23A6" w:rsidRPr="00D90F15" w:rsidRDefault="00FB23A6">
            <w:pPr>
              <w:pStyle w:val="StatusSida1"/>
            </w:pPr>
          </w:p>
        </w:tc>
        <w:tc>
          <w:tcPr>
            <w:tcW w:w="3012" w:type="dxa"/>
          </w:tcPr>
          <w:p w:rsidR="00FB23A6" w:rsidRPr="00D90F15" w:rsidRDefault="00FB23A6">
            <w:pPr>
              <w:pStyle w:val="UtskriftsdatumSida1"/>
              <w:rPr>
                <w:b/>
                <w:sz w:val="28"/>
              </w:rPr>
            </w:pPr>
          </w:p>
        </w:tc>
        <w:tc>
          <w:tcPr>
            <w:tcW w:w="1559" w:type="dxa"/>
          </w:tcPr>
          <w:p w:rsidR="00FB23A6" w:rsidRPr="00D90F15" w:rsidRDefault="00FB23A6"/>
        </w:tc>
      </w:tr>
    </w:tbl>
    <w:p w:rsidR="00FB23A6" w:rsidRPr="00D90F15" w:rsidRDefault="00FB23A6">
      <w:bookmarkStart w:id="18" w:name="Textstart"/>
      <w:bookmarkStart w:id="19" w:name="Nästa_Reservation"/>
      <w:bookmarkEnd w:id="18"/>
      <w:bookmarkEnd w:id="19"/>
      <w:r w:rsidRPr="00D90F15">
        <w:t>Riksdagens Europarådsdelegation överlämnar bifogade redogörelse för ver</w:t>
      </w:r>
      <w:r w:rsidRPr="00D90F15">
        <w:t>k</w:t>
      </w:r>
      <w:r w:rsidRPr="00D90F15">
        <w:t>samheten inom den parlamentariska församlingen under 2000. Till redog</w:t>
      </w:r>
      <w:r w:rsidRPr="00D90F15">
        <w:t>ö</w:t>
      </w:r>
      <w:r w:rsidRPr="00D90F15">
        <w:t>relsen är fogad en förteckning över av församlingen under perioden antagna rekommendationer, resolutioner och andra beslut.</w:t>
      </w:r>
    </w:p>
    <w:p w:rsidR="00FB23A6" w:rsidRPr="00D90F15" w:rsidRDefault="00FB23A6">
      <w:pPr>
        <w:pStyle w:val="Stockholm"/>
      </w:pPr>
      <w:r w:rsidRPr="00D90F15">
        <w:t>Stockholm den 14 februari 2001</w:t>
      </w:r>
    </w:p>
    <w:p w:rsidR="00FB23A6" w:rsidRPr="00D90F15" w:rsidRDefault="00FB23A6">
      <w:pPr>
        <w:pStyle w:val="Vgnar"/>
      </w:pPr>
      <w:r w:rsidRPr="00D90F15">
        <w:t>På delegationens vägnar</w:t>
      </w:r>
    </w:p>
    <w:p w:rsidR="00FB23A6" w:rsidRPr="00D90F15" w:rsidRDefault="00FB23A6">
      <w:pPr>
        <w:pStyle w:val="Ordfnamn"/>
      </w:pPr>
      <w:r w:rsidRPr="00D90F15">
        <w:t>Jan Bergqvist</w:t>
      </w:r>
    </w:p>
    <w:p w:rsidR="00FB23A6" w:rsidRPr="00D90F15" w:rsidRDefault="00FB23A6">
      <w:pPr>
        <w:pStyle w:val="Ordfnamn"/>
        <w:spacing w:before="120"/>
        <w:ind w:left="2608" w:firstLine="1304"/>
      </w:pPr>
      <w:r w:rsidRPr="00D90F15">
        <w:t>Kirsti Pulkka-Ericson</w:t>
      </w:r>
    </w:p>
    <w:p w:rsidR="00FB23A6" w:rsidRPr="00D90F15" w:rsidRDefault="00FB23A6">
      <w:pPr>
        <w:rPr>
          <w:i/>
        </w:rPr>
      </w:pPr>
    </w:p>
    <w:p w:rsidR="00FB23A6" w:rsidRPr="00D90F15" w:rsidRDefault="00FB23A6"/>
    <w:p w:rsidR="00FB23A6" w:rsidRPr="00D90F15" w:rsidRDefault="00FB23A6"/>
    <w:p w:rsidR="00FB23A6" w:rsidRPr="00D90F15" w:rsidRDefault="00FB23A6">
      <w:pPr>
        <w:rPr>
          <w:sz w:val="28"/>
        </w:rPr>
      </w:pPr>
      <w:r w:rsidRPr="00D90F15">
        <w:br w:type="page"/>
      </w:r>
      <w:bookmarkStart w:id="20" w:name="_Toc475352036"/>
      <w:r w:rsidRPr="00D90F15">
        <w:rPr>
          <w:sz w:val="28"/>
        </w:rPr>
        <w:lastRenderedPageBreak/>
        <w:t xml:space="preserve">Europarådets medlemsstater </w:t>
      </w:r>
      <w:bookmarkEnd w:id="20"/>
      <w:r w:rsidRPr="00D90F15">
        <w:rPr>
          <w:sz w:val="28"/>
        </w:rPr>
        <w:t>2000</w:t>
      </w:r>
    </w:p>
    <w:p w:rsidR="00FB23A6" w:rsidRPr="00D90F15" w:rsidRDefault="00FB23A6">
      <w:pPr>
        <w:pStyle w:val="Normaltindrag"/>
      </w:pPr>
    </w:p>
    <w:p w:rsidR="00FB23A6" w:rsidRPr="00D90F15" w:rsidRDefault="00FB23A6"/>
    <w:p w:rsidR="00FB23A6" w:rsidRPr="00D90F15" w:rsidRDefault="00D90F15">
      <w:pPr>
        <w:pStyle w:val="Innehll"/>
        <w:numPr>
          <w:ilvl w:val="0"/>
          <w:numId w:val="0"/>
        </w:numPr>
        <w:spacing w:line="240" w:lineRule="atLeast"/>
        <w:outlineLvl w:val="1"/>
      </w:pPr>
      <w:r w:rsidRPr="00D90F15">
        <w:rPr>
          <w:noProof/>
        </w:rPr>
        <w:drawing>
          <wp:inline distT="0" distB="0" distL="0" distR="0">
            <wp:extent cx="3733800" cy="4093210"/>
            <wp:effectExtent l="19050" t="1905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24000"/>
                      <a:extLst>
                        <a:ext uri="{28A0092B-C50C-407E-A947-70E740481C1C}">
                          <a14:useLocalDpi xmlns:a14="http://schemas.microsoft.com/office/drawing/2010/main" val="0"/>
                        </a:ext>
                      </a:extLst>
                    </a:blip>
                    <a:srcRect l="3223" t="241"/>
                    <a:stretch>
                      <a:fillRect/>
                    </a:stretch>
                  </pic:blipFill>
                  <pic:spPr bwMode="auto">
                    <a:xfrm>
                      <a:off x="0" y="0"/>
                      <a:ext cx="3733800" cy="4093210"/>
                    </a:xfrm>
                    <a:prstGeom prst="rect">
                      <a:avLst/>
                    </a:prstGeom>
                    <a:noFill/>
                    <a:ln w="6350" cmpd="sng">
                      <a:solidFill>
                        <a:srgbClr val="000000"/>
                      </a:solidFill>
                      <a:miter lim="800000"/>
                      <a:headEnd/>
                      <a:tailEnd/>
                    </a:ln>
                    <a:effectLst/>
                  </pic:spPr>
                </pic:pic>
              </a:graphicData>
            </a:graphic>
          </wp:inline>
        </w:drawing>
      </w:r>
    </w:p>
    <w:p w:rsidR="00FB23A6" w:rsidRPr="00D90F15" w:rsidRDefault="00FB23A6">
      <w:pPr>
        <w:pStyle w:val="Innehll"/>
        <w:numPr>
          <w:ilvl w:val="0"/>
          <w:numId w:val="0"/>
        </w:numPr>
        <w:spacing w:line="240" w:lineRule="atLeast"/>
        <w:jc w:val="both"/>
        <w:outlineLvl w:val="1"/>
        <w:rPr>
          <w:sz w:val="19"/>
        </w:rPr>
      </w:pPr>
      <w:r w:rsidRPr="00D90F15">
        <w:rPr>
          <w:sz w:val="19"/>
        </w:rPr>
        <w:t>Albanien, Andorra, Belgien, Bulgarien, Cypern, Danmark, Estland, Finland, Frankrike, Georgien, Grekland, Irland, Island, Italien, Kroatien, Lettland, Liechtenstein, Litauen, Luxemburg, Makedonien, Malta, Moldova, Neder</w:t>
      </w:r>
      <w:r w:rsidRPr="00D90F15">
        <w:rPr>
          <w:sz w:val="19"/>
        </w:rPr>
        <w:softHyphen/>
        <w:t>länderna, Norge, Polen, Portugal, Rumänien, Ryssland, San Marino, Schweiz, Slovakien, Slovenien, Spanien, Storbritannien, Sverige, Tjeckien, Turkiet, Tyskland, Ukraina, Ungern, Österrike</w:t>
      </w:r>
    </w:p>
    <w:p w:rsidR="00FB23A6" w:rsidRPr="00D90F15" w:rsidRDefault="00FB23A6">
      <w:pPr>
        <w:pStyle w:val="Innehll"/>
        <w:numPr>
          <w:ilvl w:val="0"/>
          <w:numId w:val="0"/>
        </w:numPr>
        <w:spacing w:line="240" w:lineRule="atLeast"/>
        <w:outlineLvl w:val="1"/>
      </w:pPr>
      <w:r w:rsidRPr="00D90F15">
        <w:br w:type="page"/>
        <w:t>Innehållsförteckning</w:t>
      </w:r>
    </w:p>
    <w:p w:rsidR="00FB23A6" w:rsidRPr="00D90F15" w:rsidRDefault="00FB23A6">
      <w:pPr>
        <w:pStyle w:val="Innehll1"/>
        <w:tabs>
          <w:tab w:val="left" w:pos="454"/>
        </w:tabs>
      </w:pPr>
      <w:r w:rsidRPr="00D90F15">
        <w:t>1</w:t>
      </w:r>
      <w:r w:rsidRPr="00D90F15">
        <w:tab/>
        <w:t>Europarådets roll i det europeiska samarbetet</w:t>
      </w:r>
      <w:r w:rsidRPr="00D90F15">
        <w:tab/>
        <w:t>5</w:t>
      </w:r>
    </w:p>
    <w:p w:rsidR="00FB23A6" w:rsidRPr="00D90F15" w:rsidRDefault="00FB23A6">
      <w:pPr>
        <w:pStyle w:val="Innehll2"/>
        <w:rPr>
          <w:noProof w:val="0"/>
        </w:rPr>
      </w:pPr>
      <w:r w:rsidRPr="00D90F15">
        <w:rPr>
          <w:noProof w:val="0"/>
        </w:rPr>
        <w:t>1.1</w:t>
      </w:r>
      <w:r w:rsidRPr="00D90F15">
        <w:rPr>
          <w:noProof w:val="0"/>
        </w:rPr>
        <w:tab/>
        <w:t>Den parlamentariska församlingens roll och uppgifter</w:t>
      </w:r>
      <w:r w:rsidRPr="00D90F15">
        <w:rPr>
          <w:noProof w:val="0"/>
        </w:rPr>
        <w:tab/>
        <w:t>5</w:t>
      </w:r>
    </w:p>
    <w:p w:rsidR="00FB23A6" w:rsidRPr="00D90F15" w:rsidRDefault="00FB23A6">
      <w:pPr>
        <w:pStyle w:val="Innehll1"/>
        <w:tabs>
          <w:tab w:val="left" w:pos="454"/>
        </w:tabs>
      </w:pPr>
      <w:r w:rsidRPr="00D90F15">
        <w:t>2</w:t>
      </w:r>
      <w:r w:rsidRPr="00D90F15">
        <w:tab/>
        <w:t>Den parlamentariska församlingens verksamhet under 2000</w:t>
      </w:r>
      <w:r w:rsidRPr="00D90F15">
        <w:tab/>
        <w:t>6</w:t>
      </w:r>
    </w:p>
    <w:p w:rsidR="00FB23A6" w:rsidRPr="00D90F15" w:rsidRDefault="00FB23A6">
      <w:pPr>
        <w:pStyle w:val="Innehll2"/>
        <w:rPr>
          <w:noProof w:val="0"/>
        </w:rPr>
      </w:pPr>
      <w:r w:rsidRPr="00D90F15">
        <w:rPr>
          <w:noProof w:val="0"/>
        </w:rPr>
        <w:t>2.1</w:t>
      </w:r>
      <w:r w:rsidRPr="00D90F15">
        <w:rPr>
          <w:noProof w:val="0"/>
        </w:rPr>
        <w:tab/>
        <w:t>Sessionen 2000</w:t>
      </w:r>
      <w:r w:rsidRPr="00D90F15">
        <w:rPr>
          <w:noProof w:val="0"/>
        </w:rPr>
        <w:tab/>
        <w:t>6</w:t>
      </w:r>
    </w:p>
    <w:p w:rsidR="00FB23A6" w:rsidRPr="00D90F15" w:rsidRDefault="00FB23A6">
      <w:pPr>
        <w:pStyle w:val="Innehll2"/>
        <w:rPr>
          <w:noProof w:val="0"/>
        </w:rPr>
      </w:pPr>
      <w:r w:rsidRPr="00D90F15">
        <w:rPr>
          <w:noProof w:val="0"/>
        </w:rPr>
        <w:t>2.2</w:t>
      </w:r>
      <w:r w:rsidRPr="00D90F15">
        <w:rPr>
          <w:noProof w:val="0"/>
        </w:rPr>
        <w:tab/>
        <w:t>Budget och omstrukturering av verksamheten</w:t>
      </w:r>
      <w:r w:rsidRPr="00D90F15">
        <w:rPr>
          <w:noProof w:val="0"/>
        </w:rPr>
        <w:tab/>
        <w:t>7</w:t>
      </w:r>
    </w:p>
    <w:p w:rsidR="00FB23A6" w:rsidRPr="00D90F15" w:rsidRDefault="00FB23A6">
      <w:pPr>
        <w:pStyle w:val="Innehll2"/>
        <w:rPr>
          <w:noProof w:val="0"/>
        </w:rPr>
      </w:pPr>
      <w:r w:rsidRPr="00D90F15">
        <w:rPr>
          <w:noProof w:val="0"/>
        </w:rPr>
        <w:t>2.3</w:t>
      </w:r>
      <w:r w:rsidRPr="00D90F15">
        <w:rPr>
          <w:noProof w:val="0"/>
        </w:rPr>
        <w:tab/>
        <w:t>Riksdagens delegation</w:t>
      </w:r>
      <w:r w:rsidRPr="00D90F15">
        <w:rPr>
          <w:noProof w:val="0"/>
        </w:rPr>
        <w:tab/>
        <w:t>7</w:t>
      </w:r>
    </w:p>
    <w:p w:rsidR="00FB23A6" w:rsidRPr="00D90F15" w:rsidRDefault="00FB23A6">
      <w:pPr>
        <w:pStyle w:val="Innehll2"/>
        <w:rPr>
          <w:noProof w:val="0"/>
        </w:rPr>
      </w:pPr>
      <w:r w:rsidRPr="00D90F15">
        <w:rPr>
          <w:noProof w:val="0"/>
        </w:rPr>
        <w:t>2.4</w:t>
      </w:r>
      <w:r w:rsidRPr="00D90F15">
        <w:rPr>
          <w:noProof w:val="0"/>
        </w:rPr>
        <w:tab/>
        <w:t>Utvidgning av medlemskretsen och granskning av efterlevnaden av åtaganden</w:t>
      </w:r>
      <w:r w:rsidRPr="00D90F15">
        <w:rPr>
          <w:noProof w:val="0"/>
        </w:rPr>
        <w:tab/>
        <w:t>7</w:t>
      </w:r>
    </w:p>
    <w:p w:rsidR="00FB23A6" w:rsidRPr="00D90F15" w:rsidRDefault="00FB23A6">
      <w:pPr>
        <w:pStyle w:val="Innehll3"/>
        <w:rPr>
          <w:noProof w:val="0"/>
        </w:rPr>
      </w:pPr>
      <w:r w:rsidRPr="00D90F15">
        <w:rPr>
          <w:noProof w:val="0"/>
        </w:rPr>
        <w:t>2.4.1</w:t>
      </w:r>
      <w:r w:rsidRPr="00D90F15">
        <w:rPr>
          <w:noProof w:val="0"/>
        </w:rPr>
        <w:tab/>
        <w:t>Valövervakning</w:t>
      </w:r>
      <w:r w:rsidRPr="00D90F15">
        <w:rPr>
          <w:noProof w:val="0"/>
        </w:rPr>
        <w:tab/>
        <w:t>8</w:t>
      </w:r>
    </w:p>
    <w:p w:rsidR="00FB23A6" w:rsidRPr="00D90F15" w:rsidRDefault="00FB23A6">
      <w:pPr>
        <w:pStyle w:val="Innehll3"/>
        <w:rPr>
          <w:noProof w:val="0"/>
        </w:rPr>
      </w:pPr>
      <w:r w:rsidRPr="00D90F15">
        <w:rPr>
          <w:noProof w:val="0"/>
        </w:rPr>
        <w:t>2.4.2</w:t>
      </w:r>
      <w:r w:rsidRPr="00D90F15">
        <w:rPr>
          <w:noProof w:val="0"/>
        </w:rPr>
        <w:tab/>
        <w:t>Nya medlemmar: Armenien och Azerbajdzjan</w:t>
      </w:r>
      <w:r w:rsidRPr="00D90F15">
        <w:rPr>
          <w:noProof w:val="0"/>
        </w:rPr>
        <w:tab/>
        <w:t>8</w:t>
      </w:r>
    </w:p>
    <w:p w:rsidR="00FB23A6" w:rsidRPr="00D90F15" w:rsidRDefault="00FB23A6">
      <w:pPr>
        <w:pStyle w:val="Innehll3"/>
        <w:rPr>
          <w:noProof w:val="0"/>
        </w:rPr>
      </w:pPr>
      <w:r w:rsidRPr="00D90F15">
        <w:rPr>
          <w:noProof w:val="0"/>
        </w:rPr>
        <w:t>2.4.3</w:t>
      </w:r>
      <w:r w:rsidRPr="00D90F15">
        <w:rPr>
          <w:noProof w:val="0"/>
        </w:rPr>
        <w:tab/>
        <w:t>Bosnien-Hercegovina</w:t>
      </w:r>
      <w:r w:rsidRPr="00D90F15">
        <w:rPr>
          <w:noProof w:val="0"/>
        </w:rPr>
        <w:tab/>
        <w:t>9</w:t>
      </w:r>
    </w:p>
    <w:p w:rsidR="00FB23A6" w:rsidRPr="00D90F15" w:rsidRDefault="00FB23A6">
      <w:pPr>
        <w:pStyle w:val="Innehll3"/>
        <w:rPr>
          <w:noProof w:val="0"/>
        </w:rPr>
      </w:pPr>
      <w:r w:rsidRPr="00D90F15">
        <w:rPr>
          <w:noProof w:val="0"/>
        </w:rPr>
        <w:t>2.4.4</w:t>
      </w:r>
      <w:r w:rsidRPr="00D90F15">
        <w:rPr>
          <w:noProof w:val="0"/>
        </w:rPr>
        <w:tab/>
        <w:t>Monaco</w:t>
      </w:r>
      <w:r w:rsidRPr="00D90F15">
        <w:rPr>
          <w:noProof w:val="0"/>
        </w:rPr>
        <w:tab/>
        <w:t>9</w:t>
      </w:r>
    </w:p>
    <w:p w:rsidR="00FB23A6" w:rsidRPr="00D90F15" w:rsidRDefault="00FB23A6">
      <w:pPr>
        <w:pStyle w:val="Innehll3"/>
        <w:rPr>
          <w:noProof w:val="0"/>
        </w:rPr>
      </w:pPr>
      <w:r w:rsidRPr="00D90F15">
        <w:rPr>
          <w:noProof w:val="0"/>
        </w:rPr>
        <w:t>2.4.5</w:t>
      </w:r>
      <w:r w:rsidRPr="00D90F15">
        <w:rPr>
          <w:noProof w:val="0"/>
        </w:rPr>
        <w:tab/>
        <w:t>Vitryssland</w:t>
      </w:r>
      <w:r w:rsidRPr="00D90F15">
        <w:rPr>
          <w:noProof w:val="0"/>
        </w:rPr>
        <w:tab/>
        <w:t>10</w:t>
      </w:r>
    </w:p>
    <w:p w:rsidR="00FB23A6" w:rsidRPr="00D90F15" w:rsidRDefault="00FB23A6">
      <w:pPr>
        <w:pStyle w:val="Innehll3"/>
        <w:rPr>
          <w:noProof w:val="0"/>
        </w:rPr>
      </w:pPr>
      <w:r w:rsidRPr="00D90F15">
        <w:rPr>
          <w:noProof w:val="0"/>
        </w:rPr>
        <w:t>2.4.6</w:t>
      </w:r>
      <w:r w:rsidRPr="00D90F15">
        <w:rPr>
          <w:noProof w:val="0"/>
        </w:rPr>
        <w:tab/>
        <w:t>Förbundsrepubliken Jugoslavien</w:t>
      </w:r>
      <w:r w:rsidRPr="00D90F15">
        <w:rPr>
          <w:noProof w:val="0"/>
        </w:rPr>
        <w:tab/>
        <w:t>10</w:t>
      </w:r>
    </w:p>
    <w:p w:rsidR="00FB23A6" w:rsidRPr="00D90F15" w:rsidRDefault="00FB23A6">
      <w:pPr>
        <w:pStyle w:val="Innehll3"/>
        <w:rPr>
          <w:noProof w:val="0"/>
        </w:rPr>
      </w:pPr>
      <w:r w:rsidRPr="00D90F15">
        <w:rPr>
          <w:noProof w:val="0"/>
        </w:rPr>
        <w:t>2.4.7</w:t>
      </w:r>
      <w:r w:rsidRPr="00D90F15">
        <w:rPr>
          <w:noProof w:val="0"/>
        </w:rPr>
        <w:tab/>
        <w:t>Observatörer</w:t>
      </w:r>
      <w:r w:rsidRPr="00D90F15">
        <w:rPr>
          <w:noProof w:val="0"/>
        </w:rPr>
        <w:tab/>
        <w:t>10</w:t>
      </w:r>
    </w:p>
    <w:p w:rsidR="00FB23A6" w:rsidRPr="00D90F15" w:rsidRDefault="00FB23A6">
      <w:pPr>
        <w:pStyle w:val="Innehll3"/>
        <w:rPr>
          <w:noProof w:val="0"/>
        </w:rPr>
      </w:pPr>
      <w:r w:rsidRPr="00D90F15">
        <w:rPr>
          <w:noProof w:val="0"/>
        </w:rPr>
        <w:t>2.4.8</w:t>
      </w:r>
      <w:r w:rsidRPr="00D90F15">
        <w:rPr>
          <w:noProof w:val="0"/>
        </w:rPr>
        <w:tab/>
        <w:t>Ackreditering av ledamöter</w:t>
      </w:r>
      <w:r w:rsidRPr="00D90F15">
        <w:rPr>
          <w:noProof w:val="0"/>
        </w:rPr>
        <w:tab/>
        <w:t>11</w:t>
      </w:r>
    </w:p>
    <w:p w:rsidR="00FB23A6" w:rsidRPr="00D90F15" w:rsidRDefault="00FB23A6">
      <w:pPr>
        <w:pStyle w:val="Innehll2"/>
        <w:rPr>
          <w:noProof w:val="0"/>
        </w:rPr>
      </w:pPr>
      <w:r w:rsidRPr="00D90F15">
        <w:rPr>
          <w:noProof w:val="0"/>
        </w:rPr>
        <w:t>2.5</w:t>
      </w:r>
      <w:r w:rsidRPr="00D90F15">
        <w:rPr>
          <w:noProof w:val="0"/>
        </w:rPr>
        <w:tab/>
        <w:t>Politiska frågor</w:t>
      </w:r>
      <w:r w:rsidRPr="00D90F15">
        <w:rPr>
          <w:noProof w:val="0"/>
        </w:rPr>
        <w:tab/>
        <w:t>11</w:t>
      </w:r>
    </w:p>
    <w:p w:rsidR="00FB23A6" w:rsidRPr="00D90F15" w:rsidRDefault="00FB23A6">
      <w:pPr>
        <w:pStyle w:val="Innehll3"/>
        <w:rPr>
          <w:noProof w:val="0"/>
        </w:rPr>
      </w:pPr>
      <w:r w:rsidRPr="00D90F15">
        <w:rPr>
          <w:noProof w:val="0"/>
        </w:rPr>
        <w:t>2.5.1</w:t>
      </w:r>
      <w:r w:rsidRPr="00D90F15">
        <w:rPr>
          <w:noProof w:val="0"/>
        </w:rPr>
        <w:tab/>
        <w:t>Tjetjenien</w:t>
      </w:r>
      <w:r w:rsidRPr="00D90F15">
        <w:rPr>
          <w:noProof w:val="0"/>
        </w:rPr>
        <w:tab/>
        <w:t>11</w:t>
      </w:r>
    </w:p>
    <w:p w:rsidR="00FB23A6" w:rsidRPr="00D90F15" w:rsidRDefault="00FB23A6">
      <w:pPr>
        <w:pStyle w:val="Innehll3"/>
        <w:rPr>
          <w:noProof w:val="0"/>
        </w:rPr>
      </w:pPr>
      <w:r w:rsidRPr="00D90F15">
        <w:rPr>
          <w:noProof w:val="0"/>
        </w:rPr>
        <w:t>2.5.2</w:t>
      </w:r>
      <w:r w:rsidRPr="00D90F15">
        <w:rPr>
          <w:noProof w:val="0"/>
        </w:rPr>
        <w:tab/>
        <w:t>Kosovo</w:t>
      </w:r>
      <w:r w:rsidRPr="00D90F15">
        <w:rPr>
          <w:noProof w:val="0"/>
        </w:rPr>
        <w:tab/>
        <w:t>11</w:t>
      </w:r>
    </w:p>
    <w:p w:rsidR="00FB23A6" w:rsidRPr="00D90F15" w:rsidRDefault="00FB23A6">
      <w:pPr>
        <w:pStyle w:val="Innehll3"/>
        <w:rPr>
          <w:noProof w:val="0"/>
        </w:rPr>
      </w:pPr>
      <w:r w:rsidRPr="00D90F15">
        <w:rPr>
          <w:noProof w:val="0"/>
        </w:rPr>
        <w:t>2.5.3</w:t>
      </w:r>
      <w:r w:rsidRPr="00D90F15">
        <w:rPr>
          <w:noProof w:val="0"/>
        </w:rPr>
        <w:tab/>
        <w:t>Relationerna med andra internationella organisationer</w:t>
      </w:r>
      <w:r w:rsidRPr="00D90F15">
        <w:rPr>
          <w:noProof w:val="0"/>
        </w:rPr>
        <w:tab/>
        <w:t>12</w:t>
      </w:r>
    </w:p>
    <w:p w:rsidR="00FB23A6" w:rsidRPr="00D90F15" w:rsidRDefault="00FB23A6">
      <w:pPr>
        <w:pStyle w:val="Innehll3"/>
        <w:rPr>
          <w:noProof w:val="0"/>
        </w:rPr>
      </w:pPr>
      <w:r w:rsidRPr="00D90F15">
        <w:rPr>
          <w:noProof w:val="0"/>
        </w:rPr>
        <w:t>2.5.4</w:t>
      </w:r>
      <w:r w:rsidRPr="00D90F15">
        <w:rPr>
          <w:noProof w:val="0"/>
        </w:rPr>
        <w:tab/>
        <w:t>Globalisering</w:t>
      </w:r>
      <w:r w:rsidRPr="00D90F15">
        <w:rPr>
          <w:noProof w:val="0"/>
        </w:rPr>
        <w:tab/>
        <w:t>12</w:t>
      </w:r>
    </w:p>
    <w:p w:rsidR="00FB23A6" w:rsidRPr="00D90F15" w:rsidRDefault="00FB23A6">
      <w:pPr>
        <w:pStyle w:val="Innehll2"/>
        <w:rPr>
          <w:noProof w:val="0"/>
        </w:rPr>
      </w:pPr>
      <w:r w:rsidRPr="00D90F15">
        <w:rPr>
          <w:noProof w:val="0"/>
        </w:rPr>
        <w:t>2.6</w:t>
      </w:r>
      <w:r w:rsidRPr="00D90F15">
        <w:rPr>
          <w:noProof w:val="0"/>
        </w:rPr>
        <w:tab/>
        <w:t>Demokrati och mänskliga rättigheter</w:t>
      </w:r>
      <w:r w:rsidRPr="00D90F15">
        <w:rPr>
          <w:noProof w:val="0"/>
        </w:rPr>
        <w:tab/>
        <w:t>12</w:t>
      </w:r>
    </w:p>
    <w:p w:rsidR="00FB23A6" w:rsidRPr="00D90F15" w:rsidRDefault="00FB23A6">
      <w:pPr>
        <w:pStyle w:val="Innehll3"/>
        <w:rPr>
          <w:noProof w:val="0"/>
        </w:rPr>
      </w:pPr>
      <w:r w:rsidRPr="00D90F15">
        <w:rPr>
          <w:noProof w:val="0"/>
        </w:rPr>
        <w:t>2.6.1</w:t>
      </w:r>
      <w:r w:rsidRPr="00D90F15">
        <w:rPr>
          <w:noProof w:val="0"/>
        </w:rPr>
        <w:tab/>
        <w:t>Avskaffande av dödsstraffet</w:t>
      </w:r>
      <w:r w:rsidRPr="00D90F15">
        <w:rPr>
          <w:noProof w:val="0"/>
        </w:rPr>
        <w:tab/>
        <w:t>13</w:t>
      </w:r>
    </w:p>
    <w:p w:rsidR="00FB23A6" w:rsidRPr="00D90F15" w:rsidRDefault="00FB23A6">
      <w:pPr>
        <w:pStyle w:val="Innehll3"/>
        <w:rPr>
          <w:noProof w:val="0"/>
        </w:rPr>
      </w:pPr>
      <w:r w:rsidRPr="00D90F15">
        <w:rPr>
          <w:noProof w:val="0"/>
        </w:rPr>
        <w:t>2.6.2</w:t>
      </w:r>
      <w:r w:rsidRPr="00D90F15">
        <w:rPr>
          <w:noProof w:val="0"/>
        </w:rPr>
        <w:tab/>
        <w:t>EU:s grundrättighetsstadga</w:t>
      </w:r>
      <w:r w:rsidRPr="00D90F15">
        <w:rPr>
          <w:noProof w:val="0"/>
        </w:rPr>
        <w:tab/>
        <w:t>13</w:t>
      </w:r>
    </w:p>
    <w:p w:rsidR="00FB23A6" w:rsidRPr="00D90F15" w:rsidRDefault="00FB23A6">
      <w:pPr>
        <w:pStyle w:val="Innehll3"/>
        <w:rPr>
          <w:noProof w:val="0"/>
        </w:rPr>
      </w:pPr>
      <w:r w:rsidRPr="00D90F15">
        <w:rPr>
          <w:noProof w:val="0"/>
        </w:rPr>
        <w:t>2.6.3</w:t>
      </w:r>
      <w:r w:rsidRPr="00D90F15">
        <w:rPr>
          <w:noProof w:val="0"/>
        </w:rPr>
        <w:tab/>
        <w:t>Mekanismen för att skydda de mänskliga rättigheterna</w:t>
      </w:r>
      <w:r w:rsidRPr="00D90F15">
        <w:rPr>
          <w:noProof w:val="0"/>
        </w:rPr>
        <w:tab/>
        <w:t>14</w:t>
      </w:r>
    </w:p>
    <w:p w:rsidR="00FB23A6" w:rsidRPr="00D90F15" w:rsidRDefault="00FB23A6">
      <w:pPr>
        <w:pStyle w:val="Innehll2"/>
        <w:rPr>
          <w:noProof w:val="0"/>
        </w:rPr>
      </w:pPr>
      <w:r w:rsidRPr="00D90F15">
        <w:rPr>
          <w:noProof w:val="0"/>
        </w:rPr>
        <w:t>2.7</w:t>
      </w:r>
      <w:r w:rsidRPr="00D90F15">
        <w:rPr>
          <w:noProof w:val="0"/>
        </w:rPr>
        <w:tab/>
        <w:t>Sociala och ekonomiska frågor</w:t>
      </w:r>
      <w:r w:rsidRPr="00D90F15">
        <w:rPr>
          <w:noProof w:val="0"/>
        </w:rPr>
        <w:tab/>
        <w:t>14</w:t>
      </w:r>
    </w:p>
    <w:p w:rsidR="00FB23A6" w:rsidRPr="00D90F15" w:rsidRDefault="00FB23A6">
      <w:pPr>
        <w:pStyle w:val="Innehll2"/>
        <w:rPr>
          <w:noProof w:val="0"/>
        </w:rPr>
      </w:pPr>
      <w:r w:rsidRPr="00D90F15">
        <w:rPr>
          <w:noProof w:val="0"/>
        </w:rPr>
        <w:t>2.8</w:t>
      </w:r>
      <w:r w:rsidRPr="00D90F15">
        <w:rPr>
          <w:noProof w:val="0"/>
        </w:rPr>
        <w:tab/>
        <w:t>Europeiskt talmansmöte i Strasbourg</w:t>
      </w:r>
      <w:r w:rsidRPr="00D90F15">
        <w:rPr>
          <w:noProof w:val="0"/>
        </w:rPr>
        <w:tab/>
        <w:t>15</w:t>
      </w:r>
    </w:p>
    <w:p w:rsidR="00FB23A6" w:rsidRPr="00D90F15" w:rsidRDefault="00FB23A6">
      <w:pPr>
        <w:pStyle w:val="Innehll2"/>
        <w:rPr>
          <w:noProof w:val="0"/>
        </w:rPr>
      </w:pPr>
      <w:r w:rsidRPr="00D90F15">
        <w:rPr>
          <w:noProof w:val="0"/>
        </w:rPr>
        <w:t>2.9</w:t>
      </w:r>
      <w:r w:rsidRPr="00D90F15">
        <w:rPr>
          <w:noProof w:val="0"/>
        </w:rPr>
        <w:tab/>
        <w:t>Gäster</w:t>
      </w:r>
      <w:r w:rsidRPr="00D90F15">
        <w:rPr>
          <w:noProof w:val="0"/>
        </w:rPr>
        <w:tab/>
        <w:t>16</w:t>
      </w:r>
    </w:p>
    <w:p w:rsidR="00FB23A6" w:rsidRPr="00D90F15" w:rsidRDefault="00FB23A6">
      <w:pPr>
        <w:pStyle w:val="Innehll2"/>
        <w:tabs>
          <w:tab w:val="left" w:pos="907"/>
        </w:tabs>
        <w:rPr>
          <w:noProof w:val="0"/>
        </w:rPr>
      </w:pPr>
      <w:r w:rsidRPr="00D90F15">
        <w:rPr>
          <w:noProof w:val="0"/>
        </w:rPr>
        <w:t>2.10</w:t>
      </w:r>
      <w:r w:rsidRPr="00D90F15">
        <w:rPr>
          <w:noProof w:val="0"/>
        </w:rPr>
        <w:tab/>
        <w:t>Besök och möten i Sverige</w:t>
      </w:r>
      <w:r w:rsidRPr="00D90F15">
        <w:rPr>
          <w:noProof w:val="0"/>
        </w:rPr>
        <w:tab/>
        <w:t>16</w:t>
      </w:r>
    </w:p>
    <w:p w:rsidR="00FB23A6" w:rsidRPr="00D90F15" w:rsidRDefault="00FB23A6">
      <w:pPr>
        <w:pStyle w:val="Innehll1"/>
        <w:tabs>
          <w:tab w:val="left" w:pos="454"/>
        </w:tabs>
      </w:pPr>
      <w:r w:rsidRPr="00D90F15">
        <w:t>3</w:t>
      </w:r>
      <w:r w:rsidRPr="00D90F15">
        <w:tab/>
        <w:t>Den svenska representationen</w:t>
      </w:r>
      <w:r w:rsidRPr="00D90F15">
        <w:tab/>
        <w:t>17</w:t>
      </w:r>
    </w:p>
    <w:p w:rsidR="00FB23A6" w:rsidRPr="00D90F15" w:rsidRDefault="00FB23A6">
      <w:pPr>
        <w:pStyle w:val="Innehll1"/>
        <w:tabs>
          <w:tab w:val="left" w:pos="454"/>
        </w:tabs>
      </w:pPr>
      <w:r w:rsidRPr="00D90F15">
        <w:t>4</w:t>
      </w:r>
      <w:r w:rsidRPr="00D90F15">
        <w:tab/>
        <w:t>Huvudområden för församlingens verksamhet</w:t>
      </w:r>
      <w:r w:rsidRPr="00D90F15">
        <w:tab/>
        <w:t>19</w:t>
      </w:r>
    </w:p>
    <w:p w:rsidR="00FB23A6" w:rsidRPr="00D90F15" w:rsidRDefault="00FB23A6">
      <w:pPr>
        <w:pStyle w:val="Innehll2"/>
        <w:rPr>
          <w:noProof w:val="0"/>
        </w:rPr>
      </w:pPr>
      <w:r w:rsidRPr="00D90F15">
        <w:rPr>
          <w:noProof w:val="0"/>
        </w:rPr>
        <w:t>4.1</w:t>
      </w:r>
      <w:r w:rsidRPr="00D90F15">
        <w:rPr>
          <w:noProof w:val="0"/>
        </w:rPr>
        <w:tab/>
        <w:t>Granskning av hur medlemsländerna uppfyller sina åtaganden</w:t>
      </w:r>
      <w:r w:rsidRPr="00D90F15">
        <w:rPr>
          <w:noProof w:val="0"/>
        </w:rPr>
        <w:tab/>
        <w:t>19</w:t>
      </w:r>
    </w:p>
    <w:p w:rsidR="00FB23A6" w:rsidRPr="00D90F15" w:rsidRDefault="00FB23A6">
      <w:pPr>
        <w:pStyle w:val="Innehll3"/>
        <w:rPr>
          <w:noProof w:val="0"/>
        </w:rPr>
      </w:pPr>
      <w:r w:rsidRPr="00D90F15">
        <w:rPr>
          <w:noProof w:val="0"/>
        </w:rPr>
        <w:t>4.1.1</w:t>
      </w:r>
      <w:r w:rsidRPr="00D90F15">
        <w:rPr>
          <w:noProof w:val="0"/>
        </w:rPr>
        <w:tab/>
        <w:t>Bulgarien</w:t>
      </w:r>
      <w:r w:rsidRPr="00D90F15">
        <w:rPr>
          <w:noProof w:val="0"/>
        </w:rPr>
        <w:tab/>
        <w:t>20</w:t>
      </w:r>
    </w:p>
    <w:p w:rsidR="00FB23A6" w:rsidRPr="00D90F15" w:rsidRDefault="00FB23A6">
      <w:pPr>
        <w:pStyle w:val="Innehll3"/>
        <w:rPr>
          <w:noProof w:val="0"/>
        </w:rPr>
      </w:pPr>
      <w:r w:rsidRPr="00D90F15">
        <w:rPr>
          <w:noProof w:val="0"/>
        </w:rPr>
        <w:t>4.1.2</w:t>
      </w:r>
      <w:r w:rsidRPr="00D90F15">
        <w:rPr>
          <w:noProof w:val="0"/>
        </w:rPr>
        <w:tab/>
        <w:t>Makedonien</w:t>
      </w:r>
      <w:r w:rsidRPr="00D90F15">
        <w:rPr>
          <w:noProof w:val="0"/>
        </w:rPr>
        <w:tab/>
        <w:t>20</w:t>
      </w:r>
    </w:p>
    <w:p w:rsidR="00FB23A6" w:rsidRPr="00D90F15" w:rsidRDefault="00FB23A6">
      <w:pPr>
        <w:pStyle w:val="Innehll3"/>
        <w:rPr>
          <w:noProof w:val="0"/>
        </w:rPr>
      </w:pPr>
      <w:r w:rsidRPr="00D90F15">
        <w:rPr>
          <w:noProof w:val="0"/>
        </w:rPr>
        <w:t>4.1.3</w:t>
      </w:r>
      <w:r w:rsidRPr="00D90F15">
        <w:rPr>
          <w:noProof w:val="0"/>
        </w:rPr>
        <w:tab/>
        <w:t>Ukraina</w:t>
      </w:r>
      <w:r w:rsidRPr="00D90F15">
        <w:rPr>
          <w:noProof w:val="0"/>
        </w:rPr>
        <w:tab/>
        <w:t>21</w:t>
      </w:r>
    </w:p>
    <w:p w:rsidR="00FB23A6" w:rsidRPr="00D90F15" w:rsidRDefault="00FB23A6">
      <w:pPr>
        <w:pStyle w:val="Innehll3"/>
        <w:rPr>
          <w:noProof w:val="0"/>
        </w:rPr>
      </w:pPr>
      <w:r w:rsidRPr="00D90F15">
        <w:rPr>
          <w:noProof w:val="0"/>
        </w:rPr>
        <w:t>4.1.4</w:t>
      </w:r>
      <w:r w:rsidRPr="00D90F15">
        <w:rPr>
          <w:noProof w:val="0"/>
        </w:rPr>
        <w:tab/>
        <w:t>Albanien</w:t>
      </w:r>
      <w:r w:rsidRPr="00D90F15">
        <w:rPr>
          <w:noProof w:val="0"/>
        </w:rPr>
        <w:tab/>
        <w:t>21</w:t>
      </w:r>
    </w:p>
    <w:p w:rsidR="00FB23A6" w:rsidRPr="00D90F15" w:rsidRDefault="00FB23A6">
      <w:pPr>
        <w:pStyle w:val="Innehll3"/>
        <w:rPr>
          <w:noProof w:val="0"/>
        </w:rPr>
      </w:pPr>
      <w:r w:rsidRPr="00D90F15">
        <w:rPr>
          <w:noProof w:val="0"/>
        </w:rPr>
        <w:t>4.1.5</w:t>
      </w:r>
      <w:r w:rsidRPr="00D90F15">
        <w:rPr>
          <w:noProof w:val="0"/>
        </w:rPr>
        <w:tab/>
        <w:t>Kroatien</w:t>
      </w:r>
      <w:r w:rsidRPr="00D90F15">
        <w:rPr>
          <w:noProof w:val="0"/>
        </w:rPr>
        <w:tab/>
        <w:t>21</w:t>
      </w:r>
    </w:p>
    <w:p w:rsidR="00FB23A6" w:rsidRPr="00D90F15" w:rsidRDefault="00FB23A6">
      <w:pPr>
        <w:pStyle w:val="Innehll2"/>
        <w:rPr>
          <w:noProof w:val="0"/>
        </w:rPr>
      </w:pPr>
      <w:r w:rsidRPr="00D90F15">
        <w:rPr>
          <w:noProof w:val="0"/>
        </w:rPr>
        <w:t>4.2</w:t>
      </w:r>
      <w:r w:rsidRPr="00D90F15">
        <w:rPr>
          <w:noProof w:val="0"/>
        </w:rPr>
        <w:tab/>
        <w:t>Politiska frågor</w:t>
      </w:r>
      <w:r w:rsidRPr="00D90F15">
        <w:rPr>
          <w:noProof w:val="0"/>
        </w:rPr>
        <w:tab/>
        <w:t>22</w:t>
      </w:r>
    </w:p>
    <w:p w:rsidR="00FB23A6" w:rsidRPr="00D90F15" w:rsidRDefault="00FB23A6">
      <w:pPr>
        <w:pStyle w:val="Innehll3"/>
        <w:rPr>
          <w:noProof w:val="0"/>
        </w:rPr>
      </w:pPr>
      <w:r w:rsidRPr="00D90F15">
        <w:rPr>
          <w:noProof w:val="0"/>
        </w:rPr>
        <w:t>4.2.1</w:t>
      </w:r>
      <w:r w:rsidRPr="00D90F15">
        <w:rPr>
          <w:noProof w:val="0"/>
        </w:rPr>
        <w:tab/>
        <w:t>Tjetjenien</w:t>
      </w:r>
      <w:r w:rsidRPr="00D90F15">
        <w:rPr>
          <w:noProof w:val="0"/>
        </w:rPr>
        <w:tab/>
        <w:t>22</w:t>
      </w:r>
    </w:p>
    <w:p w:rsidR="00FB23A6" w:rsidRPr="00D90F15" w:rsidRDefault="00FB23A6">
      <w:pPr>
        <w:pStyle w:val="Innehll3"/>
        <w:rPr>
          <w:noProof w:val="0"/>
        </w:rPr>
      </w:pPr>
      <w:r w:rsidRPr="00D90F15">
        <w:rPr>
          <w:noProof w:val="0"/>
        </w:rPr>
        <w:t>4.2.2</w:t>
      </w:r>
      <w:r w:rsidRPr="00D90F15">
        <w:rPr>
          <w:noProof w:val="0"/>
        </w:rPr>
        <w:tab/>
        <w:t>Vitryssland</w:t>
      </w:r>
      <w:r w:rsidRPr="00D90F15">
        <w:rPr>
          <w:noProof w:val="0"/>
        </w:rPr>
        <w:tab/>
        <w:t>24</w:t>
      </w:r>
    </w:p>
    <w:p w:rsidR="00FB23A6" w:rsidRPr="00D90F15" w:rsidRDefault="00FB23A6">
      <w:pPr>
        <w:pStyle w:val="Innehll3"/>
        <w:rPr>
          <w:noProof w:val="0"/>
        </w:rPr>
      </w:pPr>
      <w:r w:rsidRPr="00D90F15">
        <w:rPr>
          <w:noProof w:val="0"/>
        </w:rPr>
        <w:t>4.2.3</w:t>
      </w:r>
      <w:r w:rsidRPr="00D90F15">
        <w:rPr>
          <w:noProof w:val="0"/>
        </w:rPr>
        <w:tab/>
        <w:t>Förenta nationerna</w:t>
      </w:r>
      <w:r w:rsidRPr="00D90F15">
        <w:rPr>
          <w:noProof w:val="0"/>
        </w:rPr>
        <w:tab/>
        <w:t>24</w:t>
      </w:r>
    </w:p>
    <w:p w:rsidR="00FB23A6" w:rsidRPr="00D90F15" w:rsidRDefault="00FB23A6">
      <w:pPr>
        <w:pStyle w:val="Innehll2"/>
        <w:rPr>
          <w:noProof w:val="0"/>
        </w:rPr>
      </w:pPr>
      <w:r w:rsidRPr="00D90F15">
        <w:rPr>
          <w:noProof w:val="0"/>
        </w:rPr>
        <w:t>4.3</w:t>
      </w:r>
      <w:r w:rsidRPr="00D90F15">
        <w:rPr>
          <w:noProof w:val="0"/>
        </w:rPr>
        <w:tab/>
        <w:t>Juridiska frågor och mänskliga rättigheter</w:t>
      </w:r>
      <w:r w:rsidRPr="00D90F15">
        <w:rPr>
          <w:noProof w:val="0"/>
        </w:rPr>
        <w:tab/>
        <w:t>25</w:t>
      </w:r>
    </w:p>
    <w:p w:rsidR="00FB23A6" w:rsidRPr="00D90F15" w:rsidRDefault="00FB23A6">
      <w:pPr>
        <w:pStyle w:val="Innehll3"/>
        <w:rPr>
          <w:noProof w:val="0"/>
        </w:rPr>
      </w:pPr>
      <w:r w:rsidRPr="00D90F15">
        <w:rPr>
          <w:noProof w:val="0"/>
        </w:rPr>
        <w:t>4.3.1</w:t>
      </w:r>
      <w:r w:rsidRPr="00D90F15">
        <w:rPr>
          <w:noProof w:val="0"/>
        </w:rPr>
        <w:tab/>
        <w:t>EU:s grundrättighetsstadga</w:t>
      </w:r>
      <w:r w:rsidRPr="00D90F15">
        <w:rPr>
          <w:noProof w:val="0"/>
        </w:rPr>
        <w:tab/>
        <w:t>25</w:t>
      </w:r>
    </w:p>
    <w:p w:rsidR="00FB23A6" w:rsidRPr="00D90F15" w:rsidRDefault="00FB23A6">
      <w:pPr>
        <w:pStyle w:val="Innehll3"/>
        <w:rPr>
          <w:noProof w:val="0"/>
        </w:rPr>
      </w:pPr>
      <w:r w:rsidRPr="00D90F15">
        <w:rPr>
          <w:noProof w:val="0"/>
        </w:rPr>
        <w:t>4.3.2</w:t>
      </w:r>
      <w:r w:rsidRPr="00D90F15">
        <w:rPr>
          <w:noProof w:val="0"/>
        </w:rPr>
        <w:tab/>
        <w:t>Europakonventionen och Europadomstolen</w:t>
      </w:r>
      <w:r w:rsidRPr="00D90F15">
        <w:rPr>
          <w:noProof w:val="0"/>
        </w:rPr>
        <w:tab/>
        <w:t>26</w:t>
      </w:r>
    </w:p>
    <w:p w:rsidR="00FB23A6" w:rsidRPr="00D90F15" w:rsidRDefault="00FB23A6">
      <w:pPr>
        <w:pStyle w:val="Innehll3"/>
        <w:rPr>
          <w:noProof w:val="0"/>
        </w:rPr>
      </w:pPr>
      <w:r w:rsidRPr="00D90F15">
        <w:rPr>
          <w:noProof w:val="0"/>
        </w:rPr>
        <w:t>4.3.3</w:t>
      </w:r>
      <w:r w:rsidRPr="00D90F15">
        <w:rPr>
          <w:noProof w:val="0"/>
        </w:rPr>
        <w:tab/>
        <w:t>Sexuellt likaberättigande</w:t>
      </w:r>
      <w:r w:rsidRPr="00D90F15">
        <w:rPr>
          <w:noProof w:val="0"/>
        </w:rPr>
        <w:tab/>
        <w:t>27</w:t>
      </w:r>
    </w:p>
    <w:p w:rsidR="00FB23A6" w:rsidRPr="00D90F15" w:rsidRDefault="00FB23A6">
      <w:pPr>
        <w:pStyle w:val="Innehll2"/>
        <w:rPr>
          <w:noProof w:val="0"/>
        </w:rPr>
      </w:pPr>
      <w:r w:rsidRPr="00D90F15">
        <w:rPr>
          <w:noProof w:val="0"/>
        </w:rPr>
        <w:t>4.4</w:t>
      </w:r>
      <w:r w:rsidRPr="00D90F15">
        <w:rPr>
          <w:noProof w:val="0"/>
        </w:rPr>
        <w:tab/>
        <w:t>Ekonomi och utveckling</w:t>
      </w:r>
      <w:r w:rsidRPr="00D90F15">
        <w:rPr>
          <w:noProof w:val="0"/>
        </w:rPr>
        <w:tab/>
        <w:t>27</w:t>
      </w:r>
    </w:p>
    <w:p w:rsidR="00FB23A6" w:rsidRPr="00D90F15" w:rsidRDefault="00FB23A6">
      <w:pPr>
        <w:pStyle w:val="Innehll2"/>
        <w:rPr>
          <w:noProof w:val="0"/>
        </w:rPr>
      </w:pPr>
      <w:r w:rsidRPr="00D90F15">
        <w:rPr>
          <w:noProof w:val="0"/>
        </w:rPr>
        <w:t>4.5</w:t>
      </w:r>
      <w:r w:rsidRPr="00D90F15">
        <w:rPr>
          <w:noProof w:val="0"/>
        </w:rPr>
        <w:tab/>
        <w:t>Sociala frågor, hälso- och familjefrågor</w:t>
      </w:r>
      <w:r w:rsidRPr="00D90F15">
        <w:rPr>
          <w:noProof w:val="0"/>
        </w:rPr>
        <w:tab/>
        <w:t>29</w:t>
      </w:r>
    </w:p>
    <w:p w:rsidR="00FB23A6" w:rsidRPr="00D90F15" w:rsidRDefault="00FB23A6">
      <w:pPr>
        <w:pStyle w:val="Innehll2"/>
        <w:rPr>
          <w:noProof w:val="0"/>
        </w:rPr>
      </w:pPr>
      <w:r w:rsidRPr="00D90F15">
        <w:rPr>
          <w:noProof w:val="0"/>
        </w:rPr>
        <w:t>4.6</w:t>
      </w:r>
      <w:r w:rsidRPr="00D90F15">
        <w:rPr>
          <w:noProof w:val="0"/>
        </w:rPr>
        <w:tab/>
        <w:t>Kultur och utbildning</w:t>
      </w:r>
      <w:r w:rsidRPr="00D90F15">
        <w:rPr>
          <w:noProof w:val="0"/>
        </w:rPr>
        <w:tab/>
        <w:t>30</w:t>
      </w:r>
    </w:p>
    <w:p w:rsidR="00FB23A6" w:rsidRPr="00D90F15" w:rsidRDefault="00FB23A6">
      <w:pPr>
        <w:pStyle w:val="Innehll2"/>
        <w:rPr>
          <w:noProof w:val="0"/>
        </w:rPr>
      </w:pPr>
      <w:r w:rsidRPr="00D90F15">
        <w:rPr>
          <w:noProof w:val="0"/>
        </w:rPr>
        <w:t>4.7</w:t>
      </w:r>
      <w:r w:rsidRPr="00D90F15">
        <w:rPr>
          <w:noProof w:val="0"/>
        </w:rPr>
        <w:tab/>
        <w:t>Naturvetenskap och teknik</w:t>
      </w:r>
      <w:r w:rsidRPr="00D90F15">
        <w:rPr>
          <w:noProof w:val="0"/>
        </w:rPr>
        <w:tab/>
        <w:t>30</w:t>
      </w:r>
    </w:p>
    <w:p w:rsidR="00FB23A6" w:rsidRPr="00D90F15" w:rsidRDefault="00FB23A6">
      <w:pPr>
        <w:pStyle w:val="Innehll2"/>
        <w:rPr>
          <w:noProof w:val="0"/>
        </w:rPr>
      </w:pPr>
      <w:r w:rsidRPr="00D90F15">
        <w:rPr>
          <w:noProof w:val="0"/>
        </w:rPr>
        <w:t>4.8</w:t>
      </w:r>
      <w:r w:rsidRPr="00D90F15">
        <w:rPr>
          <w:noProof w:val="0"/>
        </w:rPr>
        <w:tab/>
        <w:t>Miljö, regionalplanering och lokal förvaltning</w:t>
      </w:r>
      <w:r w:rsidRPr="00D90F15">
        <w:rPr>
          <w:noProof w:val="0"/>
        </w:rPr>
        <w:tab/>
        <w:t>30</w:t>
      </w:r>
    </w:p>
    <w:p w:rsidR="00FB23A6" w:rsidRPr="00D90F15" w:rsidRDefault="00FB23A6">
      <w:pPr>
        <w:pStyle w:val="Innehll2"/>
        <w:rPr>
          <w:noProof w:val="0"/>
        </w:rPr>
      </w:pPr>
      <w:r w:rsidRPr="00D90F15">
        <w:rPr>
          <w:noProof w:val="0"/>
        </w:rPr>
        <w:t>4.9</w:t>
      </w:r>
      <w:r w:rsidRPr="00D90F15">
        <w:rPr>
          <w:noProof w:val="0"/>
        </w:rPr>
        <w:tab/>
        <w:t>Befolknings- och flyktingfrågor</w:t>
      </w:r>
      <w:r w:rsidRPr="00D90F15">
        <w:rPr>
          <w:noProof w:val="0"/>
        </w:rPr>
        <w:tab/>
        <w:t>31</w:t>
      </w:r>
    </w:p>
    <w:p w:rsidR="00FB23A6" w:rsidRPr="00D90F15" w:rsidRDefault="00FB23A6">
      <w:pPr>
        <w:pStyle w:val="Innehll2"/>
        <w:tabs>
          <w:tab w:val="left" w:pos="907"/>
        </w:tabs>
        <w:rPr>
          <w:noProof w:val="0"/>
        </w:rPr>
      </w:pPr>
      <w:r w:rsidRPr="00D90F15">
        <w:rPr>
          <w:noProof w:val="0"/>
        </w:rPr>
        <w:t>4.10</w:t>
      </w:r>
      <w:r w:rsidRPr="00D90F15">
        <w:rPr>
          <w:noProof w:val="0"/>
        </w:rPr>
        <w:tab/>
        <w:t>Jordbruk och landsbygdsutveckling</w:t>
      </w:r>
      <w:r w:rsidRPr="00D90F15">
        <w:rPr>
          <w:noProof w:val="0"/>
        </w:rPr>
        <w:tab/>
        <w:t>32</w:t>
      </w:r>
    </w:p>
    <w:p w:rsidR="00FB23A6" w:rsidRPr="00D90F15" w:rsidRDefault="00FB23A6">
      <w:pPr>
        <w:pStyle w:val="Innehll2"/>
        <w:tabs>
          <w:tab w:val="left" w:pos="907"/>
        </w:tabs>
        <w:rPr>
          <w:noProof w:val="0"/>
        </w:rPr>
      </w:pPr>
      <w:r w:rsidRPr="00D90F15">
        <w:rPr>
          <w:noProof w:val="0"/>
        </w:rPr>
        <w:t>4.11</w:t>
      </w:r>
      <w:r w:rsidRPr="00D90F15">
        <w:rPr>
          <w:noProof w:val="0"/>
        </w:rPr>
        <w:tab/>
        <w:t>Kontakter med nationella parlament och med allmänheten</w:t>
      </w:r>
      <w:r w:rsidRPr="00D90F15">
        <w:rPr>
          <w:noProof w:val="0"/>
        </w:rPr>
        <w:tab/>
        <w:t>32</w:t>
      </w:r>
    </w:p>
    <w:p w:rsidR="00FB23A6" w:rsidRPr="00D90F15" w:rsidRDefault="00FB23A6">
      <w:pPr>
        <w:pStyle w:val="Innehll2"/>
        <w:tabs>
          <w:tab w:val="left" w:pos="907"/>
        </w:tabs>
        <w:rPr>
          <w:noProof w:val="0"/>
        </w:rPr>
      </w:pPr>
      <w:r w:rsidRPr="00D90F15">
        <w:rPr>
          <w:noProof w:val="0"/>
        </w:rPr>
        <w:t>4.12</w:t>
      </w:r>
      <w:r w:rsidRPr="00D90F15">
        <w:rPr>
          <w:noProof w:val="0"/>
        </w:rPr>
        <w:tab/>
        <w:t>Jämställdhet mellan kvinnor och män</w:t>
      </w:r>
      <w:r w:rsidRPr="00D90F15">
        <w:rPr>
          <w:noProof w:val="0"/>
        </w:rPr>
        <w:tab/>
        <w:t>33</w:t>
      </w:r>
    </w:p>
    <w:p w:rsidR="00FB23A6" w:rsidRPr="00D90F15" w:rsidRDefault="00FB23A6">
      <w:pPr>
        <w:pStyle w:val="Innehll1"/>
      </w:pPr>
      <w:r w:rsidRPr="00D90F15">
        <w:t>Förteckning över församlingens beslut</w:t>
      </w:r>
      <w:r w:rsidRPr="00D90F15">
        <w:tab/>
        <w:t>3</w:t>
      </w:r>
      <w:bookmarkStart w:id="21" w:name="_Hlt506878112"/>
      <w:r w:rsidRPr="00D90F15">
        <w:t>4</w:t>
      </w:r>
      <w:bookmarkEnd w:id="21"/>
    </w:p>
    <w:p w:rsidR="00FB23A6" w:rsidRPr="00D90F15" w:rsidRDefault="00FB23A6">
      <w:pPr>
        <w:pStyle w:val="Rubrik1"/>
        <w:numPr>
          <w:ilvl w:val="0"/>
          <w:numId w:val="0"/>
        </w:numPr>
        <w:tabs>
          <w:tab w:val="left" w:pos="426"/>
        </w:tabs>
        <w:spacing w:line="240" w:lineRule="atLeast"/>
      </w:pPr>
      <w:r w:rsidRPr="00D90F15">
        <w:br w:type="page"/>
      </w:r>
      <w:bookmarkStart w:id="22" w:name="_Toc506878058"/>
      <w:r w:rsidRPr="00D90F15">
        <w:t>1</w:t>
      </w:r>
      <w:r w:rsidRPr="00D90F15">
        <w:tab/>
        <w:t>Europarådets roll i det europeiska samarbetet</w:t>
      </w:r>
      <w:bookmarkEnd w:id="22"/>
    </w:p>
    <w:p w:rsidR="00FB23A6" w:rsidRPr="00D90F15" w:rsidRDefault="00FB23A6">
      <w:r w:rsidRPr="00D90F15">
        <w:t>Europarådets historiska uppdrag är att bidra till Europas utveckling på grundval av krav på demokrati, mänskliga rättigheter och rättstrygghet. E</w:t>
      </w:r>
      <w:r w:rsidRPr="00D90F15">
        <w:t>u</w:t>
      </w:r>
      <w:r w:rsidRPr="00D90F15">
        <w:t>roparådet har under ett drygt halvsekel bidragit till byggande av en geme</w:t>
      </w:r>
      <w:r w:rsidRPr="00D90F15">
        <w:t>n</w:t>
      </w:r>
      <w:r w:rsidRPr="00D90F15">
        <w:t>sam europeisk värdegrund och är i dag genom sina konventioner en viktig normgivande institution inom europeisk politik. Sverige tillhörde grundarna när Europarådets stadgar undertecknades av tio västeuropeiska stater i Lo</w:t>
      </w:r>
      <w:r w:rsidRPr="00D90F15">
        <w:t>n</w:t>
      </w:r>
      <w:r w:rsidRPr="00D90F15">
        <w:t>don den 5 maj 1949.</w:t>
      </w:r>
    </w:p>
    <w:p w:rsidR="00FB23A6" w:rsidRPr="00D90F15" w:rsidRDefault="00FB23A6">
      <w:pPr>
        <w:pStyle w:val="Normaltindrag"/>
      </w:pPr>
      <w:r w:rsidRPr="00D90F15">
        <w:t>Under 90-talet genomgick Europarådet omfattande förändringar. Efter Berlinmurens fall följde Tysklands återförening, Sovjetunionens sönderfall, Baltikums frigörelse, Warszawapaktens upplösning oc</w:t>
      </w:r>
      <w:r w:rsidRPr="00D90F15">
        <w:t>h skapandet av Eur</w:t>
      </w:r>
      <w:r w:rsidRPr="00D90F15">
        <w:t>o</w:t>
      </w:r>
      <w:r w:rsidRPr="00D90F15">
        <w:t>peiska unionen i Maastricht. Slutet av det kalla krigets polarisering i Europa gjorde en utvidgning av Europarådet möjlig. Arbetet i Europarådets parl</w:t>
      </w:r>
      <w:r w:rsidRPr="00D90F15">
        <w:t>a</w:t>
      </w:r>
      <w:r w:rsidRPr="00D90F15">
        <w:t>mentariska församling har under det senaste decenniet präglats av utvec</w:t>
      </w:r>
      <w:r w:rsidRPr="00D90F15">
        <w:t>k</w:t>
      </w:r>
      <w:r w:rsidRPr="00D90F15">
        <w:t>lingen i Öst- och Centraleuropa. Medlemskretsen har vidgats och vid år</w:t>
      </w:r>
      <w:r w:rsidRPr="00D90F15">
        <w:t>s</w:t>
      </w:r>
      <w:r w:rsidRPr="00D90F15">
        <w:t>skiftet 2000/2001 hade Europarådet 41 medlemsländer. Dessutom var det då klart att Armenien och Azerbajdzjan inom kort skulle tillträda Europar</w:t>
      </w:r>
      <w:r w:rsidRPr="00D90F15">
        <w:t>å</w:t>
      </w:r>
      <w:r w:rsidRPr="00D90F15">
        <w:t>det.</w:t>
      </w:r>
    </w:p>
    <w:p w:rsidR="00FB23A6" w:rsidRPr="00D90F15" w:rsidRDefault="00FB23A6">
      <w:pPr>
        <w:pStyle w:val="Rubrik2"/>
      </w:pPr>
      <w:bookmarkStart w:id="23" w:name="_Toc506878059"/>
      <w:r w:rsidRPr="00D90F15">
        <w:t>Den parlamentariska församlingens roll och uppgift</w:t>
      </w:r>
      <w:r w:rsidRPr="00D90F15">
        <w:t>er</w:t>
      </w:r>
      <w:bookmarkEnd w:id="23"/>
    </w:p>
    <w:p w:rsidR="00FB23A6" w:rsidRPr="00D90F15" w:rsidRDefault="00FB23A6">
      <w:r w:rsidRPr="00D90F15">
        <w:t>Inom Europarådets ram samarbetar såväl medlemsländernas regeringar som deras parlament och regionala politiska organ. Europarådet arbetar på tre politiska nivåer: ett beslutande och verkställande organ – ministerkommittén, ett rådgivande och pådrivande organ – den parlamentariska församlingen och ett organ för samarbete på lokal och regional nivå – den europeiska kongre</w:t>
      </w:r>
      <w:r w:rsidRPr="00D90F15">
        <w:t>s</w:t>
      </w:r>
      <w:r w:rsidRPr="00D90F15">
        <w:t>sen för lokala och regionala organ, Kommunalkongressen.</w:t>
      </w:r>
    </w:p>
    <w:p w:rsidR="00FB23A6" w:rsidRPr="00D90F15" w:rsidRDefault="00FB23A6">
      <w:pPr>
        <w:pStyle w:val="Normaltindrag"/>
      </w:pPr>
      <w:r w:rsidRPr="00D90F15">
        <w:t>Ledamöterna i den parlamentariska församlingen utses av medlemslände</w:t>
      </w:r>
      <w:r w:rsidRPr="00D90F15">
        <w:t>r</w:t>
      </w:r>
      <w:r w:rsidRPr="00D90F15">
        <w:t>nas parlament. Antalet representanter i de nationella delegationerna fastställs i förhållande till landets invånarantal. Under 2000 var antalet delegater i församlingen 291. Det fanns lika många suppleanter. Därtill deltar med sä</w:t>
      </w:r>
      <w:r w:rsidRPr="00D90F15">
        <w:t>r</w:t>
      </w:r>
      <w:r w:rsidRPr="00D90F15">
        <w:t>skild gäststatus parlamentariska delegationer från stater som ansökt om medlemskap. Av dessa återstår två länder, Bosnien-Hercegovina och Mon</w:t>
      </w:r>
      <w:r w:rsidRPr="00D90F15">
        <w:t>a</w:t>
      </w:r>
      <w:r w:rsidRPr="00D90F15">
        <w:t xml:space="preserve">co, när Armenien och Azerbajdzjan i januari 2001 blivit medlemmar. </w:t>
      </w:r>
    </w:p>
    <w:p w:rsidR="00FB23A6" w:rsidRPr="00D90F15" w:rsidRDefault="00FB23A6">
      <w:pPr>
        <w:pStyle w:val="Normaltindrag"/>
      </w:pPr>
      <w:r w:rsidRPr="00D90F15">
        <w:t>Parlamentariker från Israel, Kanada och Mexiko deltar i församlingens a</w:t>
      </w:r>
      <w:r w:rsidRPr="00D90F15">
        <w:t>r</w:t>
      </w:r>
      <w:r w:rsidRPr="00D90F15">
        <w:t>bete med observatörsstatus. Förbundsrepubliken Jugoslavien har på nytt ansökt om medlemskap och beviljades från januari 2001 särskild gäststatus.</w:t>
      </w:r>
    </w:p>
    <w:p w:rsidR="00FB23A6" w:rsidRPr="00D90F15" w:rsidRDefault="00FB23A6">
      <w:pPr>
        <w:pStyle w:val="Normaltindrag"/>
      </w:pPr>
      <w:r w:rsidRPr="00D90F15">
        <w:t>Även om den från början kallades rådgivande församlingen, har man su</w:t>
      </w:r>
      <w:r w:rsidRPr="00D90F15">
        <w:t>c</w:t>
      </w:r>
      <w:r w:rsidRPr="00D90F15">
        <w:t>cessivt gått över till beteckningen parlamentariska församlingen. På sistone har partisamarbetet över gränserna fått allt större betydelse. Följande fem partigrupperingar är verksamma inom Europarådets parlamentariska försa</w:t>
      </w:r>
      <w:r w:rsidRPr="00D90F15">
        <w:t>m</w:t>
      </w:r>
      <w:r w:rsidRPr="00D90F15">
        <w:t xml:space="preserve">ling: den socialistiska gruppen (SOC), det europeiska folkpartiet (EPP/CD), den europeiska demokratiska gruppen (EDG), den liberala, demokratiska och reformistiska gruppen (LDR) samt den förenade europeiska vänstern </w:t>
      </w:r>
      <w:r w:rsidRPr="00D90F15">
        <w:rPr>
          <w:sz w:val="22"/>
        </w:rPr>
        <w:t>(</w:t>
      </w:r>
      <w:r w:rsidRPr="00D90F15">
        <w:t xml:space="preserve">UEL). Ett trettiotal parlamentariker tillhör ingen gruppering. </w:t>
      </w:r>
    </w:p>
    <w:p w:rsidR="00FB23A6" w:rsidRPr="00D90F15" w:rsidRDefault="00FB23A6">
      <w:pPr>
        <w:pStyle w:val="Normaltindrag"/>
      </w:pPr>
      <w:r w:rsidRPr="00D90F15">
        <w:t xml:space="preserve">Sedan </w:t>
      </w:r>
      <w:r w:rsidRPr="00D90F15">
        <w:t>tillkomsten 1949 har den parlamentariska församlingen inom Eur</w:t>
      </w:r>
      <w:r w:rsidRPr="00D90F15">
        <w:t>o</w:t>
      </w:r>
      <w:r w:rsidRPr="00D90F15">
        <w:t>parådets ram arbetat för att främja fred och frihet, de mänskliga rättigheterna, demokratins och rättsstatens principer samt social rättvisa i Europa. Försa</w:t>
      </w:r>
      <w:r w:rsidRPr="00D90F15">
        <w:t>m</w:t>
      </w:r>
      <w:r w:rsidRPr="00D90F15">
        <w:t>lingen har aktivt medverkat till utvidgningen av Europarådet. I arbetet har ingått att förbereda kandidatländer för medlemskap, bedöma om villkoren för medlemskap är uppfyllda och bistå de nya medlemsländerna i deras dem</w:t>
      </w:r>
      <w:r w:rsidRPr="00D90F15">
        <w:t>o</w:t>
      </w:r>
      <w:r w:rsidRPr="00D90F15">
        <w:t xml:space="preserve">kratiska utveckling. Församlingen har varit pådrivande i frågor som de </w:t>
      </w:r>
      <w:r w:rsidRPr="00D90F15">
        <w:t>mänskliga rättigheterna och minoriteters rättigheter samt bidragit vid til</w:t>
      </w:r>
      <w:r w:rsidRPr="00D90F15">
        <w:t>l</w:t>
      </w:r>
      <w:r w:rsidRPr="00D90F15">
        <w:t>komsten av ett stort antal konventioner.</w:t>
      </w:r>
    </w:p>
    <w:p w:rsidR="00FB23A6" w:rsidRPr="00D90F15" w:rsidRDefault="00FB23A6">
      <w:pPr>
        <w:pStyle w:val="Normaltindrag"/>
      </w:pPr>
      <w:r w:rsidRPr="00D90F15">
        <w:t>Genom utvidgningen av medlemskretsen har Europarådet fått en mer het</w:t>
      </w:r>
      <w:r w:rsidRPr="00D90F15">
        <w:t>e</w:t>
      </w:r>
      <w:r w:rsidRPr="00D90F15">
        <w:t>rogen sammansättning än under de första decennierna. Det ställer speciella krav när det gäller att upprätthålla värderingar och principer. Den parlame</w:t>
      </w:r>
      <w:r w:rsidRPr="00D90F15">
        <w:t>n</w:t>
      </w:r>
      <w:r w:rsidRPr="00D90F15">
        <w:t>tariska församlingen anser det viktigt att säkerställa att Europarådets grun</w:t>
      </w:r>
      <w:r w:rsidRPr="00D90F15">
        <w:t>d</w:t>
      </w:r>
      <w:r w:rsidRPr="00D90F15">
        <w:t>läggande värderingar – och därigenom dess trovärdighet – inte försvagas. Det räcker inte med att ett land ingår en principiell förbindelse att respektera de mänskliga rättigheterna och rättsstatens principer. Uppföljningen och kontrollen av efterlevnaden av dessa principer är numera</w:t>
      </w:r>
      <w:r w:rsidRPr="00D90F15">
        <w:t xml:space="preserve"> en viktig del av verksamheten i den parlamentariska församlingen, ministerkommittén och kongressen för lokala och kommunala myndigheter. Det är särskilt viktigt att stärka och konsolidera de demokratiska krafterna i Öst- och Centraleuropa samt stödja ländernas strävan att bygga upp demokratiska institutioner, ett oberoende rättsväsende och skydd för nationella minoriteter, stärka de mänskliga rättigheterna och avskaffa dödsstraffet.</w:t>
      </w:r>
    </w:p>
    <w:p w:rsidR="00FB23A6" w:rsidRPr="00D90F15" w:rsidRDefault="00FB23A6">
      <w:pPr>
        <w:pStyle w:val="Normaltindrag"/>
      </w:pPr>
      <w:r w:rsidRPr="00D90F15">
        <w:t>En omvärld som starkt förändrats har satt krav på verksamhetens inrik</w:t>
      </w:r>
      <w:r w:rsidRPr="00D90F15">
        <w:t>t</w:t>
      </w:r>
      <w:r w:rsidRPr="00D90F15">
        <w:t>ning och det europeiska samarbetet. På grundval av de förslag till förnyelse av organisationen som utarbetades  i samband med Europarådets femtioår</w:t>
      </w:r>
      <w:r w:rsidRPr="00D90F15">
        <w:t>s</w:t>
      </w:r>
      <w:r w:rsidRPr="00D90F15">
        <w:t xml:space="preserve">jubileum 1999 har reformeringen av den parlamentariska församlingens arbetsmetoder satt fart. Som ett led i uppföljningen av dessa förslag har församlingen under 2000 godkänt en revidering av sin stadga (dok. 8750) för att bättre uppfylla kraven på kvalitet och effektivitet. </w:t>
      </w:r>
    </w:p>
    <w:p w:rsidR="00FB23A6" w:rsidRPr="00D90F15" w:rsidRDefault="00FB23A6">
      <w:pPr>
        <w:pStyle w:val="Rubrik1"/>
      </w:pPr>
      <w:bookmarkStart w:id="24" w:name="_Toc506878060"/>
      <w:r w:rsidRPr="00D90F15">
        <w:t>Den parlamentariska församlingens verksamhet under 2000</w:t>
      </w:r>
      <w:bookmarkEnd w:id="24"/>
    </w:p>
    <w:p w:rsidR="00FB23A6" w:rsidRPr="00D90F15" w:rsidRDefault="00FB23A6">
      <w:pPr>
        <w:pStyle w:val="Rubrik2"/>
        <w:spacing w:before="120"/>
      </w:pPr>
      <w:bookmarkStart w:id="25" w:name="_Toc506878061"/>
      <w:r w:rsidRPr="00D90F15">
        <w:t>Sessionen 2000</w:t>
      </w:r>
      <w:bookmarkEnd w:id="25"/>
    </w:p>
    <w:p w:rsidR="00FB23A6" w:rsidRPr="00D90F15" w:rsidRDefault="00FB23A6">
      <w:r w:rsidRPr="00D90F15">
        <w:t>Europarådets parlamentariska församling möttes i fyra delsessioner under 2000. Samtliga hölls i Strasbourg. Delsessionerna ägde rum den 24–28 jan</w:t>
      </w:r>
      <w:r w:rsidRPr="00D90F15">
        <w:t>u</w:t>
      </w:r>
      <w:r w:rsidRPr="00D90F15">
        <w:t>ari, den 3–7 april, den 26–30 juni och den 25–29 september. Det ständiga utskottet, som beslutar på församlingens vägnar mellan delsessionerna, sammanträdde den 16–17 maj och den 8–9 november. En s.k. minisession hölls i Dublin den 16–17 maj med deltagande av det ständiga utskottet, byrån och flera fackutskott.</w:t>
      </w:r>
    </w:p>
    <w:p w:rsidR="00FB23A6" w:rsidRPr="00D90F15" w:rsidRDefault="00FB23A6">
      <w:pPr>
        <w:pStyle w:val="Normaltindrag"/>
      </w:pPr>
      <w:r w:rsidRPr="00D90F15">
        <w:t>De fyra delsessionerna debatterade församlingens rapporter, avgav r</w:t>
      </w:r>
      <w:r w:rsidRPr="00D90F15">
        <w:t>e</w:t>
      </w:r>
      <w:r w:rsidRPr="00D90F15">
        <w:t>kommendationer till ministerkommittén, antog resolutioner och direktiv samt gjorde uttalanden i aktuella frågor. De rapporter som lades fram för försa</w:t>
      </w:r>
      <w:r w:rsidRPr="00D90F15">
        <w:t>m</w:t>
      </w:r>
      <w:r w:rsidRPr="00D90F15">
        <w:t>lingen och det ständiga utskottet hade förberetts av de 14 fackutskott som sammanträtt i Strasbourg, Paris eller i något av medlemsländerna på inbjudan av respektive lands parlament.</w:t>
      </w:r>
    </w:p>
    <w:p w:rsidR="00FB23A6" w:rsidRPr="00D90F15" w:rsidRDefault="00FB23A6">
      <w:pPr>
        <w:pStyle w:val="Normaltindrag"/>
      </w:pPr>
      <w:r w:rsidRPr="00D90F15">
        <w:t>Till president för församlingen omvaldes i januari Lord Russell-Johnston, Storbritannien. En ledamot kan enligt praxis väljas till president i högst tre år. Lord Russell-Johnsto</w:t>
      </w:r>
      <w:r w:rsidRPr="00D90F15">
        <w:t>n är församlingens 21:e president och leder försa</w:t>
      </w:r>
      <w:r w:rsidRPr="00D90F15">
        <w:t>m</w:t>
      </w:r>
      <w:r w:rsidRPr="00D90F15">
        <w:t>lingens arbete sedan januari 1999.</w:t>
      </w:r>
    </w:p>
    <w:p w:rsidR="00FB23A6" w:rsidRPr="00D90F15" w:rsidRDefault="00FB23A6">
      <w:pPr>
        <w:pStyle w:val="Normaltindrag"/>
      </w:pPr>
      <w:r w:rsidRPr="00D90F15">
        <w:t>Kammarsekreteraren, som numera kallas för generalsekreterare, väljs av församlingen på förslag av ministerkommittén (§ 63). Bruno Haller omva</w:t>
      </w:r>
      <w:r w:rsidRPr="00D90F15">
        <w:t>l</w:t>
      </w:r>
      <w:r w:rsidRPr="00D90F15">
        <w:t xml:space="preserve">des enhälligt vid septembersessionen. </w:t>
      </w:r>
    </w:p>
    <w:p w:rsidR="00FB23A6" w:rsidRPr="00D90F15" w:rsidRDefault="00FB23A6">
      <w:pPr>
        <w:pStyle w:val="Rubrik2"/>
      </w:pPr>
      <w:bookmarkStart w:id="26" w:name="_Toc506878062"/>
      <w:r w:rsidRPr="00D90F15">
        <w:t>Budget och omstrukturering av verksamheten</w:t>
      </w:r>
      <w:bookmarkEnd w:id="26"/>
    </w:p>
    <w:p w:rsidR="00FB23A6" w:rsidRPr="00D90F15" w:rsidRDefault="00FB23A6">
      <w:r w:rsidRPr="00D90F15">
        <w:t>Verksamheten har ökat i den parlamentariska församlingen främst till följd av det ökade antalet medlemsländer. Resurserna har dock inte ökat i samma takt som förväntningarna och trycket på organisationen. I flera år har Eur</w:t>
      </w:r>
      <w:r w:rsidRPr="00D90F15">
        <w:t>o</w:t>
      </w:r>
      <w:r w:rsidRPr="00D90F15">
        <w:t>parådet haft i stort sett oförändrade resurser. Församlingens budget för 2000 uppgick till 14 260 000 euro.</w:t>
      </w:r>
    </w:p>
    <w:p w:rsidR="00FB23A6" w:rsidRPr="00D90F15" w:rsidRDefault="00FB23A6">
      <w:pPr>
        <w:pStyle w:val="Normaltindrag"/>
      </w:pPr>
      <w:r w:rsidRPr="00D90F15">
        <w:t>I och med att församlingen beslöt att dess prioriteringar och strukturer skall ändras för att effektivisera verksamheten fattades även ett beslut om en ny utskottsorganisation. Från början av 2001 är antalet utskott tio i stället för fjorton. För att tillgodose principen att varje församlingsledamot får plats i minst ett utskott har sammansättningen av ett flertal utskott och mandatup</w:t>
      </w:r>
      <w:r w:rsidRPr="00D90F15">
        <w:t>p</w:t>
      </w:r>
      <w:r w:rsidRPr="00D90F15">
        <w:t xml:space="preserve">delningen mellan de nationella delegationerna förändrats. </w:t>
      </w:r>
    </w:p>
    <w:p w:rsidR="00FB23A6" w:rsidRPr="00D90F15" w:rsidRDefault="00FB23A6">
      <w:pPr>
        <w:pStyle w:val="Rubrik2"/>
      </w:pPr>
      <w:bookmarkStart w:id="27" w:name="_Toc506878063"/>
      <w:r w:rsidRPr="00D90F15">
        <w:t>Riksdagens delegation</w:t>
      </w:r>
      <w:bookmarkEnd w:id="27"/>
    </w:p>
    <w:p w:rsidR="00FB23A6" w:rsidRPr="00D90F15" w:rsidRDefault="00FB23A6">
      <w:r w:rsidRPr="00D90F15">
        <w:t>Den svenska delegationen vid 2000 års session bestod av sex ordinarie led</w:t>
      </w:r>
      <w:r w:rsidRPr="00D90F15">
        <w:t>a</w:t>
      </w:r>
      <w:r w:rsidRPr="00D90F15">
        <w:t>möter: Jan Bergqvist (s), ordförande, Anders Björck (m), vice ordförande, Lisbet Calner (s), Maud Björnemalm (s), Maggi Mikaelsson (v) och Holger Gustafsson (kd) som ersatte Ingrid Näslund (kd) sedan hon den 1 februari lämnat riksdagen. Suppleanter för dessa var Göran Magnusson (s), Knut Billing (m), Sören Lekberg (s), Marie Granlund (s), Mats Einarsson (v) samt Björn von der Esch (kd).</w:t>
      </w:r>
    </w:p>
    <w:p w:rsidR="00FB23A6" w:rsidRPr="00D90F15" w:rsidRDefault="00FB23A6">
      <w:pPr>
        <w:pStyle w:val="Normaltindrag"/>
      </w:pPr>
      <w:r w:rsidRPr="00D90F15">
        <w:t>Jan Bergqvist valdes till ordförande i underutskottet för relationer med icke-medlemsländer. Knut Billing valdes till vic</w:t>
      </w:r>
      <w:r w:rsidRPr="00D90F15">
        <w:t>e ordförande i det nyligen tillsatta underutskottet för utveckling av turismen. Sören Lekberg omvaldes till vice ordförande i utskottet för vetenskap och teknik.</w:t>
      </w:r>
    </w:p>
    <w:p w:rsidR="00FB23A6" w:rsidRPr="00D90F15" w:rsidRDefault="00FB23A6">
      <w:pPr>
        <w:pStyle w:val="Normaltindrag"/>
      </w:pPr>
      <w:r w:rsidRPr="00D90F15">
        <w:t>Delegationen förberedde delsessionerna vid möten i riksdagen och i Stra</w:t>
      </w:r>
      <w:r w:rsidRPr="00D90F15">
        <w:t>s</w:t>
      </w:r>
      <w:r w:rsidRPr="00D90F15">
        <w:t>bourg. Vid två tillfällen hölls gemensamma möten med de kommun- och landstingspolitiker som ingår i den svenska delegationen till Europarådets kongress för lokala och regionala organ, Congress of Local and Regional Authorities of Europe, CLRAE.</w:t>
      </w:r>
    </w:p>
    <w:p w:rsidR="00FB23A6" w:rsidRPr="00D90F15" w:rsidRDefault="00FB23A6">
      <w:pPr>
        <w:pStyle w:val="Rubrik2"/>
      </w:pPr>
      <w:bookmarkStart w:id="28" w:name="_Toc506878064"/>
      <w:r w:rsidRPr="00D90F15">
        <w:t>Utvidgning av medlemskretsen och granskning av efterlevnaden av åt</w:t>
      </w:r>
      <w:r w:rsidRPr="00D90F15">
        <w:t>a</w:t>
      </w:r>
      <w:r w:rsidRPr="00D90F15">
        <w:t>ganden</w:t>
      </w:r>
      <w:bookmarkEnd w:id="28"/>
    </w:p>
    <w:p w:rsidR="00FB23A6" w:rsidRPr="00D90F15" w:rsidRDefault="00FB23A6">
      <w:r w:rsidRPr="00D90F15">
        <w:t>Med utvidgningen av medlemskretsen har uppföljning och kontroll av efte</w:t>
      </w:r>
      <w:r w:rsidRPr="00D90F15">
        <w:t>r</w:t>
      </w:r>
      <w:r w:rsidRPr="00D90F15">
        <w:t>levnaden av medlemsländernas åtaganden blivit en allt viktigare del av E</w:t>
      </w:r>
      <w:r w:rsidRPr="00D90F15">
        <w:t>u</w:t>
      </w:r>
      <w:r w:rsidRPr="00D90F15">
        <w:t xml:space="preserve">roparådets verksamhet. </w:t>
      </w:r>
    </w:p>
    <w:p w:rsidR="00FB23A6" w:rsidRPr="00D90F15" w:rsidRDefault="00FB23A6">
      <w:pPr>
        <w:pStyle w:val="Normaltindrag"/>
      </w:pPr>
      <w:r w:rsidRPr="00D90F15">
        <w:t>Församlingen har tillsatt ett granskningsutskott, som varit verksamt sedan april 1997. Utskottet har till uppgift att kontinuerligt granska att alla me</w:t>
      </w:r>
      <w:r w:rsidRPr="00D90F15">
        <w:t>d</w:t>
      </w:r>
      <w:r w:rsidRPr="00D90F15">
        <w:t>lemsländer respekterar Europarådets grundläggande principer och uppfyller de åtaganden som gjorts i samband med att ett land blivit medlem. Utskottet har tagit över de granskningsuppgifter som tidigare åvilat de politiska och juridiska utskotten och utskottet för förbindelser med europeiska icke-medlemsländer. Dess ledamöter utses av de fem politiska grupperna (i mo</w:t>
      </w:r>
      <w:r w:rsidRPr="00D90F15">
        <w:t>t</w:t>
      </w:r>
      <w:r w:rsidRPr="00D90F15">
        <w:t>sats till de andra utskotten där medlemmarna utses av de nationella deleg</w:t>
      </w:r>
      <w:r w:rsidRPr="00D90F15">
        <w:t>a</w:t>
      </w:r>
      <w:r w:rsidRPr="00D90F15">
        <w:t>tionerna). Härutöver ingår de politiska och juridiska utskottens ord</w:t>
      </w:r>
      <w:r w:rsidRPr="00D90F15">
        <w:t>förande ex officio. Granskningsutskottets möten är inte öppna för andra än ledamöterna. Under 2000 granskade församlingen fyra landsrapporter: Albanien, Bulgar</w:t>
      </w:r>
      <w:r w:rsidRPr="00D90F15">
        <w:t>i</w:t>
      </w:r>
      <w:r w:rsidRPr="00D90F15">
        <w:t>en, Kroatien och Makedonien. Andra stater som för närvarande är föremål för granskning är Georgien, Lettland, Moldova, Ryssland, Turkiet och U</w:t>
      </w:r>
      <w:r w:rsidRPr="00D90F15">
        <w:t>k</w:t>
      </w:r>
      <w:r w:rsidRPr="00D90F15">
        <w:t>raina.</w:t>
      </w:r>
    </w:p>
    <w:p w:rsidR="00FB23A6" w:rsidRPr="00D90F15" w:rsidRDefault="00FB23A6">
      <w:r w:rsidRPr="00D90F15">
        <w:t>Ministerkommittén har sin egen tematiska övervakningsprocedur. Även Kommunalkongressen har en roll som övervakare av att reglerna för den lokala självstyrelsen efterlevs.</w:t>
      </w:r>
    </w:p>
    <w:p w:rsidR="00FB23A6" w:rsidRPr="00D90F15" w:rsidRDefault="00FB23A6">
      <w:pPr>
        <w:pStyle w:val="Rubrik3"/>
      </w:pPr>
      <w:bookmarkStart w:id="29" w:name="_Toc506878065"/>
      <w:r w:rsidRPr="00D90F15">
        <w:t>Valövervakning</w:t>
      </w:r>
      <w:bookmarkEnd w:id="29"/>
    </w:p>
    <w:p w:rsidR="00FB23A6" w:rsidRPr="00D90F15" w:rsidRDefault="00FB23A6">
      <w:r w:rsidRPr="00D90F15">
        <w:t>Valövervakning är ett komplement till granskningen av demokratisering</w:t>
      </w:r>
      <w:r w:rsidRPr="00D90F15">
        <w:t>s</w:t>
      </w:r>
      <w:r w:rsidRPr="00D90F15">
        <w:t>processen. Parlamentarikerförsamlingen har under de senaste åren engagerat sig i ett stort antal valövervakningsinsatser, oftast i samarbete med OSSE och Europaparlamentet.</w:t>
      </w:r>
    </w:p>
    <w:p w:rsidR="00FB23A6" w:rsidRPr="00D90F15" w:rsidRDefault="00FB23A6">
      <w:pPr>
        <w:pStyle w:val="Normaltindrag"/>
      </w:pPr>
      <w:r w:rsidRPr="00D90F15">
        <w:t>Parlamentariker som valövervakare är ur politisk synvinkel av största b</w:t>
      </w:r>
      <w:r w:rsidRPr="00D90F15">
        <w:t>e</w:t>
      </w:r>
      <w:r w:rsidRPr="00D90F15">
        <w:t>tydelse trots att de nästan enbart deltar som korttidsobservatörer. Den parl</w:t>
      </w:r>
      <w:r w:rsidRPr="00D90F15">
        <w:t>a</w:t>
      </w:r>
      <w:r w:rsidRPr="00D90F15">
        <w:t>mentariska församlingen har under 2000 sänt valövervakare till Aze</w:t>
      </w:r>
      <w:r w:rsidRPr="00D90F15">
        <w:t>r</w:t>
      </w:r>
      <w:r w:rsidRPr="00D90F15">
        <w:t xml:space="preserve">bajdzjan, Bosnien-Hercegovina, Kosovo, Kroatien, Ryssland och Serbien. </w:t>
      </w:r>
    </w:p>
    <w:p w:rsidR="00FB23A6" w:rsidRPr="00D90F15" w:rsidRDefault="00FB23A6">
      <w:pPr>
        <w:pStyle w:val="Rubrik3"/>
      </w:pPr>
      <w:bookmarkStart w:id="30" w:name="_Toc506878066"/>
      <w:r w:rsidRPr="00D90F15">
        <w:t>Nya medlemmar: Armenien och Azerbajdzjan</w:t>
      </w:r>
      <w:bookmarkEnd w:id="30"/>
    </w:p>
    <w:p w:rsidR="00FB23A6" w:rsidRPr="00D90F15" w:rsidRDefault="00FB23A6">
      <w:r w:rsidRPr="00D90F15">
        <w:t>Europeiska stater som ansökt eller kommer att ansöka om medlemskap i Europarådet kan beviljas speciell gäststatus enligt församlingens beslut från år 1989. Vid utgången av 2000 var Armenien och Azerbajdzjan  på väg att bli medlemmar. Bosnien-Hercegovinas och Monacos delegationer fortsätter att delta med gäststatus i församlingens verksamhet.</w:t>
      </w:r>
    </w:p>
    <w:p w:rsidR="00FB23A6" w:rsidRPr="00D90F15" w:rsidRDefault="00FB23A6">
      <w:pPr>
        <w:pStyle w:val="Normaltindrag"/>
      </w:pPr>
      <w:r w:rsidRPr="00D90F15">
        <w:t>Europarådets utvidgning i Kaukasien inleddes genom Georgiens medle</w:t>
      </w:r>
      <w:r w:rsidRPr="00D90F15">
        <w:t>m</w:t>
      </w:r>
      <w:r w:rsidRPr="00D90F15">
        <w:t>skap år 1999. Vid junisessionen 2000 debatterade församlingen Armeniens och Azerbajdzjans medlemskap. Ministerkommittén beslöt vid det 107:e mötet i november att bjuda in Armenien och Azerbajdzjan som nya me</w:t>
      </w:r>
      <w:r w:rsidRPr="00D90F15">
        <w:t>d</w:t>
      </w:r>
      <w:r w:rsidRPr="00D90F15">
        <w:t>lemmar.</w:t>
      </w:r>
    </w:p>
    <w:p w:rsidR="00FB23A6" w:rsidRPr="00D90F15" w:rsidRDefault="00FB23A6">
      <w:pPr>
        <w:pStyle w:val="Normaltindrag"/>
      </w:pPr>
      <w:r w:rsidRPr="00D90F15">
        <w:t>Armenien och Azerbajdzjan anhöll om att få bli medlemmar 1996. När d</w:t>
      </w:r>
      <w:r w:rsidRPr="00D90F15">
        <w:t>e</w:t>
      </w:r>
      <w:r w:rsidRPr="00D90F15">
        <w:t>ras ansökningar  för första gången behandlades fördes en principdebatt om de geografiska gränserna för Europarådet. Resultatet av debatten blev att fö</w:t>
      </w:r>
      <w:r w:rsidRPr="00D90F15">
        <w:t>r</w:t>
      </w:r>
      <w:r w:rsidRPr="00D90F15">
        <w:t>samlingen ansåg att Armenien, Azerbajdzjan och Georgien på grund av sina kulturella band till Europa fick anhålla om medlemskap. En fredlig lösning på problematiken kring Nagorno-Karabach spelade en central roll för Arm</w:t>
      </w:r>
      <w:r w:rsidRPr="00D90F15">
        <w:t>e</w:t>
      </w:r>
      <w:r w:rsidRPr="00D90F15">
        <w:t xml:space="preserve">niens och Azerbajdzjans eventuella inträde i Europarådet. I debatten vid junisessionen drog församlingen slutsatsen att utvecklingen i båda </w:t>
      </w:r>
      <w:r w:rsidRPr="00D90F15">
        <w:t>länderna varit positiv och rekommenderade att ministerkommittén gick vidare i frågan om medlemskapet. Det fanns dock viss tveksamhet om detta var den rätta tidpunkten för tillträde. Traditionen är att nya medlemmar tas in av ministe</w:t>
      </w:r>
      <w:r w:rsidRPr="00D90F15">
        <w:t>r</w:t>
      </w:r>
      <w:r w:rsidRPr="00D90F15">
        <w:t>kommittén med konsensus. De internationella valobservatörerna vid Aze</w:t>
      </w:r>
      <w:r w:rsidRPr="00D90F15">
        <w:t>r</w:t>
      </w:r>
      <w:r w:rsidRPr="00D90F15">
        <w:t>bajdzjans allmänna val den 5 november vittnade om oegentligheter med valsedlar och rösträkningen. Valet beskrevs som en besvikelse av omvärlden. Ministerkommittén beslöt dock vid sitt möte den 9 november att b</w:t>
      </w:r>
      <w:r w:rsidRPr="00D90F15">
        <w:t>juda in Armenien och Azerbajdzjan som nya medlemmar i Europarådet. Inbjudan skulle bekräftas när datum för inträdet var beslutat. Som förutsättning för medlemskapet sattes att Armeniens och Azerbajdzjans regeringar redovisade framsteg när det gällde demokrati och de mänskliga rättigheterna samt i lösningen av konflikten om Nagorno-Karabach. Azerbajdzjan manades att rapportera om de åtgärder som vidtagits när det gällde kritik som framförts av den internationella valobservatörsmissionen. Ministerkommittén be</w:t>
      </w:r>
      <w:r w:rsidRPr="00D90F15">
        <w:t>slöt att regelbundet övervaka den demokratiska utvecklingen i Armenien och Aze</w:t>
      </w:r>
      <w:r w:rsidRPr="00D90F15">
        <w:t>r</w:t>
      </w:r>
      <w:r w:rsidRPr="00D90F15">
        <w:t>bajdzjan. En parlamentarikerdelegation besökte före årsskiftet de båda lä</w:t>
      </w:r>
      <w:r w:rsidRPr="00D90F15">
        <w:t>n</w:t>
      </w:r>
      <w:r w:rsidRPr="00D90F15">
        <w:t>derna och rapporterade vid januarisessionen 2001 om utvecklingen.</w:t>
      </w:r>
    </w:p>
    <w:p w:rsidR="00FB23A6" w:rsidRPr="00D90F15" w:rsidRDefault="00FB23A6">
      <w:pPr>
        <w:pStyle w:val="Rubrik3"/>
      </w:pPr>
      <w:bookmarkStart w:id="31" w:name="_Toc506878067"/>
      <w:r w:rsidRPr="00D90F15">
        <w:t>Bosnien-Hercegovina</w:t>
      </w:r>
      <w:bookmarkEnd w:id="31"/>
    </w:p>
    <w:p w:rsidR="00FB23A6" w:rsidRPr="00D90F15" w:rsidRDefault="00FB23A6">
      <w:r w:rsidRPr="00D90F15">
        <w:t>I och med uppgörelsen i Dayton i november 1995 upphörde kriget i Bosnien-Hercegovina. Enligt fredsavtalet består Bosnien-Hercegovina av en mu</w:t>
      </w:r>
      <w:r w:rsidRPr="00D90F15">
        <w:t>s</w:t>
      </w:r>
      <w:r w:rsidRPr="00D90F15">
        <w:t>limsk-kroatisk federation och en bosnienserbisk republik. Europarådet mo</w:t>
      </w:r>
      <w:r w:rsidRPr="00D90F15">
        <w:t>t</w:t>
      </w:r>
      <w:r w:rsidRPr="00D90F15">
        <w:t>tog en anhållan om medlemskap från Bosnien-Hercegovina samma år. På grund av de militära aktiviteterna sköts handläggningen fram till 1997. Fö</w:t>
      </w:r>
      <w:r w:rsidRPr="00D90F15">
        <w:t>r</w:t>
      </w:r>
      <w:r w:rsidRPr="00D90F15">
        <w:t>samlingens byrå bestämde att fortsätta handläggningen 1998 och sände ut en delegation som övervakade parlaments- och presidentvalet i september 1998. En utredningsman utsågs med uppgift att kontrollera kandidatlandets föru</w:t>
      </w:r>
      <w:r w:rsidRPr="00D90F15">
        <w:t>t</w:t>
      </w:r>
      <w:r w:rsidRPr="00D90F15">
        <w:t>sättningar att uppfylla medlemskapsåtagandena. Den utveckling som bedö</w:t>
      </w:r>
      <w:r w:rsidRPr="00D90F15">
        <w:t>m</w:t>
      </w:r>
      <w:r w:rsidRPr="00D90F15">
        <w:t>d</w:t>
      </w:r>
      <w:r w:rsidRPr="00D90F15">
        <w:t>es gå åt rätt håll har nu stannat av. Vägen tillbaka till ett normalt och stabilt samhälle har visat sig vara lång. Landets gemensamma institutioner fungerar inte tillfredsställande. Förutsättningarna för att höja standarden beträffande demokrati och mänskliga rättigheter är fortfarande mycket dåliga. Sedan april 1996 har Europarådet ett kontor i Sarajevo. Kontoret har till uppgift att stödja en utveckling mot demokratiska institutioner, oavhängiga medier samt respekt för de mänskliga rättigheterna. I Bosni</w:t>
      </w:r>
      <w:r w:rsidRPr="00D90F15">
        <w:t>en-Hercegovina hölls den 11 november landets tredje allmänna val sedan freden blev ett faktum. Försa</w:t>
      </w:r>
      <w:r w:rsidRPr="00D90F15">
        <w:t>m</w:t>
      </w:r>
      <w:r w:rsidRPr="00D90F15">
        <w:t>lingen sände en ad hoc-kommitté för att övervaka valet i samarbete med OSSE. De parlamentariska valövervakarna konstaterade i sin slutkommuniké att den politiska stämningen i landet är fortsatt spänd. Konsolideringen av demokratin i landet har försenats till följd av att de politiska partierna inte lyckats bli eniga om en ny vallag.</w:t>
      </w:r>
    </w:p>
    <w:p w:rsidR="00FB23A6" w:rsidRPr="00D90F15" w:rsidRDefault="00FB23A6">
      <w:pPr>
        <w:pStyle w:val="Rubrik3"/>
      </w:pPr>
      <w:bookmarkStart w:id="32" w:name="_Toc506878068"/>
      <w:r w:rsidRPr="00D90F15">
        <w:t>Monaco</w:t>
      </w:r>
      <w:bookmarkEnd w:id="32"/>
    </w:p>
    <w:p w:rsidR="00FB23A6" w:rsidRPr="00D90F15" w:rsidRDefault="00FB23A6">
      <w:r w:rsidRPr="00D90F15">
        <w:t>Monaco lämnade in sin medlemskapsansökan i oktober 1998. Som ett led i ansökningsprocessen har en ad hoc-kommitté besökt Monaco. Församlingen fortsätter att utarbeta ett yttrande om Monacos ansökan om medlemskap.</w:t>
      </w:r>
    </w:p>
    <w:p w:rsidR="00FB23A6" w:rsidRPr="00D90F15" w:rsidRDefault="00FB23A6">
      <w:pPr>
        <w:pStyle w:val="Rubrik3"/>
      </w:pPr>
      <w:bookmarkStart w:id="33" w:name="_Toc506878069"/>
      <w:r w:rsidRPr="00D90F15">
        <w:t>Vitryssland</w:t>
      </w:r>
      <w:bookmarkEnd w:id="33"/>
    </w:p>
    <w:p w:rsidR="00FB23A6" w:rsidRPr="00D90F15" w:rsidRDefault="00FB23A6">
      <w:r w:rsidRPr="00D90F15">
        <w:t>Vitryssland anhöll om medlemskap 1993. Det vitryska parlamentets gästst</w:t>
      </w:r>
      <w:r w:rsidRPr="00D90F15">
        <w:t>a</w:t>
      </w:r>
      <w:r w:rsidRPr="00D90F15">
        <w:t>tus har dock suspenderats av byrån på rekommendation av det politiska utskottet. Den omedelbara anledningen var att president Lukasjenko efter en grundlagsstridig folkomröstning avsatte det folkvalda parlamentet och själv utsåg ett parlament som följaktligen saknade demokratisk legitimitet. Vi</w:t>
      </w:r>
      <w:r w:rsidRPr="00D90F15">
        <w:t>t</w:t>
      </w:r>
      <w:r w:rsidRPr="00D90F15">
        <w:t>ryssland hade utlyst parlamentsval till den 15 oktober 2000. Europarådet tillsammans med OSSE och Europaparlamentet konstaterade att valet ing</w:t>
      </w:r>
      <w:r w:rsidRPr="00D90F15">
        <w:t>a</w:t>
      </w:r>
      <w:r w:rsidRPr="00D90F15">
        <w:t>lunda uppfyllde internationell standard av fritt och demokratiskt val. Op</w:t>
      </w:r>
      <w:r w:rsidRPr="00D90F15">
        <w:t>p</w:t>
      </w:r>
      <w:r w:rsidRPr="00D90F15">
        <w:t>o</w:t>
      </w:r>
      <w:r w:rsidRPr="00D90F15">
        <w:t>sitionsmedlemmar hade inte kunnat framföra sina åsikter på grund av traka</w:t>
      </w:r>
      <w:r w:rsidRPr="00D90F15">
        <w:t>s</w:t>
      </w:r>
      <w:r w:rsidRPr="00D90F15">
        <w:t>serier. Under de förhållanden som rådde i landet bedömde de tre parlament</w:t>
      </w:r>
      <w:r w:rsidRPr="00D90F15">
        <w:t>a</w:t>
      </w:r>
      <w:r w:rsidRPr="00D90F15">
        <w:t>riska församlingarna att det inte fanns förutsättningar att sända valobservat</w:t>
      </w:r>
      <w:r w:rsidRPr="00D90F15">
        <w:t>ö</w:t>
      </w:r>
      <w:r w:rsidRPr="00D90F15">
        <w:t xml:space="preserve">rer till Vitryssland. </w:t>
      </w:r>
    </w:p>
    <w:p w:rsidR="00FB23A6" w:rsidRPr="00D90F15" w:rsidRDefault="00FB23A6">
      <w:pPr>
        <w:pStyle w:val="Rubrik3"/>
      </w:pPr>
      <w:bookmarkStart w:id="34" w:name="_Toc506878070"/>
      <w:r w:rsidRPr="00D90F15">
        <w:t>Förbundsrepubliken Jugoslavien</w:t>
      </w:r>
      <w:bookmarkEnd w:id="34"/>
    </w:p>
    <w:p w:rsidR="00FB23A6" w:rsidRPr="00D90F15" w:rsidRDefault="00FB23A6">
      <w:r w:rsidRPr="00D90F15">
        <w:t>Förbundsrepubliken Jugoslavien, FRJ, ansökte om medlemskap i Europar</w:t>
      </w:r>
      <w:r w:rsidRPr="00D90F15">
        <w:t>å</w:t>
      </w:r>
      <w:r w:rsidRPr="00D90F15">
        <w:t>det år 1998. Ministerkommittén lämnade då ansökan till församlingen för kännedom men den behandlades inte. FRJ som består av delrepublikerna Serbien och Montenegro har varit föremål för internationella sanktioner för sin roll i de krig som under 1990-talet bröt ut i samband med Jugoslaviens upplösning. Efter president- och parlamentsvalet i Jugoslavien den 26 se</w:t>
      </w:r>
      <w:r w:rsidRPr="00D90F15">
        <w:t>p</w:t>
      </w:r>
      <w:r w:rsidRPr="00D90F15">
        <w:t>tember 2000 som förde Vojislav Kostunica till presidentposten efter Slob</w:t>
      </w:r>
      <w:r w:rsidRPr="00D90F15">
        <w:t>o</w:t>
      </w:r>
      <w:r w:rsidRPr="00D90F15">
        <w:t>dan Milosevic har landet kommit ut ur sin mångåriga isolering. Jugoslavie</w:t>
      </w:r>
      <w:r w:rsidRPr="00D90F15">
        <w:t>n har accepterats som medlem i Förenta nationerna och i OSSE.</w:t>
      </w:r>
    </w:p>
    <w:p w:rsidR="00FB23A6" w:rsidRPr="00D90F15" w:rsidRDefault="00FB23A6">
      <w:pPr>
        <w:pStyle w:val="Normaltindrag"/>
      </w:pPr>
      <w:r w:rsidRPr="00D90F15">
        <w:t>Den nya regimen anhöll på nytt om medlemskap i november. Ministe</w:t>
      </w:r>
      <w:r w:rsidRPr="00D90F15">
        <w:t>r</w:t>
      </w:r>
      <w:r w:rsidRPr="00D90F15">
        <w:t>kommittén vidarebefordrade den till parlamentarikerförsamlingen för yttra</w:t>
      </w:r>
      <w:r w:rsidRPr="00D90F15">
        <w:t>n</w:t>
      </w:r>
      <w:r w:rsidRPr="00D90F15">
        <w:t>de. Som ett första steg i medlemskapsproceduren utsåg byrån två framståe</w:t>
      </w:r>
      <w:r w:rsidRPr="00D90F15">
        <w:t>n</w:t>
      </w:r>
      <w:r w:rsidRPr="00D90F15">
        <w:t>de jurister vars uppgift är att undersöka om det juridiska systemet uppfyller Europarådets krav. Landets politiska utveckling kommer att granskas noga. I församlingen är det det politiska utskottets uppdrag att utarbeta en rapport. Det juridiska utskottet lämnar ett uttalande beträffande rapporten. Ytterligare ett steg på väg mot demokrati togs i Jugoslavien när</w:t>
      </w:r>
      <w:r w:rsidRPr="00D90F15">
        <w:t xml:space="preserve"> Serbiens opposition, en koalition av 18 partier, vann delrepublikens parlamentsval. En ad hoc-delegation från Europarådets parlamentariska församling bevakade valet den 23 december. Europarådet planerar vittgående samarbete med OSSE när det gäller att upprätta en fungerande förvaltning och rättsstat i Jugoslavien. För detta syfte planeras ett kontor i Belgrad.</w:t>
      </w:r>
    </w:p>
    <w:p w:rsidR="00FB23A6" w:rsidRPr="00D90F15" w:rsidRDefault="00FB23A6">
      <w:pPr>
        <w:pStyle w:val="Rubrik3"/>
      </w:pPr>
      <w:bookmarkStart w:id="35" w:name="_Toc506878071"/>
      <w:r w:rsidRPr="00D90F15">
        <w:t>Observatörer</w:t>
      </w:r>
      <w:bookmarkEnd w:id="35"/>
    </w:p>
    <w:p w:rsidR="00FB23A6" w:rsidRPr="00D90F15" w:rsidRDefault="00FB23A6">
      <w:r w:rsidRPr="00D90F15">
        <w:t>Även utomeuropeiska länder har möjlighet att delta i Europarådets verksa</w:t>
      </w:r>
      <w:r w:rsidRPr="00D90F15">
        <w:t>m</w:t>
      </w:r>
      <w:r w:rsidRPr="00D90F15">
        <w:t>het. Europarådets toppmöte i Wien 1993 gick in för en ny typ av observ</w:t>
      </w:r>
      <w:r w:rsidRPr="00D90F15">
        <w:t>a</w:t>
      </w:r>
      <w:r w:rsidRPr="00D90F15">
        <w:t>törsstatus för utomeuropeiska länder. Det är ministerkommittén som beslutar om ett lands observatörsstatus. Beslutet träder i kraft sedan parlamentarike</w:t>
      </w:r>
      <w:r w:rsidRPr="00D90F15">
        <w:t>r</w:t>
      </w:r>
      <w:r w:rsidRPr="00D90F15">
        <w:t>församlingen har lämnat ett positivt yttrande. Med stöd av beslutet får en observatör delta i det samarbete som är underställt ministerkommittén. Ett land med observatörsstatus måste dessutom anhålla om att få sända obse</w:t>
      </w:r>
      <w:r w:rsidRPr="00D90F15">
        <w:t>r</w:t>
      </w:r>
      <w:r w:rsidRPr="00D90F15">
        <w:t xml:space="preserve">vatörer till den parlamentariska församlingen som fattar beslut i </w:t>
      </w:r>
      <w:r w:rsidRPr="00D90F15">
        <w:t>frågan. Israel, Kanada och Mexiko medverkade under 2000 som observatörer i den parlamentariska församlingen.</w:t>
      </w:r>
    </w:p>
    <w:p w:rsidR="00FB23A6" w:rsidRPr="00D90F15" w:rsidRDefault="00FB23A6">
      <w:pPr>
        <w:pStyle w:val="Rubrik3"/>
      </w:pPr>
      <w:bookmarkStart w:id="36" w:name="_Toc506878072"/>
      <w:r w:rsidRPr="00D90F15">
        <w:t>Ackreditering av ledamöter</w:t>
      </w:r>
      <w:bookmarkEnd w:id="36"/>
    </w:p>
    <w:p w:rsidR="00FB23A6" w:rsidRPr="00D90F15" w:rsidRDefault="00FB23A6">
      <w:r w:rsidRPr="00D90F15">
        <w:t>I enlighet med stadgan skall församlingen vid öppnandet av den årliga se</w:t>
      </w:r>
      <w:r w:rsidRPr="00D90F15">
        <w:t>s</w:t>
      </w:r>
      <w:r w:rsidRPr="00D90F15">
        <w:t>sionen kontrollera och ratificera medlemmarnas och gästernas ackreditering. Vid den första delsessionen ifrågasattes den ryska delegationens ackredit</w:t>
      </w:r>
      <w:r w:rsidRPr="00D90F15">
        <w:t>e</w:t>
      </w:r>
      <w:r w:rsidRPr="00D90F15">
        <w:t>ring med hänvisning till konflikten i Tjetjenien. Med anledning av kriget i Tjetjenien beslutade den parlamentariska församlingen vid aprilsessionen att frånta de ryska delegaterna deras rösträtt. Beslutet krävde enkel majoritet.</w:t>
      </w:r>
    </w:p>
    <w:p w:rsidR="00FB23A6" w:rsidRPr="00D90F15" w:rsidRDefault="00FB23A6">
      <w:pPr>
        <w:pStyle w:val="Rubrik2"/>
      </w:pPr>
      <w:bookmarkStart w:id="37" w:name="_Toc506878073"/>
      <w:r w:rsidRPr="00D90F15">
        <w:t>Politiska frågor</w:t>
      </w:r>
      <w:bookmarkEnd w:id="37"/>
    </w:p>
    <w:p w:rsidR="00FB23A6" w:rsidRPr="00D90F15" w:rsidRDefault="00FB23A6">
      <w:r w:rsidRPr="00D90F15">
        <w:t xml:space="preserve">Förutom kärnämnet uppföljning av medlemsstaternas förpliktelser ägnade församlingen mycket tid åt konflikten i Tjetjenien samt utvecklingen på Balkan. Tjetjenienfrågan blev det dominerade ärendet under 2000. </w:t>
      </w:r>
    </w:p>
    <w:p w:rsidR="00FB23A6" w:rsidRPr="00D90F15" w:rsidRDefault="00FB23A6">
      <w:pPr>
        <w:pStyle w:val="Rubrik3"/>
      </w:pPr>
      <w:bookmarkStart w:id="38" w:name="_Toc506878074"/>
      <w:r w:rsidRPr="00D90F15">
        <w:t>Tjetjenien</w:t>
      </w:r>
      <w:bookmarkEnd w:id="38"/>
    </w:p>
    <w:p w:rsidR="00FB23A6" w:rsidRPr="00D90F15" w:rsidRDefault="00FB23A6">
      <w:r w:rsidRPr="00D90F15">
        <w:t>Europarådet valde 1996 in Ryssland samtidigt som den tidigare väpnade fasen i Tjetjenienkonflikten pågick. Rysslands medlemskap i Europarådet var från början ifrågasatt. De som röstade för det ryska inträdet argumenterade för en strategi som innebar att länder tas in i medlemskretsen redan innan alla villkor är uppfyllda i förhoppning om att genom granskningsprocedur och dialog påskynda en demokratisk utveckling.</w:t>
      </w:r>
    </w:p>
    <w:p w:rsidR="00FB23A6" w:rsidRPr="00D90F15" w:rsidRDefault="00FB23A6">
      <w:pPr>
        <w:pStyle w:val="Normaltindrag"/>
      </w:pPr>
      <w:r w:rsidRPr="00D90F15">
        <w:t>Den långdragna tjetjensk-ryska konflikten har tydligt visat att endast en politisk lösning på konflikten skulle kunna skapa fred i regionen. Parlame</w:t>
      </w:r>
      <w:r w:rsidRPr="00D90F15">
        <w:t>n</w:t>
      </w:r>
      <w:r w:rsidRPr="00D90F15">
        <w:t>tarikerna fördömde kränkningarna av de mänskliga rättigheterna i Tjetjenien och krävde  ett omedelbart eldupphör. Akut humanitär hjälp var aktuell sä</w:t>
      </w:r>
      <w:r w:rsidRPr="00D90F15">
        <w:t>r</w:t>
      </w:r>
      <w:r w:rsidRPr="00D90F15">
        <w:t>skilt inför en annalkande vinter. Krav på att internationella humanitära hjä</w:t>
      </w:r>
      <w:r w:rsidRPr="00D90F15">
        <w:t>l</w:t>
      </w:r>
      <w:r w:rsidRPr="00D90F15">
        <w:t>p</w:t>
      </w:r>
      <w:r w:rsidRPr="00D90F15">
        <w:softHyphen/>
        <w:t>organisationer skulle få tillträde till området upprepades. En spänning mellan parlamentarikerförsamlingen och ministerkommittén uppstod när det gällde hur man skulle gå vidare. Parlamentarikerna ansåg att ministerkommittén tydligt borde ha fördömt kränkningarna av de mänskliga rät</w:t>
      </w:r>
      <w:r w:rsidRPr="00D90F15">
        <w:t>tigheterna i Tjetjenien. Församlingen rekommenderade att ministerkommittén vid ut</w:t>
      </w:r>
      <w:r w:rsidRPr="00D90F15">
        <w:t>e</w:t>
      </w:r>
      <w:r w:rsidRPr="00D90F15">
        <w:t xml:space="preserve">blivna framsteg vidtog åtgärder att utesluta Ryssland från Europarådet. </w:t>
      </w:r>
    </w:p>
    <w:p w:rsidR="00FB23A6" w:rsidRPr="00D90F15" w:rsidRDefault="00FB23A6">
      <w:pPr>
        <w:pStyle w:val="Rubrik3"/>
      </w:pPr>
      <w:bookmarkStart w:id="39" w:name="_Toc506878075"/>
      <w:r w:rsidRPr="00D90F15">
        <w:t>Kosovo</w:t>
      </w:r>
      <w:bookmarkEnd w:id="39"/>
    </w:p>
    <w:p w:rsidR="00FB23A6" w:rsidRPr="00D90F15" w:rsidRDefault="00FB23A6">
      <w:r w:rsidRPr="00D90F15">
        <w:t>Balkanfrågan och Kosovokrisen förekom upprepade gånger på dagordningen under 2000. Församlingen och det ständiga utskottet hade extrainsatta d</w:t>
      </w:r>
      <w:r w:rsidRPr="00D90F15">
        <w:t>e</w:t>
      </w:r>
      <w:r w:rsidRPr="00D90F15">
        <w:t>batter om den politiska situationen i Förbundsrepubliken Jugoslavien efter president- och parlamentsvalet i september. Situationen på Balkan har b</w:t>
      </w:r>
      <w:r w:rsidRPr="00D90F15">
        <w:t>e</w:t>
      </w:r>
      <w:r w:rsidRPr="00D90F15">
        <w:t>handlats i församlingen ur olika perspektiv: den allmänna interna demokr</w:t>
      </w:r>
      <w:r w:rsidRPr="00D90F15">
        <w:t>a</w:t>
      </w:r>
      <w:r w:rsidRPr="00D90F15">
        <w:t>tiska utvecklingen på Balkan, situationen i Kosovo och flyktingproblemen till följd av kriser. Sedan EU:s stabilitetspakt kom till har Europarådet efte</w:t>
      </w:r>
      <w:r w:rsidRPr="00D90F15">
        <w:t>r</w:t>
      </w:r>
      <w:r w:rsidRPr="00D90F15">
        <w:t>strävat en synligare roll i arbetet med att genomföra den. Den parlamentari</w:t>
      </w:r>
      <w:r w:rsidRPr="00D90F15">
        <w:t>s</w:t>
      </w:r>
      <w:r w:rsidRPr="00D90F15">
        <w:t>ka dimensionen som demokratisk kontrollmekanism i fullföljandet</w:t>
      </w:r>
      <w:r w:rsidRPr="00D90F15">
        <w:t xml:space="preserve"> av stab</w:t>
      </w:r>
      <w:r w:rsidRPr="00D90F15">
        <w:t>i</w:t>
      </w:r>
      <w:r w:rsidRPr="00D90F15">
        <w:t>litetspakten betonades. Vidare underströks vikten av att länderna i regionen medverkade aktivt i pakten och ökade det ömsesidiga samarbetet. Försa</w:t>
      </w:r>
      <w:r w:rsidRPr="00D90F15">
        <w:t>m</w:t>
      </w:r>
      <w:r w:rsidRPr="00D90F15">
        <w:t>lingen ansåg att Europarådet i samarbete med andra internationella aktörer bör medverka till en stabil utveckling i hela Balkanområdet. Förutsättningen för varaktig fred och stabilitet är att länderna genomför demokratiska refo</w:t>
      </w:r>
      <w:r w:rsidRPr="00D90F15">
        <w:t>r</w:t>
      </w:r>
      <w:r w:rsidRPr="00D90F15">
        <w:t>mer, respekterar de mänskliga rättigheterna och rättsstatens principer. Dessa krav är samtidigt villkor för medlemskapet i Europ</w:t>
      </w:r>
      <w:r w:rsidRPr="00D90F15">
        <w:t>arådet.</w:t>
      </w:r>
    </w:p>
    <w:p w:rsidR="00FB23A6" w:rsidRPr="00D90F15" w:rsidRDefault="00FB23A6">
      <w:pPr>
        <w:pStyle w:val="Rubrik3"/>
      </w:pPr>
      <w:bookmarkStart w:id="40" w:name="_Toc506878076"/>
      <w:r w:rsidRPr="00D90F15">
        <w:t>Relationerna med andra internationella organisationer</w:t>
      </w:r>
      <w:bookmarkEnd w:id="40"/>
    </w:p>
    <w:p w:rsidR="00FB23A6" w:rsidRPr="00D90F15" w:rsidRDefault="00FB23A6">
      <w:r w:rsidRPr="00D90F15">
        <w:t>Utvecklingen på Balkan och i norra Kaukasien samt erfarenheter av geme</w:t>
      </w:r>
      <w:r w:rsidRPr="00D90F15">
        <w:t>n</w:t>
      </w:r>
      <w:r w:rsidRPr="00D90F15">
        <w:t>samma insatser i samband med valobservationer i ett flertal länder har visat att Europarådet i samarbete med andra organisationer på ett positivt sätt kan bidra till främjandet av fred och demokrati. Dialogen med andra organisati</w:t>
      </w:r>
      <w:r w:rsidRPr="00D90F15">
        <w:t>o</w:t>
      </w:r>
      <w:r w:rsidRPr="00D90F15">
        <w:t>ner av betydelse för Europa är fortsatt livlig. Europarådet samarbetar med både allmänpolitiska organisationer och fackorgan. Europarådets roll och samarbete med andra internationella organisationer fortsatte att vara en av de centrala frågorna under 2000. Ökat samarbete med andra</w:t>
      </w:r>
      <w:r w:rsidRPr="00D90F15">
        <w:t xml:space="preserve"> internationella organisationer kommer även i fortsättningen att vara en prioriterad verksa</w:t>
      </w:r>
      <w:r w:rsidRPr="00D90F15">
        <w:t>m</w:t>
      </w:r>
      <w:r w:rsidRPr="00D90F15">
        <w:t>het. Samarbetet mellan EU, OSSE och Europarådet och deras respektive parlamentariska församlingar samt med FN och dess fackorgan utvärderas vid särskilda debatter samt i samband med möten mellan ledande represe</w:t>
      </w:r>
      <w:r w:rsidRPr="00D90F15">
        <w:t>n</w:t>
      </w:r>
      <w:r w:rsidRPr="00D90F15">
        <w:t>tanter för dessa institutioner.</w:t>
      </w:r>
    </w:p>
    <w:p w:rsidR="00FB23A6" w:rsidRPr="00D90F15" w:rsidRDefault="00FB23A6">
      <w:pPr>
        <w:pStyle w:val="Normaltindrag"/>
      </w:pPr>
      <w:r w:rsidRPr="00D90F15">
        <w:t>FN:s generalsekreterare Kofi Annan besökte Strasbourg i oktober på Eur</w:t>
      </w:r>
      <w:r w:rsidRPr="00D90F15">
        <w:t>o</w:t>
      </w:r>
      <w:r w:rsidRPr="00D90F15">
        <w:t>parådets inbjudan. FN:s 55:e generalförsamling debatterade för första gången relationerna mellan FN och Europarådet. Jan Bergqvist deltog i debatten på Sveriges vägnar. Generalförsamlingen antog en resolution om organisati</w:t>
      </w:r>
      <w:r w:rsidRPr="00D90F15">
        <w:t>o</w:t>
      </w:r>
      <w:r w:rsidRPr="00D90F15">
        <w:t xml:space="preserve">nernas relationer. </w:t>
      </w:r>
    </w:p>
    <w:p w:rsidR="00FB23A6" w:rsidRPr="00D90F15" w:rsidRDefault="00FB23A6">
      <w:pPr>
        <w:pStyle w:val="Rubrik3"/>
      </w:pPr>
      <w:bookmarkStart w:id="41" w:name="_Toc506878077"/>
      <w:r w:rsidRPr="00D90F15">
        <w:t>Globalisering</w:t>
      </w:r>
      <w:bookmarkEnd w:id="41"/>
    </w:p>
    <w:p w:rsidR="00FB23A6" w:rsidRPr="00D90F15" w:rsidRDefault="00FB23A6">
      <w:r w:rsidRPr="00D90F15">
        <w:t>Trots att Europarådet är en regional organisation bevakar den parlamentari</w:t>
      </w:r>
      <w:r w:rsidRPr="00D90F15">
        <w:t>s</w:t>
      </w:r>
      <w:r w:rsidRPr="00D90F15">
        <w:t>ka församlingen den politiska och ekonomiska utvecklingen över hela vär</w:t>
      </w:r>
      <w:r w:rsidRPr="00D90F15">
        <w:t>l</w:t>
      </w:r>
      <w:r w:rsidRPr="00D90F15">
        <w:t>den. Den tilltagande globaliseringen påverkar i hög grad de europeiska lä</w:t>
      </w:r>
      <w:r w:rsidRPr="00D90F15">
        <w:t>n</w:t>
      </w:r>
      <w:r w:rsidRPr="00D90F15">
        <w:t>dernas samhälleliga utveckling. Ett exempel på utomeuropeiska krisområden som församlingen har följt är Mellanöstern. Det politiska utskottets planer</w:t>
      </w:r>
      <w:r w:rsidRPr="00D90F15">
        <w:t>a</w:t>
      </w:r>
      <w:r w:rsidRPr="00D90F15">
        <w:t>de resa till Israel har på grund av oroligheterna skjutits upp till våren 2001.</w:t>
      </w:r>
    </w:p>
    <w:p w:rsidR="00FB23A6" w:rsidRPr="00D90F15" w:rsidRDefault="00FB23A6">
      <w:pPr>
        <w:pStyle w:val="Rubrik2"/>
      </w:pPr>
      <w:bookmarkStart w:id="42" w:name="_Toc506878078"/>
      <w:r w:rsidRPr="00D90F15">
        <w:t>Demokrati och mänskliga rättigheter</w:t>
      </w:r>
      <w:bookmarkEnd w:id="42"/>
    </w:p>
    <w:p w:rsidR="00FB23A6" w:rsidRPr="00D90F15" w:rsidRDefault="00FB23A6">
      <w:r w:rsidRPr="00D90F15">
        <w:t>Europarådets bärande idé är att respekt för de mänskliga rättigheterna skapar en fast grund för fred och säkerhet. Europarådets konvention angående skydd för de mänskliga rättigheterna och de grundläggande friheterna underteckn</w:t>
      </w:r>
      <w:r w:rsidRPr="00D90F15">
        <w:t>a</w:t>
      </w:r>
      <w:r w:rsidRPr="00D90F15">
        <w:t>des 1950. Konventionen övervakas av Europadomstolen. Den nya Europ</w:t>
      </w:r>
      <w:r w:rsidRPr="00D90F15">
        <w:t>a</w:t>
      </w:r>
      <w:r w:rsidRPr="00D90F15">
        <w:t>domstolen för de mänskliga rättigheterna har varit verksam undet drygt två år. Domstolen är permanent och ersätter både Europeiska kommissionen för de mänskliga rättigheterna och den tidigare Europadomstolen. Den nya do</w:t>
      </w:r>
      <w:r w:rsidRPr="00D90F15">
        <w:t>m</w:t>
      </w:r>
      <w:r w:rsidRPr="00D90F15">
        <w:t>stolens domare  arbetar på heltid i Strasbourg. Europadomstolen är samma</w:t>
      </w:r>
      <w:r w:rsidRPr="00D90F15">
        <w:t>n</w:t>
      </w:r>
      <w:r w:rsidRPr="00D90F15">
        <w:t>satt av en domare från varje land som tillträtt Europakonventionen. Reg</w:t>
      </w:r>
      <w:r w:rsidRPr="00D90F15">
        <w:t>e</w:t>
      </w:r>
      <w:r w:rsidRPr="00D90F15">
        <w:t>ringarna föreslår domarkandidater men det är den parlamentariska försa</w:t>
      </w:r>
      <w:r w:rsidRPr="00D90F15">
        <w:t>m</w:t>
      </w:r>
      <w:r w:rsidRPr="00D90F15">
        <w:t>lingen s</w:t>
      </w:r>
      <w:r w:rsidRPr="00D90F15">
        <w:t>om utser domstolens ledamöter. Den svenska domaren Elisabeth Palm är Europadomstolens vice ordförande.</w:t>
      </w:r>
    </w:p>
    <w:p w:rsidR="00FB23A6" w:rsidRPr="00D90F15" w:rsidRDefault="00FB23A6">
      <w:pPr>
        <w:pStyle w:val="Normaltindrag"/>
      </w:pPr>
      <w:r w:rsidRPr="00D90F15">
        <w:t>50-årsjubileet för Europakonventionen för mänskliga rättigheter uppmär</w:t>
      </w:r>
      <w:r w:rsidRPr="00D90F15">
        <w:t>k</w:t>
      </w:r>
      <w:r w:rsidRPr="00D90F15">
        <w:t>sammades av församlingen vid septembersessionen med en enkel ceremoni och en debatt om domstolens verksamhet.</w:t>
      </w:r>
    </w:p>
    <w:p w:rsidR="00FB23A6" w:rsidRPr="00D90F15" w:rsidRDefault="00FB23A6">
      <w:pPr>
        <w:pStyle w:val="Rubrik3"/>
      </w:pPr>
      <w:bookmarkStart w:id="43" w:name="_Toc506878079"/>
      <w:r w:rsidRPr="00D90F15">
        <w:t>Avskaffande av dödsstraffet</w:t>
      </w:r>
      <w:bookmarkEnd w:id="43"/>
    </w:p>
    <w:p w:rsidR="00FB23A6" w:rsidRPr="00D90F15" w:rsidRDefault="00FB23A6">
      <w:r w:rsidRPr="00D90F15">
        <w:t>Demokrati och de mänskliga rättigheterna återkom i många olika debatter under 2000.</w:t>
      </w:r>
    </w:p>
    <w:p w:rsidR="00FB23A6" w:rsidRPr="00D90F15" w:rsidRDefault="00FB23A6">
      <w:pPr>
        <w:pStyle w:val="Normaltindrag"/>
      </w:pPr>
      <w:r w:rsidRPr="00D90F15">
        <w:t>Förekomsten av dödsstraff i vissa medlemsländer har alltid varit föremål för intensiv bevakning. I takt med utvidgningen har påtryckningar på vissa medlemsländer i syfte att avskaffa dödsstraffet i deras lagstiftning ökat. Vid årsskiftet 2000/2001 hade 39 av rådets 41 medlemsstater ratificerat tillägg</w:t>
      </w:r>
      <w:r w:rsidRPr="00D90F15">
        <w:t>s</w:t>
      </w:r>
      <w:r w:rsidRPr="00D90F15">
        <w:t>potokoll nr 6 till Europakonventionen som förbjuder dödsstraff. Ukraina, som tidigare hårt kritiserats för att inte fullfölja sina åtaganden, förbjöd död</w:t>
      </w:r>
      <w:r w:rsidRPr="00D90F15">
        <w:t>s</w:t>
      </w:r>
      <w:r w:rsidRPr="00D90F15">
        <w:t xml:space="preserve">straff i sin lagstiftning i februari 2000. Nu återstår två länder, Ryssland och Turkiet, som inte har tagit detta steg. </w:t>
      </w:r>
    </w:p>
    <w:p w:rsidR="00FB23A6" w:rsidRPr="00D90F15" w:rsidRDefault="00FB23A6">
      <w:pPr>
        <w:pStyle w:val="Normaltindrag"/>
      </w:pPr>
      <w:r w:rsidRPr="00D90F15">
        <w:t>Parlamentarikerförsamlingen har bevakat kurdledaren Abdullah Öcalans fall sedan rättegången i Turkiet mot honom började. Församlingen ansåg att fastställandet av dödsstraffet mot honom var oacceptabelt. Domen överkl</w:t>
      </w:r>
      <w:r w:rsidRPr="00D90F15">
        <w:t>a</w:t>
      </w:r>
      <w:r w:rsidRPr="00D90F15">
        <w:t>gades till Europadomstolen för de mänskliga rättigheterna. Domstolsbehan</w:t>
      </w:r>
      <w:r w:rsidRPr="00D90F15">
        <w:t>d</w:t>
      </w:r>
      <w:r w:rsidRPr="00D90F15">
        <w:t>lingen började i november och förväntades pågå i flera månader.</w:t>
      </w:r>
    </w:p>
    <w:p w:rsidR="00FB23A6" w:rsidRPr="00D90F15" w:rsidRDefault="00FB23A6">
      <w:pPr>
        <w:pStyle w:val="Rubrik3"/>
      </w:pPr>
      <w:bookmarkStart w:id="44" w:name="_Toc506878080"/>
      <w:r w:rsidRPr="00D90F15">
        <w:t>EU:s grundrättighetsstadga</w:t>
      </w:r>
      <w:bookmarkEnd w:id="44"/>
    </w:p>
    <w:p w:rsidR="00FB23A6" w:rsidRPr="00D90F15" w:rsidRDefault="00FB23A6">
      <w:r w:rsidRPr="00D90F15">
        <w:t>Arbetet med den grundrättighetsstadga som EU:s stats- och regeringschefer godkände i Nice i december debatterades i parlamentarikerförsamlingen på initiativ av Sören Lekberg. Motionen (dok. 8542 [1999]) fick stöd av flera medlemmar i de svenska, danska och finska Europarådsdelegationerna. Vid ett möte i Tammerfors i oktober 1999 enades Europeiska rådet om att inrätta ett organ, konventet, som anförtroddes uppgiften att utarbeta ett utkast till en stadga av politisk karaktär om de grundläggande rättighetern</w:t>
      </w:r>
      <w:r w:rsidRPr="00D90F15">
        <w:t>a inom EU. I konventet ingick två representanter för vart och ett av EU:s nationella parl</w:t>
      </w:r>
      <w:r w:rsidRPr="00D90F15">
        <w:t>a</w:t>
      </w:r>
      <w:r w:rsidRPr="00D90F15">
        <w:t xml:space="preserve">ment. Den svenska riksdagen representerades av Göran Magnusson (s) och Lars Tobisson (m). Europarådet hade två observatörer i det förberedande EU-organet. </w:t>
      </w:r>
    </w:p>
    <w:p w:rsidR="00FB23A6" w:rsidRPr="00D90F15" w:rsidRDefault="00FB23A6">
      <w:pPr>
        <w:pStyle w:val="Normaltindrag"/>
      </w:pPr>
      <w:r w:rsidRPr="00D90F15">
        <w:t>EU-stadgan var både i januari och i september på församlingens dagor</w:t>
      </w:r>
      <w:r w:rsidRPr="00D90F15">
        <w:t>d</w:t>
      </w:r>
      <w:r w:rsidRPr="00D90F15">
        <w:t>ning. Stadgan ansågs utgöra både en utmaning och ett problem när det gällde E</w:t>
      </w:r>
      <w:r w:rsidRPr="00D90F15">
        <w:t>u</w:t>
      </w:r>
      <w:r w:rsidRPr="00D90F15">
        <w:t xml:space="preserve">ropas framtid. </w:t>
      </w:r>
    </w:p>
    <w:p w:rsidR="00FB23A6" w:rsidRPr="00D90F15" w:rsidRDefault="00FB23A6">
      <w:pPr>
        <w:pStyle w:val="Normaltindrag"/>
      </w:pPr>
      <w:r w:rsidRPr="00D90F15">
        <w:t>Principerna om demokratin, de mänskliga rättigheterna och rättsstaten stärktes nu mera målmedvetet än någonsin tidigare i Europa. Parlamentar</w:t>
      </w:r>
      <w:r w:rsidRPr="00D90F15">
        <w:t>i</w:t>
      </w:r>
      <w:r w:rsidRPr="00D90F15">
        <w:t>kerna menade dock att tillräcklig hänsyn inte togs till Europarådets mek</w:t>
      </w:r>
      <w:r w:rsidRPr="00D90F15">
        <w:t>a</w:t>
      </w:r>
      <w:r w:rsidRPr="00D90F15">
        <w:t>nism för att skydda de mänskliga rättigheterna. Denna borde utnyttjas i a</w:t>
      </w:r>
      <w:r w:rsidRPr="00D90F15">
        <w:t>r</w:t>
      </w:r>
      <w:r w:rsidRPr="00D90F15">
        <w:t>betet med EU-stadgan för att undvika överlappande funktioner. Europarådets mål har länge varit att gemenskapen skall tillträda Europakonventionen om de mänskliga rättigheterna. I samband med frågestunder med den tyska fö</w:t>
      </w:r>
      <w:r w:rsidRPr="00D90F15">
        <w:t>r</w:t>
      </w:r>
      <w:r w:rsidRPr="00D90F15">
        <w:t>bundkanslern och med EU-kommissionens ordförande ställde Göran Ma</w:t>
      </w:r>
      <w:r w:rsidRPr="00D90F15">
        <w:t>g</w:t>
      </w:r>
      <w:r w:rsidRPr="00D90F15">
        <w:t>nusson frågan om huruvida detta också var gemenskapens vision. Det logiska st</w:t>
      </w:r>
      <w:r w:rsidRPr="00D90F15">
        <w:t>eget efter Nicebeslutet är att EU:s institutioner förbinder sig att skydda de mänskliga rättigheterna på samma sätt som Europarådets 41 medlemsstater gör, sade generalsekreterare Schwimmer i ett pressmeddelande den 7 dece</w:t>
      </w:r>
      <w:r w:rsidRPr="00D90F15">
        <w:t>m</w:t>
      </w:r>
      <w:r w:rsidRPr="00D90F15">
        <w:t>ber.</w:t>
      </w:r>
    </w:p>
    <w:p w:rsidR="00FB23A6" w:rsidRPr="00D90F15" w:rsidRDefault="00FB23A6">
      <w:pPr>
        <w:pStyle w:val="Rubrik3"/>
      </w:pPr>
      <w:bookmarkStart w:id="45" w:name="_Toc506878081"/>
      <w:r w:rsidRPr="00D90F15">
        <w:t>Mekanismen för att skydda de mänskliga rättigheterna</w:t>
      </w:r>
      <w:bookmarkEnd w:id="45"/>
    </w:p>
    <w:p w:rsidR="00FB23A6" w:rsidRPr="00D90F15" w:rsidRDefault="00FB23A6">
      <w:r w:rsidRPr="00D90F15">
        <w:t>Den europeiska konventionen om förhindrandet av tortyr  och annan omänsklig och förnedrande behandling eller bestraffning antogs av ministe</w:t>
      </w:r>
      <w:r w:rsidRPr="00D90F15">
        <w:t>r</w:t>
      </w:r>
      <w:r w:rsidRPr="00D90F15">
        <w:t>kommittén i juni 1987 och trädde i kraft den 1 februari 1989. Konventionen har ratificerats av samtliga medlemsstater och är således juridiskt bindande i hela Europarådsområdet. Sverige ratificerade konventionen den 21 juni 1988. Den kommitté som upprättats enligt konventionen för att undersöka behandlingen av frihetsberövade inledde sin verksamhet 1990.  Kommittén består av en representant från varje medlemsland. De nationella delegati</w:t>
      </w:r>
      <w:r w:rsidRPr="00D90F15">
        <w:t>o</w:t>
      </w:r>
      <w:r w:rsidRPr="00D90F15">
        <w:t>nerna nominerar kandidaterna och valet sker i ministerkommittén. Sveri</w:t>
      </w:r>
      <w:r w:rsidRPr="00D90F15">
        <w:t>ges representant i kommittén sedan 1995 har varit Christina Doctare. Hennes andra mandatperiod på fyra år går ut 2003.</w:t>
      </w:r>
    </w:p>
    <w:p w:rsidR="00FB23A6" w:rsidRPr="00D90F15" w:rsidRDefault="00FB23A6">
      <w:pPr>
        <w:pStyle w:val="Normaltindrag"/>
      </w:pPr>
      <w:r w:rsidRPr="00D90F15">
        <w:t>Europarådets kommissarie för de mänskliga rättigheterna inrättades under 1999. Den första kommissarien är Alvaro Gil-Robles (Spanien). Hans ma</w:t>
      </w:r>
      <w:r w:rsidRPr="00D90F15">
        <w:t>n</w:t>
      </w:r>
      <w:r w:rsidRPr="00D90F15">
        <w:t>datperiod på sex år började den 1 januari 2000. Kommissarien kan inte o</w:t>
      </w:r>
      <w:r w:rsidRPr="00D90F15">
        <w:t>m</w:t>
      </w:r>
      <w:r w:rsidRPr="00D90F15">
        <w:t>väljas. Gil-Robles har genom besök i Ryssland och Tjetjenien strävat efter direkta kontakter med de ryska myndigheterna för att hävda de mänskliga rättigheterna och medborgerliga friheterna i Tjetjenien. Europarådet har haft tre människorättsexperter placerade i Tjetjenien för att kartlägga och ta vit</w:t>
      </w:r>
      <w:r w:rsidRPr="00D90F15">
        <w:t>t</w:t>
      </w:r>
      <w:r w:rsidRPr="00D90F15">
        <w:t xml:space="preserve">nesmål om brott mot de mänskliga rättigheterna. </w:t>
      </w:r>
    </w:p>
    <w:p w:rsidR="00FB23A6" w:rsidRPr="00D90F15" w:rsidRDefault="00FB23A6">
      <w:pPr>
        <w:pStyle w:val="Rubrik2"/>
      </w:pPr>
      <w:bookmarkStart w:id="46" w:name="_Toc506878082"/>
      <w:r w:rsidRPr="00D90F15">
        <w:t>Sociala och ekonomiska frågor</w:t>
      </w:r>
      <w:bookmarkEnd w:id="46"/>
    </w:p>
    <w:p w:rsidR="00FB23A6" w:rsidRPr="00D90F15" w:rsidRDefault="00FB23A6">
      <w:r w:rsidRPr="00D90F15">
        <w:t>Rapporter om verksamheten inom Europeiska utvecklingsbanken, EBRD, och Organisationen för ekonomiskt samarbete och utveckling, OECD, finns varje år på församlingens dagordning. Församlingen har uppdraget att vara parlamentariskt forum för och granska verksamheten i de mellanstatliga regeringsorganen OECD och EBRD. I den utvidgade församlingens OECD-debatt i september deltog företrädare för Japan, Kanada, Korea och Mexiko. I och med Mexikos nya observatörsstatus uppmärksammade församlingen speciellt den eko</w:t>
      </w:r>
      <w:r w:rsidRPr="00D90F15">
        <w:t>nomiska utvecklingen i Mexiko samt den transatlantiska handeln.</w:t>
      </w:r>
    </w:p>
    <w:p w:rsidR="00FB23A6" w:rsidRPr="00D90F15" w:rsidRDefault="00FB23A6">
      <w:pPr>
        <w:pStyle w:val="Normaltindrag"/>
      </w:pPr>
      <w:r w:rsidRPr="00D90F15">
        <w:t>Det ingår i Europarådets roll att fokusera på de mest utsatta samhällsgru</w:t>
      </w:r>
      <w:r w:rsidRPr="00D90F15">
        <w:t>p</w:t>
      </w:r>
      <w:r w:rsidRPr="00D90F15">
        <w:t>pernas villkor och rättigheter. Bland dessa grupper märks gamla, sjuka, barn, kvinnor, flyktingar och tvångsförflyttade. En debatt ägnades åt jordbävnin</w:t>
      </w:r>
      <w:r w:rsidRPr="00D90F15">
        <w:t>g</w:t>
      </w:r>
      <w:r w:rsidRPr="00D90F15">
        <w:t>ars ekonomiska och sociala konsekvenser i Turkiet och Grekland. I up</w:t>
      </w:r>
      <w:r w:rsidRPr="00D90F15">
        <w:t>p</w:t>
      </w:r>
      <w:r w:rsidRPr="00D90F15">
        <w:t>byggnaden av demokratiska institutioner på Balkan har församlingen uttryckt viljan att ge Europarådet en framskjuten roll. Demokratiska institutioners betydelse är avgörande för både den politiska och den ekonomiska återup</w:t>
      </w:r>
      <w:r w:rsidRPr="00D90F15">
        <w:t>p</w:t>
      </w:r>
      <w:r w:rsidRPr="00D90F15">
        <w:t>byggnaden, liksom den lokala förvaltningen och det humanitära arbe</w:t>
      </w:r>
      <w:r w:rsidRPr="00D90F15">
        <w:t xml:space="preserve">tet. </w:t>
      </w:r>
    </w:p>
    <w:p w:rsidR="00FB23A6" w:rsidRPr="00D90F15" w:rsidRDefault="00FB23A6">
      <w:pPr>
        <w:pStyle w:val="Normaltindrag"/>
      </w:pPr>
      <w:r w:rsidRPr="00D90F15">
        <w:t>Debatter om en kampanj mot rekrytering av barnsoldater, om internati</w:t>
      </w:r>
      <w:r w:rsidRPr="00D90F15">
        <w:t>o</w:t>
      </w:r>
      <w:r w:rsidRPr="00D90F15">
        <w:t>nella adoptioner, om en handlingsplan för barnen i Kosovo samt om inrä</w:t>
      </w:r>
      <w:r w:rsidRPr="00D90F15">
        <w:t>t</w:t>
      </w:r>
      <w:r w:rsidRPr="00D90F15">
        <w:t>tandet av ett europeiskt barnombudsmannaämbete satte fokus på barnens rättigheter. 90-talets etniska konflikter har tvingat tusentals europeiska me</w:t>
      </w:r>
      <w:r w:rsidRPr="00D90F15">
        <w:t>d</w:t>
      </w:r>
      <w:r w:rsidRPr="00D90F15">
        <w:t>borgare att fly från sina hem. Flyktingfrågor kom upp i församlingens granskningsrapporter samt i debatter om akuta kriser. Rapporter om olaglig invandring till Europa och om kampen mot människohandel riktade uppmä</w:t>
      </w:r>
      <w:r w:rsidRPr="00D90F15">
        <w:t>k</w:t>
      </w:r>
      <w:r w:rsidRPr="00D90F15">
        <w:t xml:space="preserve">samhet mot ett ökande problem som kräver internationell samverkan. </w:t>
      </w:r>
    </w:p>
    <w:p w:rsidR="00FB23A6" w:rsidRPr="00D90F15" w:rsidRDefault="00FB23A6">
      <w:pPr>
        <w:pStyle w:val="Normaltindrag"/>
      </w:pPr>
      <w:r w:rsidRPr="00D90F15">
        <w:t>Med anled</w:t>
      </w:r>
      <w:r w:rsidRPr="00D90F15">
        <w:t>ning av ett ökande antal livsmedelsskandaler i Europa under de senaste åren har församlingen alltmer uppmärksammat frågor som livsm</w:t>
      </w:r>
      <w:r w:rsidRPr="00D90F15">
        <w:t>e</w:t>
      </w:r>
      <w:r w:rsidRPr="00D90F15">
        <w:t xml:space="preserve">delssäkerhet, livsmedelsproduktion och hälsorisker. Inom naturvårds- och miljöskyddsområdet har församlingen tagit upp aktuella miljökatastrofer t.ex. oljetankerolyckorna utanför Frankrikes kust och i Bosporen. Församlingen har också debatterat Europarådets roll inom regionalplanering. </w:t>
      </w:r>
    </w:p>
    <w:p w:rsidR="00FB23A6" w:rsidRPr="00D90F15" w:rsidRDefault="00FB23A6">
      <w:pPr>
        <w:pStyle w:val="Normaltindrag"/>
      </w:pPr>
      <w:r w:rsidRPr="00D90F15">
        <w:t>Kulturutskottet bevakar också idrottens roll i samhället. Under året pr</w:t>
      </w:r>
      <w:r w:rsidRPr="00D90F15">
        <w:t>e</w:t>
      </w:r>
      <w:r w:rsidRPr="00D90F15">
        <w:t xml:space="preserve">senterade utskottet en rapport om dopning inom idrotten. De senaste årens naturvetenskapliga forskningsframsteg har inneburit nya utmaningar för de europeiska länderna. Utskottet för naturvetenskap och teknik har lagt fram underlag för debatter bl.a. om bioteknologi och om europeisk energistrategi. </w:t>
      </w:r>
    </w:p>
    <w:p w:rsidR="00FB23A6" w:rsidRPr="00D90F15" w:rsidRDefault="00FB23A6">
      <w:pPr>
        <w:pStyle w:val="Rubrik2"/>
      </w:pPr>
      <w:bookmarkStart w:id="47" w:name="_Toc506878083"/>
      <w:r w:rsidRPr="00D90F15">
        <w:t>Europeiskt talmansmöte i Strasbourg</w:t>
      </w:r>
      <w:bookmarkEnd w:id="47"/>
    </w:p>
    <w:p w:rsidR="00FB23A6" w:rsidRPr="00D90F15" w:rsidRDefault="00FB23A6">
      <w:r w:rsidRPr="00D90F15">
        <w:t>Europarådet sammankallar vartannat år ett möte med talmännen i någon av medlemsländernas huvudstäder, alternativt i Strasbourg. År 1998 var riksd</w:t>
      </w:r>
      <w:r w:rsidRPr="00D90F15">
        <w:t>a</w:t>
      </w:r>
      <w:r w:rsidRPr="00D90F15">
        <w:t>gen värd för ett sådant möte i Stockholm. I maj 2000 hölls mötet i Stra</w:t>
      </w:r>
      <w:r w:rsidRPr="00D90F15">
        <w:t>s</w:t>
      </w:r>
      <w:r w:rsidRPr="00D90F15">
        <w:t>bourg. Vid dessa möten deltar även talmän från stater med observatörs- eller gäststatus liksom presidenterna i ett antal interparlamentariska församlingar – Europarådets parlamentariska församling, Europaparlamentet, Natos pa</w:t>
      </w:r>
      <w:r w:rsidRPr="00D90F15">
        <w:t>r</w:t>
      </w:r>
      <w:r w:rsidRPr="00D90F15">
        <w:t>lamentariska församling, OSSE:s parlamentariska församling, Västeuropei</w:t>
      </w:r>
      <w:r w:rsidRPr="00D90F15">
        <w:t>s</w:t>
      </w:r>
      <w:r w:rsidRPr="00D90F15">
        <w:t>ka unionens församling, Beneluxrådet och Interparlamentariska unionen. Europarådets parlamentariska församlings president Lord Russell-Johnst</w:t>
      </w:r>
      <w:r w:rsidRPr="00D90F15">
        <w:t>on var värd för det europeiska talmansmötet  som arrangerades i Strasbourg den 5–6 maj med närmare 60 deltagande talmän. För första gången hade även de nationella  delegationsordförandena inbjudits. Från Sverige deltog talman Birgitta Dahl och den svenska delegationens ordföra</w:t>
      </w:r>
      <w:r w:rsidRPr="00D90F15">
        <w:t>n</w:t>
      </w:r>
      <w:r w:rsidRPr="00D90F15">
        <w:t>de Jan Bergqvist.</w:t>
      </w:r>
    </w:p>
    <w:p w:rsidR="00FB23A6" w:rsidRPr="00D90F15" w:rsidRDefault="00FB23A6">
      <w:pPr>
        <w:pStyle w:val="Normaltindrag"/>
      </w:pPr>
      <w:r w:rsidRPr="00D90F15">
        <w:t>Mötets två teman var ”Samordning mellan de nationella parlamenten, E</w:t>
      </w:r>
      <w:r w:rsidRPr="00D90F15">
        <w:t>u</w:t>
      </w:r>
      <w:r w:rsidRPr="00D90F15">
        <w:t>roparådets parlamentariska församling och andra europeiska församlingar för att utarbeta och fullfölja europeiska normer” med Georgiens talman Zurab Zhvania som rapportör och ”Parlamentens roll i kampen mot korruption” med Italiens deputeradekammares talman Luciano Violante som rapportör.</w:t>
      </w:r>
    </w:p>
    <w:p w:rsidR="00FB23A6" w:rsidRPr="00D90F15" w:rsidRDefault="00FB23A6">
      <w:pPr>
        <w:pStyle w:val="Rubrik2"/>
      </w:pPr>
      <w:bookmarkStart w:id="48" w:name="_Toc506878084"/>
      <w:r w:rsidRPr="00D90F15">
        <w:t>Gäster</w:t>
      </w:r>
      <w:bookmarkEnd w:id="48"/>
    </w:p>
    <w:p w:rsidR="00FB23A6" w:rsidRPr="00D90F15" w:rsidRDefault="00FB23A6">
      <w:r w:rsidRPr="00D90F15">
        <w:t>Varje år framträder ett stort antal stats- och regeringschefer, talmän, chefer för internationella organisationer och andra ledande internationella perso</w:t>
      </w:r>
      <w:r w:rsidRPr="00D90F15">
        <w:t>n</w:t>
      </w:r>
      <w:r w:rsidRPr="00D90F15">
        <w:t>ligheter vid den parlamentariska församlingens fyra delsessioner i Stra</w:t>
      </w:r>
      <w:r w:rsidRPr="00D90F15">
        <w:t>s</w:t>
      </w:r>
      <w:r w:rsidRPr="00D90F15">
        <w:t>bourg. Bland församlingens prominenta gäster under 2000 kan nämnas I</w:t>
      </w:r>
      <w:r w:rsidRPr="00D90F15">
        <w:t>r</w:t>
      </w:r>
      <w:r w:rsidRPr="00D90F15">
        <w:t>lands utrikesministrar David Andrews och Brian Cowen i egenskap av m</w:t>
      </w:r>
      <w:r w:rsidRPr="00D90F15">
        <w:t>i</w:t>
      </w:r>
      <w:r w:rsidRPr="00D90F15">
        <w:t>nisterkommitténs ordförande under första halvåret, Italiens utrikesminister Lamberto Dini i samma egenskap under andra hälften av 2000, EU-kommissionens ordförande Romano Prodi, Tysklands förbundskansler Gerhard Schröder, Italiens president Carlo Azeglio Ciampi, Albaniens pres</w:t>
      </w:r>
      <w:r w:rsidRPr="00D90F15">
        <w:t>i</w:t>
      </w:r>
      <w:r w:rsidRPr="00D90F15">
        <w:t>dent Ilir Meta, Kroatie</w:t>
      </w:r>
      <w:r w:rsidRPr="00D90F15">
        <w:t>ns president Stjepan Mesic, Maltas president Guido de Marco, Makedoniens president Boris Trajkovski, FN:s gereralsekreterares speciella representant i Kosovo Bernard Kouchner, OECD:s generalsekret</w:t>
      </w:r>
      <w:r w:rsidRPr="00D90F15">
        <w:t>e</w:t>
      </w:r>
      <w:r w:rsidRPr="00D90F15">
        <w:t>rare Donald Johnston, EBRD:s president Charles Frank, OSSE:s parlament</w:t>
      </w:r>
      <w:r w:rsidRPr="00D90F15">
        <w:t>a</w:t>
      </w:r>
      <w:r w:rsidRPr="00D90F15">
        <w:t xml:space="preserve">riska församlings nyvalde president Adrian Severin, Ukrainas utrikesminister Boris Tarasjuk och Belgiens justitieminister Marc Verwilghen. </w:t>
      </w:r>
    </w:p>
    <w:p w:rsidR="00FB23A6" w:rsidRPr="00D90F15" w:rsidRDefault="00FB23A6">
      <w:pPr>
        <w:pStyle w:val="Normaltindrag"/>
      </w:pPr>
      <w:r w:rsidRPr="00D90F15">
        <w:t>Dessutom gästades församlingen av Armeniens talman Armen Khachat</w:t>
      </w:r>
      <w:r w:rsidRPr="00D90F15">
        <w:t>r</w:t>
      </w:r>
      <w:r w:rsidRPr="00D90F15">
        <w:t>jan, Azerbajdzjans talman Murtuz Aleskerov, Georgiens talman Zurab Zhv</w:t>
      </w:r>
      <w:r w:rsidRPr="00D90F15">
        <w:t>a</w:t>
      </w:r>
      <w:r w:rsidRPr="00D90F15">
        <w:t>nia och Litauens talman Vytautas Landsbergis.</w:t>
      </w:r>
    </w:p>
    <w:p w:rsidR="00FB23A6" w:rsidRPr="00D90F15" w:rsidRDefault="00FB23A6">
      <w:pPr>
        <w:pStyle w:val="Rubrik2"/>
        <w:tabs>
          <w:tab w:val="clear" w:pos="426"/>
          <w:tab w:val="num" w:leader="none" w:pos="567"/>
        </w:tabs>
      </w:pPr>
      <w:bookmarkStart w:id="49" w:name="_Toc506878085"/>
      <w:r w:rsidRPr="00D90F15">
        <w:t>Besök och möten i Sverige</w:t>
      </w:r>
      <w:bookmarkEnd w:id="49"/>
    </w:p>
    <w:p w:rsidR="00FB23A6" w:rsidRPr="00D90F15" w:rsidRDefault="00FB23A6">
      <w:r w:rsidRPr="00D90F15">
        <w:t>Europarådets parlamentariska församlings president Lord Russell-Johnston besökte Sverige den 17–18 maj 2000 på inbjudan av riksdagens talman Bi</w:t>
      </w:r>
      <w:r w:rsidRPr="00D90F15">
        <w:t>r</w:t>
      </w:r>
      <w:r w:rsidRPr="00D90F15">
        <w:t xml:space="preserve">gitta Dahl. Besöksprogrammet omfattade överläggningar med talmannen, med utrikesutskottet och Europarådsdelegationen. Lord Russell-Johnston höll ett anförande för riksdagsledamöter och tjänstemän i samband med  konstitutionsutskottets och EU-nämndens utfrågning om EU:s stadga för grundläggande rättigheter. </w:t>
      </w:r>
    </w:p>
    <w:p w:rsidR="00FB23A6" w:rsidRPr="00D90F15" w:rsidRDefault="00FB23A6">
      <w:pPr>
        <w:pStyle w:val="Normaltindrag"/>
      </w:pPr>
      <w:r w:rsidRPr="00D90F15">
        <w:t>Mellan de fyra årliga delsessionerna i Strasbourg sammanträder Europar</w:t>
      </w:r>
      <w:r w:rsidRPr="00D90F15">
        <w:t>å</w:t>
      </w:r>
      <w:r w:rsidRPr="00D90F15">
        <w:t>dets parlamentariska församlings utskott och underutskott i medlemslände</w:t>
      </w:r>
      <w:r w:rsidRPr="00D90F15">
        <w:t>r</w:t>
      </w:r>
      <w:r w:rsidRPr="00D90F15">
        <w:t>na, på inbjudan av respektive lands parlament. På inbjudan av den svenska Europarådsdelegationen avlade underutskottet för teknikpolicy och energi ett studiebesök i Sverige den 18–20 juni 2000. Från den svenska Europarådsd</w:t>
      </w:r>
      <w:r w:rsidRPr="00D90F15">
        <w:t>e</w:t>
      </w:r>
      <w:r w:rsidRPr="00D90F15">
        <w:t>legationen deltog Sören Lekberg och Björn von der Esch. Syftet med unde</w:t>
      </w:r>
      <w:r w:rsidRPr="00D90F15">
        <w:t>r</w:t>
      </w:r>
      <w:r w:rsidRPr="00D90F15">
        <w:t>utskottets besök var att orientera sig om rymdverksamhet och grundforskning i rymdfysik i Sverige. Besöksplaneringen genomfördes i nära samarbe</w:t>
      </w:r>
      <w:r w:rsidRPr="00D90F15">
        <w:t>te med Rymdstyrelsen, och huvuddelen av programmet ägde rum i Kiruna. Besöket var en del av förberedelserna för en internationell konferens om ”För</w:t>
      </w:r>
      <w:r w:rsidRPr="00D90F15">
        <w:softHyphen/>
        <w:t>utsättningar för vetenskaplig och teknisk forskning i Europa”. Underutsko</w:t>
      </w:r>
      <w:r w:rsidRPr="00D90F15">
        <w:t>t</w:t>
      </w:r>
      <w:r w:rsidRPr="00D90F15">
        <w:t>tets besök inleddes med en allmän orientering om svensk ekonomi. Inform</w:t>
      </w:r>
      <w:r w:rsidRPr="00D90F15">
        <w:t>a</w:t>
      </w:r>
      <w:r w:rsidRPr="00D90F15">
        <w:t>tion om grundforskning, utbildning och observatorieverksamhet i rymdfysik och atmosfärfysik under Intitutets för rymdfysik (IRF) regim ingick i besöket i Kiruna. Under ett besök vid Esrange fick ledamöterna en orienter</w:t>
      </w:r>
      <w:r w:rsidRPr="00D90F15">
        <w:t>ing om den forskningsmiljö som vuxit fram vid Rymdbolagets rymdbas nära Kiruna. Information om LKAB:s malmförädling och malmbrytning samt ett besök i bolagets underjordiska järnmalmsgruva kompletterade bilden av svenska högteknologisatsningar.</w:t>
      </w:r>
    </w:p>
    <w:p w:rsidR="00FB23A6" w:rsidRPr="00D90F15" w:rsidRDefault="00FB23A6">
      <w:pPr>
        <w:pStyle w:val="Rubrik1"/>
      </w:pPr>
      <w:bookmarkStart w:id="50" w:name="_Toc506878086"/>
      <w:r w:rsidRPr="00D90F15">
        <w:t>Den svenska representationen</w:t>
      </w:r>
      <w:bookmarkEnd w:id="50"/>
      <w:r w:rsidRPr="00D90F15">
        <w:t xml:space="preserve"> </w:t>
      </w:r>
    </w:p>
    <w:p w:rsidR="00FB23A6" w:rsidRPr="00D90F15" w:rsidRDefault="00FB23A6">
      <w:r w:rsidRPr="00D90F15">
        <w:t xml:space="preserve">För sessionen år 2000 hade riksdagen anmält följande valda ombud och suppleanter till församlingen och dess organ. </w:t>
      </w:r>
    </w:p>
    <w:p w:rsidR="00FB23A6" w:rsidRPr="00D90F15" w:rsidRDefault="00FB23A6">
      <w:r w:rsidRPr="00D90F15">
        <w:rPr>
          <w:b/>
        </w:rPr>
        <w:t>Ombud</w:t>
      </w:r>
    </w:p>
    <w:p w:rsidR="00FB23A6" w:rsidRPr="00D90F15" w:rsidRDefault="00FB23A6">
      <w:r w:rsidRPr="00D90F15">
        <w:t>1. Jan Bergqvist (s), delegationens ordförande</w:t>
      </w:r>
    </w:p>
    <w:p w:rsidR="00FB23A6" w:rsidRPr="00D90F15" w:rsidRDefault="00FB23A6">
      <w:r w:rsidRPr="00D90F15">
        <w:t>2. Anders Björck (m), delegationens vice ordförande</w:t>
      </w:r>
    </w:p>
    <w:p w:rsidR="00FB23A6" w:rsidRPr="00D90F15" w:rsidRDefault="00FB23A6">
      <w:r w:rsidRPr="00D90F15">
        <w:t>3. Lisbet Calner (s)</w:t>
      </w:r>
    </w:p>
    <w:p w:rsidR="00FB23A6" w:rsidRPr="00D90F15" w:rsidRDefault="00FB23A6">
      <w:r w:rsidRPr="00D90F15">
        <w:t>4. Maud Björnemalm (s)</w:t>
      </w:r>
    </w:p>
    <w:p w:rsidR="00FB23A6" w:rsidRPr="00D90F15" w:rsidRDefault="00FB23A6">
      <w:r w:rsidRPr="00D90F15">
        <w:t>5. Maggi Mikaelsson (v)</w:t>
      </w:r>
    </w:p>
    <w:p w:rsidR="00FB23A6" w:rsidRPr="00D90F15" w:rsidRDefault="00FB23A6">
      <w:r w:rsidRPr="00D90F15">
        <w:t>6. Ingrid Näslund (kd) t.o.m. 20000131, Holger Gustafsson (kd) fr.o.m. 20000202</w:t>
      </w:r>
    </w:p>
    <w:p w:rsidR="00FB23A6" w:rsidRPr="00D90F15" w:rsidRDefault="00FB23A6">
      <w:r w:rsidRPr="00D90F15">
        <w:rPr>
          <w:b/>
        </w:rPr>
        <w:t>Suppleanter</w:t>
      </w:r>
    </w:p>
    <w:p w:rsidR="00FB23A6" w:rsidRPr="00D90F15" w:rsidRDefault="00FB23A6">
      <w:r w:rsidRPr="00D90F15">
        <w:t>1. Göran Magnusson (s)</w:t>
      </w:r>
    </w:p>
    <w:p w:rsidR="00FB23A6" w:rsidRPr="00D90F15" w:rsidRDefault="00FB23A6">
      <w:r w:rsidRPr="00D90F15">
        <w:t>2. Knut Billing (m)</w:t>
      </w:r>
    </w:p>
    <w:p w:rsidR="00FB23A6" w:rsidRPr="00D90F15" w:rsidRDefault="00FB23A6">
      <w:r w:rsidRPr="00D90F15">
        <w:t>3. Sören Lekberg (s)</w:t>
      </w:r>
    </w:p>
    <w:p w:rsidR="00FB23A6" w:rsidRPr="00D90F15" w:rsidRDefault="00FB23A6">
      <w:r w:rsidRPr="00D90F15">
        <w:t>4. Marie Granlund (s)</w:t>
      </w:r>
    </w:p>
    <w:p w:rsidR="00FB23A6" w:rsidRPr="00D90F15" w:rsidRDefault="00FB23A6">
      <w:r w:rsidRPr="00D90F15">
        <w:t>5. Mats Einarsson (v)</w:t>
      </w:r>
    </w:p>
    <w:p w:rsidR="00FB23A6" w:rsidRPr="00D90F15" w:rsidRDefault="00FB23A6">
      <w:r w:rsidRPr="00D90F15">
        <w:t xml:space="preserve">6. Björn von der Esch (kd) </w:t>
      </w:r>
    </w:p>
    <w:p w:rsidR="00FB23A6" w:rsidRPr="00D90F15" w:rsidRDefault="00FB23A6">
      <w:r w:rsidRPr="00D90F15">
        <w:t>Ordföranden företräder delegationen i det ständiga utskottet. Vid förhinder kan han utse en ställföreträdare. Det ständiga utskottet har fullmakt att b</w:t>
      </w:r>
      <w:r w:rsidRPr="00D90F15">
        <w:t>e</w:t>
      </w:r>
      <w:r w:rsidRPr="00D90F15">
        <w:t>sluta på församlingens vägnar under perioder då denna ej är samlad. Omb</w:t>
      </w:r>
      <w:r w:rsidRPr="00D90F15">
        <w:t>u</w:t>
      </w:r>
      <w:r w:rsidRPr="00D90F15">
        <w:t>den och suppleanterna var fördelade på församlingens 14 fackutskott.  I fackutskotten, vilka sammanträder såväl under som mellan församlingens plenarmöten, bereds ärenden som församlingen har att besluta om. Utgående från utskottens betänkanden och förslag antar församlingen rekommendati</w:t>
      </w:r>
      <w:r w:rsidRPr="00D90F15">
        <w:t>o</w:t>
      </w:r>
      <w:r w:rsidRPr="00D90F15">
        <w:t>ner till ministerkommittén, resolutioner, yttranden och direktiv. Flertalet utskott har tillsatt underutskott, vilka i många fall är permanenta från s</w:t>
      </w:r>
      <w:r w:rsidRPr="00D90F15">
        <w:t xml:space="preserve">ession till session. Vidare kan ad hoc-utskott utses för en särskild fråga. </w:t>
      </w:r>
    </w:p>
    <w:p w:rsidR="00FB23A6" w:rsidRPr="00D90F15" w:rsidRDefault="00FB23A6">
      <w:pPr>
        <w:pStyle w:val="Normaltindrag"/>
      </w:pPr>
      <w:r w:rsidRPr="00D90F15">
        <w:t>Ombuden och suppleanterna var under 2000 års session fördelade på fö</w:t>
      </w:r>
      <w:r w:rsidRPr="00D90F15">
        <w:t>r</w:t>
      </w:r>
      <w:r w:rsidRPr="00D90F15">
        <w:t>samlingens utskott och underutskott på sätt som anges nedan (utskottssup</w:t>
      </w:r>
      <w:r w:rsidRPr="00D90F15">
        <w:t>p</w:t>
      </w:r>
      <w:r w:rsidRPr="00D90F15">
        <w:t xml:space="preserve">leanter inom parentes).  </w:t>
      </w:r>
    </w:p>
    <w:p w:rsidR="00FB23A6" w:rsidRPr="00D90F15" w:rsidRDefault="00FB23A6">
      <w:r w:rsidRPr="00D90F15">
        <w:rPr>
          <w:b/>
        </w:rPr>
        <w:t>Ständiga utskottet</w:t>
      </w:r>
      <w:r w:rsidRPr="00D90F15">
        <w:t>: Bergqvist</w:t>
      </w:r>
    </w:p>
    <w:p w:rsidR="00FB23A6" w:rsidRPr="00D90F15" w:rsidRDefault="00FB23A6">
      <w:r w:rsidRPr="00D90F15">
        <w:rPr>
          <w:b/>
        </w:rPr>
        <w:t>Politiska utskottet</w:t>
      </w:r>
      <w:r w:rsidRPr="00D90F15">
        <w:t>: Bergqvist, Björck (Lekberg, Näslund t.o.m. 20000131, Gustafsson fr.o.m. 20000202)</w:t>
      </w:r>
    </w:p>
    <w:p w:rsidR="00FB23A6" w:rsidRPr="00D90F15" w:rsidRDefault="00FB23A6">
      <w:r w:rsidRPr="00D90F15">
        <w:t>Underutskottet för relationer med icke-medlemsländer: Bergqvist, ordföra</w:t>
      </w:r>
      <w:r w:rsidRPr="00D90F15">
        <w:t>n</w:t>
      </w:r>
      <w:r w:rsidRPr="00D90F15">
        <w:t>de</w:t>
      </w:r>
    </w:p>
    <w:p w:rsidR="00FB23A6" w:rsidRPr="00D90F15" w:rsidRDefault="00FB23A6">
      <w:pPr>
        <w:rPr>
          <w:i/>
        </w:rPr>
      </w:pPr>
      <w:r w:rsidRPr="00D90F15">
        <w:rPr>
          <w:b/>
        </w:rPr>
        <w:t>Utskottet för ekonomi och utveckling</w:t>
      </w:r>
      <w:r w:rsidRPr="00D90F15">
        <w:t>: Billing, Calner (Granlund, Einar</w:t>
      </w:r>
      <w:r w:rsidRPr="00D90F15">
        <w:t>s</w:t>
      </w:r>
      <w:r w:rsidRPr="00D90F15">
        <w:t>son)</w:t>
      </w:r>
    </w:p>
    <w:p w:rsidR="00FB23A6" w:rsidRPr="00D90F15" w:rsidRDefault="00FB23A6">
      <w:r w:rsidRPr="00D90F15">
        <w:t>Underutskottet för internationella ekonomiska relationer: Billing (Calner)</w:t>
      </w:r>
    </w:p>
    <w:p w:rsidR="00FB23A6" w:rsidRPr="00D90F15" w:rsidRDefault="00FB23A6">
      <w:r w:rsidRPr="00D90F15">
        <w:t>Underutskottet ”Nord-Syd: Europas roll”: Calner (Billing)</w:t>
      </w:r>
    </w:p>
    <w:p w:rsidR="00FB23A6" w:rsidRPr="00D90F15" w:rsidRDefault="00FB23A6">
      <w:r w:rsidRPr="00D90F15">
        <w:t>Underutskottet för utveckling av turismen: Billing, vice ordförande</w:t>
      </w:r>
    </w:p>
    <w:p w:rsidR="00FB23A6" w:rsidRPr="00D90F15" w:rsidRDefault="00FB23A6">
      <w:r w:rsidRPr="00D90F15">
        <w:rPr>
          <w:b/>
        </w:rPr>
        <w:t>Utskottet för social-, hälsovårds- och familjefrågor</w:t>
      </w:r>
      <w:r w:rsidRPr="00D90F15">
        <w:t xml:space="preserve">: Björnemalm, Näslund t.o.m. 20000131, Gustafsson fr.o.m. 20000202 (Mikaelsson, Magnusson) </w:t>
      </w:r>
    </w:p>
    <w:p w:rsidR="00FB23A6" w:rsidRPr="00D90F15" w:rsidRDefault="00FB23A6">
      <w:r w:rsidRPr="00D90F15">
        <w:t>Underutskottet för barnfrågor: Björnemalm</w:t>
      </w:r>
    </w:p>
    <w:p w:rsidR="00FB23A6" w:rsidRPr="00D90F15" w:rsidRDefault="00FB23A6">
      <w:r w:rsidRPr="00D90F15">
        <w:t>Underutskottet för den europeiska sociala stadgan och arbetsmarknadsfrågor: Näslund t.o.m. 20000131, Gustafsson fr.o.m. 20000202</w:t>
      </w:r>
    </w:p>
    <w:p w:rsidR="00FB23A6" w:rsidRPr="00D90F15" w:rsidRDefault="00FB23A6">
      <w:r w:rsidRPr="00D90F15">
        <w:rPr>
          <w:b/>
        </w:rPr>
        <w:t>Utskottet för juridiska frågor och mänskliga rättigheter</w:t>
      </w:r>
      <w:r w:rsidRPr="00D90F15">
        <w:t>: Magnusson, Näslund t.o.m. 20000131, Gustafsson fr.o.m. 20000202 (Mikaelsson, von der Esch)</w:t>
      </w:r>
    </w:p>
    <w:p w:rsidR="00FB23A6" w:rsidRPr="00D90F15" w:rsidRDefault="00FB23A6">
      <w:r w:rsidRPr="00D90F15">
        <w:t>Underutskottet för mänskliga rättigheter: Magnusson</w:t>
      </w:r>
    </w:p>
    <w:p w:rsidR="00FB23A6" w:rsidRPr="00D90F15" w:rsidRDefault="00FB23A6">
      <w:r w:rsidRPr="00D90F15">
        <w:rPr>
          <w:b/>
        </w:rPr>
        <w:t>Kultur- och utbildningsutskottet</w:t>
      </w:r>
      <w:r w:rsidRPr="00D90F15">
        <w:t>: Billing, Granlund (Björnemalm, Einar</w:t>
      </w:r>
      <w:r w:rsidRPr="00D90F15">
        <w:t>s</w:t>
      </w:r>
      <w:r w:rsidRPr="00D90F15">
        <w:t>son)</w:t>
      </w:r>
    </w:p>
    <w:p w:rsidR="00FB23A6" w:rsidRPr="00D90F15" w:rsidRDefault="00FB23A6">
      <w:r w:rsidRPr="00D90F15">
        <w:t>Underutskottet för mediefrågor: Billing (Einarsson)</w:t>
      </w:r>
    </w:p>
    <w:p w:rsidR="00FB23A6" w:rsidRPr="00D90F15" w:rsidRDefault="00FB23A6">
      <w:r w:rsidRPr="00D90F15">
        <w:rPr>
          <w:b/>
        </w:rPr>
        <w:t>Utskottet för naturvetenskap och teknik</w:t>
      </w:r>
      <w:r w:rsidRPr="00D90F15">
        <w:t xml:space="preserve">: von der Esch, Lekberg, vice ordförande  (Einarsson, Granlund) </w:t>
      </w:r>
    </w:p>
    <w:p w:rsidR="00FB23A6" w:rsidRPr="00D90F15" w:rsidRDefault="00FB23A6">
      <w:r w:rsidRPr="00D90F15">
        <w:t>Underutskottet för teknikpolicy och energi: Lekberg (von der Esch)</w:t>
      </w:r>
    </w:p>
    <w:p w:rsidR="00FB23A6" w:rsidRPr="00D90F15" w:rsidRDefault="00FB23A6">
      <w:r w:rsidRPr="00D90F15">
        <w:t xml:space="preserve">Underutskottet för vetenskapspolicy och etik: von der Esch </w:t>
      </w:r>
    </w:p>
    <w:p w:rsidR="00FB23A6" w:rsidRPr="00D90F15" w:rsidRDefault="00FB23A6">
      <w:r w:rsidRPr="00D90F15">
        <w:rPr>
          <w:b/>
        </w:rPr>
        <w:t>Utskottet för miljövård, regionalplanering och kommunala frågor</w:t>
      </w:r>
      <w:r w:rsidRPr="00D90F15">
        <w:t>: M</w:t>
      </w:r>
      <w:r w:rsidRPr="00D90F15">
        <w:t>i</w:t>
      </w:r>
      <w:r w:rsidRPr="00D90F15">
        <w:t>kaelsson, Granlund (Billing, Bergqvist)</w:t>
      </w:r>
    </w:p>
    <w:p w:rsidR="00FB23A6" w:rsidRPr="00D90F15" w:rsidRDefault="00FB23A6">
      <w:r w:rsidRPr="00D90F15">
        <w:t xml:space="preserve">Underutskottet för miljöfrågor: Mikaelsson </w:t>
      </w:r>
    </w:p>
    <w:p w:rsidR="00FB23A6" w:rsidRPr="00D90F15" w:rsidRDefault="00FB23A6">
      <w:r w:rsidRPr="00D90F15">
        <w:rPr>
          <w:b/>
        </w:rPr>
        <w:t>Utskottet för befolknings- och flyktingfrågor</w:t>
      </w:r>
      <w:r w:rsidRPr="00D90F15">
        <w:t xml:space="preserve">: Björnemalm, Einarsson (Billing, Näslund t.o.m. 20000131, Gustafsson fr.o.m. 20000202) </w:t>
      </w:r>
    </w:p>
    <w:p w:rsidR="00FB23A6" w:rsidRPr="00D90F15" w:rsidRDefault="00FB23A6">
      <w:r w:rsidRPr="00D90F15">
        <w:t>Underutskottet för flyktingfrågor: Björnemalm</w:t>
      </w:r>
    </w:p>
    <w:p w:rsidR="00FB23A6" w:rsidRPr="00D90F15" w:rsidRDefault="00FB23A6">
      <w:r w:rsidRPr="00D90F15">
        <w:t>Underutskottet för demografifrågor: Billing</w:t>
      </w:r>
    </w:p>
    <w:p w:rsidR="00FB23A6" w:rsidRPr="00D90F15" w:rsidRDefault="00FB23A6">
      <w:r w:rsidRPr="00D90F15">
        <w:rPr>
          <w:b/>
        </w:rPr>
        <w:t>Utskottet för procedurfrågor och parlamentarisk immunitet</w:t>
      </w:r>
      <w:r w:rsidRPr="00D90F15">
        <w:t>: Magnusson (Björck)</w:t>
      </w:r>
    </w:p>
    <w:p w:rsidR="00FB23A6" w:rsidRPr="00D90F15" w:rsidRDefault="00FB23A6">
      <w:r w:rsidRPr="00D90F15">
        <w:rPr>
          <w:b/>
        </w:rPr>
        <w:t>Utskottet för jordbruksfrågor och landsbygdsutveckling</w:t>
      </w:r>
      <w:r w:rsidRPr="00D90F15">
        <w:t>: Mikaelsson (von der Esch)</w:t>
      </w:r>
    </w:p>
    <w:p w:rsidR="00FB23A6" w:rsidRPr="00D90F15" w:rsidRDefault="00FB23A6">
      <w:r w:rsidRPr="00D90F15">
        <w:t>Underutskottet för fiske: Mikaelsson (von der Esch)</w:t>
      </w:r>
    </w:p>
    <w:p w:rsidR="00FB23A6" w:rsidRPr="00D90F15" w:rsidRDefault="00FB23A6">
      <w:r w:rsidRPr="00D90F15">
        <w:rPr>
          <w:b/>
        </w:rPr>
        <w:t>Utskottet för förbindelser med de nationella parlamenten och med al</w:t>
      </w:r>
      <w:r w:rsidRPr="00D90F15">
        <w:rPr>
          <w:b/>
        </w:rPr>
        <w:t>l</w:t>
      </w:r>
      <w:r w:rsidRPr="00D90F15">
        <w:rPr>
          <w:b/>
        </w:rPr>
        <w:t>mänheten</w:t>
      </w:r>
      <w:r w:rsidRPr="00D90F15">
        <w:t>: Lekberg (Björck)</w:t>
      </w:r>
    </w:p>
    <w:p w:rsidR="00FB23A6" w:rsidRPr="00D90F15" w:rsidRDefault="00FB23A6">
      <w:r w:rsidRPr="00D90F15">
        <w:t>Underutskottet för deltagardemokrati: Lekberg</w:t>
      </w:r>
    </w:p>
    <w:p w:rsidR="00FB23A6" w:rsidRPr="00D90F15" w:rsidRDefault="00FB23A6">
      <w:r w:rsidRPr="00D90F15">
        <w:rPr>
          <w:b/>
        </w:rPr>
        <w:t xml:space="preserve">Budgetutskottet: </w:t>
      </w:r>
      <w:r w:rsidRPr="00D90F15">
        <w:t>von der Esch (Calner)</w:t>
      </w:r>
    </w:p>
    <w:p w:rsidR="00FB23A6" w:rsidRPr="00D90F15" w:rsidRDefault="00FB23A6">
      <w:r w:rsidRPr="00D90F15">
        <w:rPr>
          <w:b/>
        </w:rPr>
        <w:t>Utskottet för jämställdhet mellan könen:</w:t>
      </w:r>
      <w:r w:rsidRPr="00D90F15">
        <w:t xml:space="preserve"> Calner (Björnemalm) </w:t>
      </w:r>
    </w:p>
    <w:p w:rsidR="00FB23A6" w:rsidRPr="00D90F15" w:rsidRDefault="00FB23A6">
      <w:r w:rsidRPr="00D90F15">
        <w:rPr>
          <w:b/>
        </w:rPr>
        <w:t>Utskottet för granskning av medlemsländernas uppfyllande av sina åtaganden (”Granskningsutskottet”)</w:t>
      </w:r>
      <w:r w:rsidRPr="00D90F15">
        <w:t>: Magnusson</w:t>
      </w:r>
    </w:p>
    <w:p w:rsidR="00FB23A6" w:rsidRPr="00D90F15" w:rsidRDefault="00FB23A6">
      <w:r w:rsidRPr="00D90F15">
        <w:rPr>
          <w:b/>
        </w:rPr>
        <w:t>Ad hoc-kommittén för övervakning av presidentvalet i Ryssland</w:t>
      </w:r>
      <w:r w:rsidRPr="00D90F15">
        <w:t xml:space="preserve"> den 26 mars: Einarsson, von der Esch, delegationsledare</w:t>
      </w:r>
    </w:p>
    <w:p w:rsidR="00FB23A6" w:rsidRPr="00D90F15" w:rsidRDefault="00FB23A6">
      <w:r w:rsidRPr="00D90F15">
        <w:rPr>
          <w:b/>
        </w:rPr>
        <w:t>Ad hoc-kommittén för övervakning av parlamentsvalet i Azerbajdzjan</w:t>
      </w:r>
      <w:r w:rsidRPr="00D90F15">
        <w:t xml:space="preserve"> den 5 november: von der Esch</w:t>
      </w:r>
    </w:p>
    <w:p w:rsidR="00FB23A6" w:rsidRPr="00D90F15" w:rsidRDefault="00FB23A6">
      <w:pPr>
        <w:spacing w:line="240" w:lineRule="auto"/>
      </w:pPr>
      <w:r w:rsidRPr="00D90F15">
        <w:rPr>
          <w:b/>
        </w:rPr>
        <w:t>Ad hoc-kommittén för övervakning av parlamentsvalet i den jugoslavi</w:t>
      </w:r>
      <w:r w:rsidRPr="00D90F15">
        <w:rPr>
          <w:b/>
        </w:rPr>
        <w:t>s</w:t>
      </w:r>
      <w:r w:rsidRPr="00D90F15">
        <w:rPr>
          <w:b/>
        </w:rPr>
        <w:t xml:space="preserve">ka delstaten Serbien </w:t>
      </w:r>
      <w:r w:rsidRPr="00D90F15">
        <w:t>den 23 december: von der Esch, delegationsledare</w:t>
      </w:r>
    </w:p>
    <w:p w:rsidR="00FB23A6" w:rsidRPr="00D90F15" w:rsidRDefault="00FB23A6">
      <w:pPr>
        <w:spacing w:before="240"/>
        <w:rPr>
          <w:b/>
        </w:rPr>
      </w:pPr>
      <w:r w:rsidRPr="00D90F15">
        <w:rPr>
          <w:b/>
        </w:rPr>
        <w:t>Partigrupper</w:t>
      </w:r>
    </w:p>
    <w:p w:rsidR="00FB23A6" w:rsidRPr="00D90F15" w:rsidRDefault="00FB23A6">
      <w:pPr>
        <w:spacing w:line="250" w:lineRule="exact"/>
        <w:rPr>
          <w:b/>
        </w:rPr>
      </w:pPr>
      <w:r w:rsidRPr="00D90F15">
        <w:rPr>
          <w:b/>
        </w:rPr>
        <w:t>Den socialistiska gruppen (Socialist Group, SOC):</w:t>
      </w:r>
    </w:p>
    <w:p w:rsidR="00FB23A6" w:rsidRPr="00D90F15" w:rsidRDefault="00FB23A6">
      <w:pPr>
        <w:spacing w:before="0" w:line="250" w:lineRule="exact"/>
      </w:pPr>
      <w:r w:rsidRPr="00D90F15">
        <w:t>Bergqvist, Calner, Bjö</w:t>
      </w:r>
      <w:r w:rsidRPr="00D90F15">
        <w:t>r</w:t>
      </w:r>
      <w:r w:rsidRPr="00D90F15">
        <w:t>nemalm, Magnusson, Lekberg, Granlund</w:t>
      </w:r>
    </w:p>
    <w:p w:rsidR="00FB23A6" w:rsidRPr="00D90F15" w:rsidRDefault="00FB23A6">
      <w:pPr>
        <w:spacing w:line="250" w:lineRule="exact"/>
        <w:rPr>
          <w:b/>
        </w:rPr>
      </w:pPr>
      <w:r w:rsidRPr="00D90F15">
        <w:rPr>
          <w:b/>
        </w:rPr>
        <w:t>Det europeiska folkpartiet (Group of the European People’s Party, EPP/CD):</w:t>
      </w:r>
    </w:p>
    <w:p w:rsidR="00FB23A6" w:rsidRPr="00D90F15" w:rsidRDefault="00FB23A6">
      <w:pPr>
        <w:spacing w:before="0" w:line="250" w:lineRule="exact"/>
      </w:pPr>
      <w:r w:rsidRPr="00D90F15">
        <w:t>Gustafsson, von der Esch</w:t>
      </w:r>
    </w:p>
    <w:p w:rsidR="00FB23A6" w:rsidRPr="00D90F15" w:rsidRDefault="00FB23A6">
      <w:pPr>
        <w:spacing w:line="250" w:lineRule="exact"/>
        <w:rPr>
          <w:b/>
        </w:rPr>
      </w:pPr>
      <w:r w:rsidRPr="00D90F15">
        <w:rPr>
          <w:b/>
        </w:rPr>
        <w:t>Den europeiska demokratiska gruppen (European Democratic Group, EDG):</w:t>
      </w:r>
    </w:p>
    <w:p w:rsidR="00FB23A6" w:rsidRPr="00D90F15" w:rsidRDefault="00FB23A6">
      <w:pPr>
        <w:spacing w:before="0" w:line="250" w:lineRule="exact"/>
      </w:pPr>
      <w:r w:rsidRPr="00D90F15">
        <w:t>Björck, Billing</w:t>
      </w:r>
    </w:p>
    <w:p w:rsidR="00FB23A6" w:rsidRPr="00D90F15" w:rsidRDefault="00FB23A6">
      <w:pPr>
        <w:spacing w:line="250" w:lineRule="exact"/>
        <w:rPr>
          <w:b/>
        </w:rPr>
      </w:pPr>
      <w:r w:rsidRPr="00D90F15">
        <w:rPr>
          <w:b/>
        </w:rPr>
        <w:t>Den förenade europeiska vänstern (Group of the Unified European Left, UEL):</w:t>
      </w:r>
    </w:p>
    <w:p w:rsidR="00FB23A6" w:rsidRPr="00D90F15" w:rsidRDefault="00FB23A6">
      <w:pPr>
        <w:spacing w:before="0" w:line="250" w:lineRule="exact"/>
      </w:pPr>
      <w:r w:rsidRPr="00D90F15">
        <w:t>Mikaelsson, Einarsson</w:t>
      </w:r>
    </w:p>
    <w:p w:rsidR="00FB23A6" w:rsidRPr="00D90F15" w:rsidRDefault="00FB23A6">
      <w:pPr>
        <w:pStyle w:val="Rubrik1"/>
      </w:pPr>
      <w:bookmarkStart w:id="51" w:name="_Toc506878087"/>
      <w:r w:rsidRPr="00D90F15">
        <w:t>Huvudområden för församlingens verksamhet</w:t>
      </w:r>
      <w:bookmarkEnd w:id="51"/>
    </w:p>
    <w:p w:rsidR="00FB23A6" w:rsidRPr="00D90F15" w:rsidRDefault="00FB23A6">
      <w:pPr>
        <w:pStyle w:val="Rubrik2"/>
        <w:spacing w:before="120"/>
      </w:pPr>
      <w:bookmarkStart w:id="52" w:name="_Toc506878088"/>
      <w:r w:rsidRPr="00D90F15">
        <w:t>Granskning av hur medlemsländerna uppfyller sina åtaganden</w:t>
      </w:r>
      <w:bookmarkEnd w:id="52"/>
    </w:p>
    <w:p w:rsidR="00FB23A6" w:rsidRPr="00D90F15" w:rsidRDefault="00FB23A6">
      <w:r w:rsidRPr="00D90F15">
        <w:rPr>
          <w:i/>
        </w:rPr>
        <w:t xml:space="preserve">Granskningsutskottets tredje årsrapport </w:t>
      </w:r>
      <w:r w:rsidRPr="00D90F15">
        <w:t>(dok. 8734) redogjorde för ver</w:t>
      </w:r>
      <w:r w:rsidRPr="00D90F15">
        <w:t>k</w:t>
      </w:r>
      <w:r w:rsidRPr="00D90F15">
        <w:t>samheten i utskottet under perioden april 1999–april 2000. Tio länders åt</w:t>
      </w:r>
      <w:r w:rsidRPr="00D90F15">
        <w:t>a</w:t>
      </w:r>
      <w:r w:rsidRPr="00D90F15">
        <w:t>ganden har varit  föremål för granskning: Albanien, Bulgarien, Georgien, Kroatien, Lettland, Makedonien, Moldova, Ryssland, Turkiet och Ukraina. Verksamheten i utskottet bygger dels på samarbete med de nationella del</w:t>
      </w:r>
      <w:r w:rsidRPr="00D90F15">
        <w:t>e</w:t>
      </w:r>
      <w:r w:rsidRPr="00D90F15">
        <w:t>gationerna, dels på dialog med ministerkommitténs granskningsenhet. M</w:t>
      </w:r>
      <w:r w:rsidRPr="00D90F15">
        <w:t>i</w:t>
      </w:r>
      <w:r w:rsidRPr="00D90F15">
        <w:t>nisterkommittén informerar församlingen om den uppföljning som föranleds av granskningen. Granskningsarbetet i de två or</w:t>
      </w:r>
      <w:r w:rsidRPr="00D90F15">
        <w:t>ganen är kompletterande och samspel mellan dem sker i en gemensam kommitté där uppföljningsver</w:t>
      </w:r>
      <w:r w:rsidRPr="00D90F15">
        <w:t>k</w:t>
      </w:r>
      <w:r w:rsidRPr="00D90F15">
        <w:t>samheten diskuteras. Framgångsrik granskning förutsätter samarbetsvilja från det granskade landet och dess myndigheters sida. Utskottets delegati</w:t>
      </w:r>
      <w:r w:rsidRPr="00D90F15">
        <w:t>o</w:t>
      </w:r>
      <w:r w:rsidRPr="00D90F15">
        <w:t>ner besöker de granskade länderna för att skaffa sig en detaljerad bild över utvecklingen i landet i fråga. Valövervakning används i samma syfte genom att utskottets rapportör ingår i församlingens valövervakningsdelegationer. Samarbetet får sin konkreta innebörd när det</w:t>
      </w:r>
      <w:r w:rsidRPr="00D90F15">
        <w:t xml:space="preserve"> berörda landet genomför och tillämpar de rekommendationer granskningsrapporten tar upp. Efterlevnaden av granskningens rekommendationer sker genom en dialog med landet som påbörjas ett år efter avslutad granskning. </w:t>
      </w:r>
    </w:p>
    <w:p w:rsidR="00FB23A6" w:rsidRPr="00D90F15" w:rsidRDefault="00FB23A6">
      <w:pPr>
        <w:pStyle w:val="Rubrik3"/>
      </w:pPr>
      <w:bookmarkStart w:id="53" w:name="_Toc506878089"/>
      <w:r w:rsidRPr="00D90F15">
        <w:t>Bulgarien</w:t>
      </w:r>
      <w:bookmarkEnd w:id="53"/>
    </w:p>
    <w:p w:rsidR="00FB23A6" w:rsidRPr="00D90F15" w:rsidRDefault="00FB23A6">
      <w:r w:rsidRPr="00D90F15">
        <w:t>Delsessionen i januari inleddes med en granskningsrapport om hur</w:t>
      </w:r>
      <w:r w:rsidRPr="00D90F15">
        <w:rPr>
          <w:i/>
        </w:rPr>
        <w:t xml:space="preserve"> Bulgarien</w:t>
      </w:r>
      <w:r w:rsidRPr="00D90F15">
        <w:t xml:space="preserve"> efterlevde sina åtaganden som Europarådsmedlem (dok. 8616, rek. 1442). Bulgarien tillträdde 1992 som medlem i Europarådet. I motsats till den tid</w:t>
      </w:r>
      <w:r w:rsidRPr="00D90F15">
        <w:t>i</w:t>
      </w:r>
      <w:r w:rsidRPr="00D90F15">
        <w:t>gare rapporten från 1998 (dok. 8180) sade rapportörerna att Bulgarien hade kommit en bra bit på väg när det gällde att uppfylla Europarådets kriterier. Särskilt noterades att Bulgarien hade avskaffat dödsstraffet, börjat tillämpa principen om maktfördelning och anpassat lagstiftningen till Europarådets standard. Beröm gavs även för ett väl genomfört kom</w:t>
      </w:r>
      <w:r w:rsidRPr="00D90F15">
        <w:t>munalval under 1999. Samtidigt som landet uppgavs ha gjort framsteg i uppfyllandet av Europar</w:t>
      </w:r>
      <w:r w:rsidRPr="00D90F15">
        <w:t>å</w:t>
      </w:r>
      <w:r w:rsidRPr="00D90F15">
        <w:t>dets kriterier, tog rapporten upp ett antal krav för ytterligare förändringar. Regeringens starka inflytande över medierna ingav farhågor att oppositionen inte kan föra fram sitt budskap. Garantier för det juridiska systemets ober</w:t>
      </w:r>
      <w:r w:rsidRPr="00D90F15">
        <w:t>o</w:t>
      </w:r>
      <w:r w:rsidRPr="00D90F15">
        <w:t>ende saknades. Minoriteters konstitutionella rättigheter visade brister. Ko</w:t>
      </w:r>
      <w:r w:rsidRPr="00D90F15">
        <w:t>r</w:t>
      </w:r>
      <w:r w:rsidRPr="00D90F15">
        <w:t xml:space="preserve">ruptionen var utbredd. Fortsatt polisbrutalitet mot medlemmar av minoriteter, särskilt romer, var oroväckande. </w:t>
      </w:r>
      <w:r w:rsidRPr="00D90F15">
        <w:t>Bristen på dialog mellan den regerande majoriteten och oppositionen samt oenighet mellan de religiösa trossamfu</w:t>
      </w:r>
      <w:r w:rsidRPr="00D90F15">
        <w:t>n</w:t>
      </w:r>
      <w:r w:rsidRPr="00D90F15">
        <w:t>den delade samhället på ett mera allmänt plan. De bulgariska myndigheterna manades till fortsatt dialog med parlamentarikerförsamlingen med anledning av denna kritik. Granskningsutskottets rapportörer föreslog att den tre år långa granskningen av landet skulle avslutas. Möjligheten att vid behov åter öppna granskningen uteslöts inte.</w:t>
      </w:r>
    </w:p>
    <w:p w:rsidR="00FB23A6" w:rsidRPr="00D90F15" w:rsidRDefault="00FB23A6">
      <w:pPr>
        <w:pStyle w:val="Rubrik3"/>
      </w:pPr>
      <w:bookmarkStart w:id="54" w:name="_Toc506878090"/>
      <w:r w:rsidRPr="00D90F15">
        <w:t>Makedonien</w:t>
      </w:r>
      <w:bookmarkEnd w:id="54"/>
    </w:p>
    <w:p w:rsidR="00FB23A6" w:rsidRPr="00D90F15" w:rsidRDefault="00FB23A6">
      <w:r w:rsidRPr="00D90F15">
        <w:t xml:space="preserve">Vid aprilsessionen granskade församlingen </w:t>
      </w:r>
      <w:r w:rsidRPr="00D90F15">
        <w:rPr>
          <w:i/>
        </w:rPr>
        <w:t>Makedoniens åtaganden som medlem i Europarådet</w:t>
      </w:r>
      <w:r w:rsidRPr="00D90F15">
        <w:t xml:space="preserve"> (dok. 8669, res. 1213). Makedonien blev 1995 me</w:t>
      </w:r>
      <w:r w:rsidRPr="00D90F15">
        <w:t>d</w:t>
      </w:r>
      <w:r w:rsidRPr="00D90F15">
        <w:t>lem i Europarådet. Uppföljningen av dess efterlevnad av åtaganden har p</w:t>
      </w:r>
      <w:r w:rsidRPr="00D90F15">
        <w:t>å</w:t>
      </w:r>
      <w:r w:rsidRPr="00D90F15">
        <w:t>gått i tre år. Enligt rapporten hade Makedonien ratificerat flertalet av Eur</w:t>
      </w:r>
      <w:r w:rsidRPr="00D90F15">
        <w:t>o</w:t>
      </w:r>
      <w:r w:rsidRPr="00D90F15">
        <w:t>parådets konventioner. Makedonien berömdes för sina insatser under K</w:t>
      </w:r>
      <w:r w:rsidRPr="00D90F15">
        <w:t>o</w:t>
      </w:r>
      <w:r w:rsidRPr="00D90F15">
        <w:t>sovokrisen. Landet tog emot hundratusentals flyktingar, något som var en stor påfrestning på det makedoniska samhället. Samarbetet med världssa</w:t>
      </w:r>
      <w:r w:rsidRPr="00D90F15">
        <w:t>m</w:t>
      </w:r>
      <w:r w:rsidRPr="00D90F15">
        <w:t>fundet  för en fredlig lösning på konflikten var konstr</w:t>
      </w:r>
      <w:r w:rsidRPr="00D90F15">
        <w:t>uktivt. I landets reg</w:t>
      </w:r>
      <w:r w:rsidRPr="00D90F15">
        <w:t>e</w:t>
      </w:r>
      <w:r w:rsidRPr="00D90F15">
        <w:t>ring ingick även den albanska minoritetens företrädare. Makedoniens my</w:t>
      </w:r>
      <w:r w:rsidRPr="00D90F15">
        <w:t>n</w:t>
      </w:r>
      <w:r w:rsidRPr="00D90F15">
        <w:t>digheter uppmanades att fullfölja den reformprocess som avbrutits av K</w:t>
      </w:r>
      <w:r w:rsidRPr="00D90F15">
        <w:t>o</w:t>
      </w:r>
      <w:r w:rsidRPr="00D90F15">
        <w:t>sovokonflikten. Särskilt viktiga reformer gällde etniska minoriteters integr</w:t>
      </w:r>
      <w:r w:rsidRPr="00D90F15">
        <w:t>a</w:t>
      </w:r>
      <w:r w:rsidRPr="00D90F15">
        <w:t>tion, mediernas oberoende, rättssystemet, utbildningssystemet, rättsstatlighet och lokalt självstyre. Europarådets kompetens inom utbildning, medborga</w:t>
      </w:r>
      <w:r w:rsidRPr="00D90F15">
        <w:t>r</w:t>
      </w:r>
      <w:r w:rsidRPr="00D90F15">
        <w:t>frågor, medier och polisutbildning borde tas till vara i samband med ko</w:t>
      </w:r>
      <w:r w:rsidRPr="00D90F15">
        <w:t>m</w:t>
      </w:r>
      <w:r w:rsidRPr="00D90F15">
        <w:t>mande lagstiftningsreformer. Församlingen rekomm</w:t>
      </w:r>
      <w:r w:rsidRPr="00D90F15">
        <w:t>enderade att medlem</w:t>
      </w:r>
      <w:r w:rsidRPr="00D90F15">
        <w:t>s</w:t>
      </w:r>
      <w:r w:rsidRPr="00D90F15">
        <w:t>staterna, inom ramen för stabilitetspakten, ökar det finansiella bidraget till Mak</w:t>
      </w:r>
      <w:r w:rsidRPr="00D90F15">
        <w:t>e</w:t>
      </w:r>
      <w:r w:rsidRPr="00D90F15">
        <w:t>doniens ekonomiska reformer.</w:t>
      </w:r>
    </w:p>
    <w:p w:rsidR="00FB23A6" w:rsidRPr="00D90F15" w:rsidRDefault="00FB23A6">
      <w:pPr>
        <w:pStyle w:val="Rubrik3"/>
      </w:pPr>
      <w:bookmarkStart w:id="55" w:name="_Toc506878091"/>
      <w:r w:rsidRPr="00D90F15">
        <w:t>Ukraina</w:t>
      </w:r>
      <w:bookmarkEnd w:id="55"/>
    </w:p>
    <w:p w:rsidR="00FB23A6" w:rsidRPr="00D90F15" w:rsidRDefault="00FB23A6">
      <w:r w:rsidRPr="00D90F15">
        <w:t xml:space="preserve">Vid aprilsessionen debatterade församlingen  en rapport om </w:t>
      </w:r>
      <w:r w:rsidRPr="00D90F15">
        <w:rPr>
          <w:i/>
        </w:rPr>
        <w:t>Konstitutionella reformer i Ukraina</w:t>
      </w:r>
      <w:r w:rsidRPr="00D90F15">
        <w:t xml:space="preserve"> (dok. 8666, 8674, 8695, rek. 1451). Anledningen till debatten var den av president Kutjma utlysta folkomröstningen för att fö</w:t>
      </w:r>
      <w:r w:rsidRPr="00D90F15">
        <w:t>r</w:t>
      </w:r>
      <w:r w:rsidRPr="00D90F15">
        <w:t>stärka presidentmakten. Detta projekt hade väckt internationella protester eftersom det tolkades som en inskränkning av demokratin. Dagarna före debatten i Strasbourg tillkännagjorde Ukrainas konstitutionella domstol ett beslut beträffande presidentens dekret om folkomröstning. I enlighet med domstolens beslut hade två av de sex frågor strukits som</w:t>
      </w:r>
      <w:r w:rsidRPr="00D90F15">
        <w:t xml:space="preserve"> väljare skulle ta ställning till. Parlamentarikerförsamlingen krävde att folkomröstningen skulle uppskjutas. Den rekommenderade ministerkommittén att säkerställa att de gällande konstitutionella bestämmelserna respekterades vid genomf</w:t>
      </w:r>
      <w:r w:rsidRPr="00D90F15">
        <w:t>ö</w:t>
      </w:r>
      <w:r w:rsidRPr="00D90F15">
        <w:t xml:space="preserve">randet av folkomröstningens resultat.  Ukraina hotades med suspension från Europarådet. </w:t>
      </w:r>
    </w:p>
    <w:p w:rsidR="00FB23A6" w:rsidRPr="00D90F15" w:rsidRDefault="00FB23A6">
      <w:pPr>
        <w:pStyle w:val="Rubrik3"/>
      </w:pPr>
      <w:bookmarkStart w:id="56" w:name="_Toc506878092"/>
      <w:r w:rsidRPr="00D90F15">
        <w:t>Albanien</w:t>
      </w:r>
      <w:bookmarkEnd w:id="56"/>
    </w:p>
    <w:p w:rsidR="00FB23A6" w:rsidRPr="00D90F15" w:rsidRDefault="00FB23A6">
      <w:r w:rsidRPr="00D90F15">
        <w:t xml:space="preserve">Vid junisessionen debatterade församlingen en granskningsrapport om </w:t>
      </w:r>
      <w:r w:rsidRPr="00D90F15">
        <w:rPr>
          <w:i/>
        </w:rPr>
        <w:t>Alb</w:t>
      </w:r>
      <w:r w:rsidRPr="00D90F15">
        <w:rPr>
          <w:i/>
        </w:rPr>
        <w:t>a</w:t>
      </w:r>
      <w:r w:rsidRPr="00D90F15">
        <w:rPr>
          <w:i/>
        </w:rPr>
        <w:t xml:space="preserve">nien </w:t>
      </w:r>
      <w:r w:rsidRPr="00D90F15">
        <w:t>(dok. 8771, res. 1219). Efter många års politisk instabilitet rapporter</w:t>
      </w:r>
      <w:r w:rsidRPr="00D90F15">
        <w:t>a</w:t>
      </w:r>
      <w:r w:rsidRPr="00D90F15">
        <w:t>des framsteg när det gällde Albaniens åtaganden och förpliktelser som me</w:t>
      </w:r>
      <w:r w:rsidRPr="00D90F15">
        <w:t>d</w:t>
      </w:r>
      <w:r w:rsidRPr="00D90F15">
        <w:t>lem i Europarådet. En ny konstitution, dödsstraffets avskaffande, nytt va</w:t>
      </w:r>
      <w:r w:rsidRPr="00D90F15">
        <w:t>l</w:t>
      </w:r>
      <w:r w:rsidRPr="00D90F15">
        <w:t>system, ny medielagstiftning på det elektroniska området, korruptionsb</w:t>
      </w:r>
      <w:r w:rsidRPr="00D90F15">
        <w:t>e</w:t>
      </w:r>
      <w:r w:rsidRPr="00D90F15">
        <w:t>kämpning, omstrukturering av rättsväsendet och polismyndigheten togs upp som viktiga framsteg. Kosovokonflikten hade drabbat landet mycket hårt. Albaniens samarbete med världssamfundet och gästfrihet mot flyktinga</w:t>
      </w:r>
      <w:r w:rsidRPr="00D90F15">
        <w:t>r under Kosovokonflikten fick beröm. Det politiska klimatet i landet karakter</w:t>
      </w:r>
      <w:r w:rsidRPr="00D90F15">
        <w:t>i</w:t>
      </w:r>
      <w:r w:rsidRPr="00D90F15">
        <w:t>serades av en splittring mellan de två dominerande partierna. Parlamentar</w:t>
      </w:r>
      <w:r w:rsidRPr="00D90F15">
        <w:t>i</w:t>
      </w:r>
      <w:r w:rsidRPr="00D90F15">
        <w:t>kerförsamlingen ansåg att Albaniens myndigheter måste göra det klart för medborgarna att framgången i reformarbetet beror på albanernas egna a</w:t>
      </w:r>
      <w:r w:rsidRPr="00D90F15">
        <w:t>n</w:t>
      </w:r>
      <w:r w:rsidRPr="00D90F15">
        <w:t>strängningar. Stabilitetspakten för sydöstra Europa möjliggjorde för länderna på Balkan att vidta demokratiska och ekonomiska reformer och öka regionalt samarbete. Albanien manades att fortsätta reformera sina institu</w:t>
      </w:r>
      <w:r w:rsidRPr="00D90F15">
        <w:t>tioner och ratificera Europarådets konventioner. De till juni 2001 planerade allmänna valen i Albanien ansågs ha stor betydelse för landets fortsatta utveckling. Parlamentarikerförsamlingen beslöt att återuppta debatten om Albanien efter valet.</w:t>
      </w:r>
    </w:p>
    <w:p w:rsidR="00FB23A6" w:rsidRPr="00D90F15" w:rsidRDefault="00FB23A6">
      <w:pPr>
        <w:pStyle w:val="Rubrik3"/>
      </w:pPr>
      <w:bookmarkStart w:id="57" w:name="_Toc506878093"/>
      <w:r w:rsidRPr="00D90F15">
        <w:t>Kroatien</w:t>
      </w:r>
      <w:bookmarkEnd w:id="57"/>
    </w:p>
    <w:p w:rsidR="00FB23A6" w:rsidRPr="00D90F15" w:rsidRDefault="00FB23A6">
      <w:r w:rsidRPr="00D90F15">
        <w:t xml:space="preserve">En granskningsrapport gällde </w:t>
      </w:r>
      <w:r w:rsidRPr="00D90F15">
        <w:rPr>
          <w:i/>
        </w:rPr>
        <w:t>Kroatien</w:t>
      </w:r>
      <w:r w:rsidRPr="00D90F15">
        <w:t xml:space="preserve"> (dok. 8823, rek. 1473, res. 1223) vars åtaganden granskades av församlingen även 1999. Kroatien, som blev me</w:t>
      </w:r>
      <w:r w:rsidRPr="00D90F15">
        <w:t>d</w:t>
      </w:r>
      <w:r w:rsidRPr="00D90F15">
        <w:t>lem i Europarådet 1996, åtog sig då att reformera lagstiftningen enligt en överenskommen tidtabell. Den tidigare granskningen tog upp ett antal brister i vallagstiftningen, den lokala självstyrelsen, rättsväsendet och mediernas frihet. Förändringar krävdes även när det gällde medborgarskapslagar, u</w:t>
      </w:r>
      <w:r w:rsidRPr="00D90F15">
        <w:t>t</w:t>
      </w:r>
      <w:r w:rsidRPr="00D90F15">
        <w:t>landskroaternas särskilda rättigheter, behandlingen av de nationella minor</w:t>
      </w:r>
      <w:r w:rsidRPr="00D90F15">
        <w:t>i</w:t>
      </w:r>
      <w:r w:rsidRPr="00D90F15">
        <w:t>teterna, regleringe</w:t>
      </w:r>
      <w:r w:rsidRPr="00D90F15">
        <w:t>n av egendomsförhållanden och flyktingars återkomst. Den nya granskningsrapporten som låg som grund för årets debatt välkomnade det omfattande reformarbete Kroatien inlett i synnerhet efter parlaments- och presidentvalen vid millennieskiftet. Reformerna hade inneburit bl.a. att fly</w:t>
      </w:r>
      <w:r w:rsidRPr="00D90F15">
        <w:t>k</w:t>
      </w:r>
      <w:r w:rsidRPr="00D90F15">
        <w:t>tingåtervändandet har underlättats, den budgetpolitiska öppenheten hade ökat samt omvandlingen av mediesektorn hade påbörjats. Den bilaterala relati</w:t>
      </w:r>
      <w:r w:rsidRPr="00D90F15">
        <w:t>o</w:t>
      </w:r>
      <w:r w:rsidRPr="00D90F15">
        <w:t>nen med Bosnien-Hercegovina hade förbättrats. De kroatiska myndigheterna hade bi</w:t>
      </w:r>
      <w:r w:rsidRPr="00D90F15">
        <w:t>dragit till att främja fred och stabilisera situationen i sydöstra Europa genom att påskynda genomförandet av Daytonavtalet. Församlingen reko</w:t>
      </w:r>
      <w:r w:rsidRPr="00D90F15">
        <w:t>m</w:t>
      </w:r>
      <w:r w:rsidRPr="00D90F15">
        <w:t>menderade ytterligare åtgärder, t.ex. att Kroatien antog en ny författning om nationella minoriteters rättigheter och uppmuntrade till fortsatta ansträn</w:t>
      </w:r>
      <w:r w:rsidRPr="00D90F15">
        <w:t>g</w:t>
      </w:r>
      <w:r w:rsidRPr="00D90F15">
        <w:t>ningar när det gällde demokratiska reformer. Att de återstående kraven up</w:t>
      </w:r>
      <w:r w:rsidRPr="00D90F15">
        <w:t>p</w:t>
      </w:r>
      <w:r w:rsidRPr="00D90F15">
        <w:t>fylldes av Kroatien borde övervakas av ministerkommittén. Församlingen uppmanade medlemsstaterna att öka det finansiella bidraget till Kroatie</w:t>
      </w:r>
      <w:r w:rsidRPr="00D90F15">
        <w:t xml:space="preserve">n bl.a. inom ramen för stabilitetspakten för sydöstra Europa. </w:t>
      </w:r>
    </w:p>
    <w:p w:rsidR="00FB23A6" w:rsidRPr="00D90F15" w:rsidRDefault="00FB23A6">
      <w:pPr>
        <w:pStyle w:val="Rubrik2"/>
      </w:pPr>
      <w:bookmarkStart w:id="58" w:name="_Toc506878094"/>
      <w:r w:rsidRPr="00D90F15">
        <w:t>Politiska frågor</w:t>
      </w:r>
      <w:bookmarkEnd w:id="58"/>
    </w:p>
    <w:p w:rsidR="00FB23A6" w:rsidRPr="00D90F15" w:rsidRDefault="00FB23A6">
      <w:pPr>
        <w:pStyle w:val="Rubrik3"/>
        <w:spacing w:before="240"/>
      </w:pPr>
      <w:bookmarkStart w:id="59" w:name="_Toc506878095"/>
      <w:r w:rsidRPr="00D90F15">
        <w:t>Tjetjenien</w:t>
      </w:r>
      <w:bookmarkEnd w:id="59"/>
    </w:p>
    <w:p w:rsidR="00FB23A6" w:rsidRPr="00D90F15" w:rsidRDefault="00FB23A6">
      <w:r w:rsidRPr="00D90F15">
        <w:t>När årets första delsession inleddes beslöt församlingen att hålla en extrai</w:t>
      </w:r>
      <w:r w:rsidRPr="00D90F15">
        <w:t>n</w:t>
      </w:r>
      <w:r w:rsidRPr="00D90F15">
        <w:t xml:space="preserve">satt debatt om </w:t>
      </w:r>
      <w:r w:rsidRPr="00D90F15">
        <w:rPr>
          <w:i/>
        </w:rPr>
        <w:t>konflikten i Tjetjenien</w:t>
      </w:r>
      <w:r w:rsidRPr="00D90F15">
        <w:t xml:space="preserve"> (dok. 8630, 8631, 8632, rek. 1444). En delegation från församlingen hade tidigare i januari under ledning av pres</w:t>
      </w:r>
      <w:r w:rsidRPr="00D90F15">
        <w:t>i</w:t>
      </w:r>
      <w:r w:rsidRPr="00D90F15">
        <w:t>dent Lord Russell-Johnston genomfört ett besök i Moskva och norra Kauk</w:t>
      </w:r>
      <w:r w:rsidRPr="00D90F15">
        <w:t>a</w:t>
      </w:r>
      <w:r w:rsidRPr="00D90F15">
        <w:t>sien. I rapporten fördömdes de militära operationerna i Tjetjenien. Som E</w:t>
      </w:r>
      <w:r w:rsidRPr="00D90F15">
        <w:t>u</w:t>
      </w:r>
      <w:r w:rsidRPr="00D90F15">
        <w:t>roparådets medlemsstat hade Ryssland förbundit sig att söka fredliga lö</w:t>
      </w:r>
      <w:r w:rsidRPr="00D90F15">
        <w:t>s</w:t>
      </w:r>
      <w:r w:rsidRPr="00D90F15">
        <w:t>ningar på interna och internationella tvister. I rapporten manades de ryska myndigheterna att hejda de väpnade styrkornas oproportionerliga o</w:t>
      </w:r>
      <w:r w:rsidRPr="00D90F15">
        <w:t>ch go</w:t>
      </w:r>
      <w:r w:rsidRPr="00D90F15">
        <w:t>d</w:t>
      </w:r>
      <w:r w:rsidRPr="00D90F15">
        <w:t xml:space="preserve">tyckliga maktutövning mot det tjetjenska folket och att omedelbart inleda samtal med  representanter för Tjetjenien för att möjliggöra vapenvila och hitta en politisk lösning på konflikten. De utländska biståndsorganisationerna och medierna måste få tillgång till området. En rekommendation riktad till ministerkommittén sade att Europarådets närvaro i området måste säkras. </w:t>
      </w:r>
    </w:p>
    <w:p w:rsidR="00FB23A6" w:rsidRPr="00D90F15" w:rsidRDefault="00FB23A6">
      <w:pPr>
        <w:pStyle w:val="Normaltindrag"/>
      </w:pPr>
      <w:r w:rsidRPr="00D90F15">
        <w:t>Rysslands utrikesminister Igor Ivanov deltog i debatten. Han försvarade den ryska hållningen som en kamp mot islamisk fundamentali</w:t>
      </w:r>
      <w:r w:rsidRPr="00D90F15">
        <w:t>sm och terr</w:t>
      </w:r>
      <w:r w:rsidRPr="00D90F15">
        <w:t>o</w:t>
      </w:r>
      <w:r w:rsidRPr="00D90F15">
        <w:t xml:space="preserve">rism. Ivanov bad Europarådet att inte isolera Ryssland utan i stället hjälpa till att bygga upp demokratiska institutioner i norra Kaukasien. </w:t>
      </w:r>
    </w:p>
    <w:p w:rsidR="00FB23A6" w:rsidRPr="00D90F15" w:rsidRDefault="00FB23A6">
      <w:pPr>
        <w:pStyle w:val="Normaltindrag"/>
      </w:pPr>
      <w:r w:rsidRPr="00D90F15">
        <w:t>Med anledning av konflikten i Tjetjenien hade ett antal ledamöter i fö</w:t>
      </w:r>
      <w:r w:rsidRPr="00D90F15">
        <w:t>r</w:t>
      </w:r>
      <w:r w:rsidRPr="00D90F15">
        <w:t>samlingen ifrågasatt den ryska delegationens ackrediteringar. Omröstningen i denna fråga ägde rum efter debatten om Tjetjenien. Församlingen gick på det politiska utskottets linje att skjuta upp beslutet med krav på att Ryssland vid aprilsessionen skulle redovisa framsteg när det gällde att skapa fred och att förbättra förhållandena för befolkningen i Tjetjenien.</w:t>
      </w:r>
    </w:p>
    <w:p w:rsidR="00FB23A6" w:rsidRPr="00D90F15" w:rsidRDefault="00FB23A6">
      <w:pPr>
        <w:pStyle w:val="Normaltindrag"/>
      </w:pPr>
      <w:r w:rsidRPr="00D90F15">
        <w:t>Vid aprilsessionen beslutades att inte acceptera den ryska parlamentarike</w:t>
      </w:r>
      <w:r w:rsidRPr="00D90F15">
        <w:t>r</w:t>
      </w:r>
      <w:r w:rsidRPr="00D90F15">
        <w:t>delegationens ackrediteringar. Detta beslut krävde enkel majoritet. När r</w:t>
      </w:r>
      <w:r w:rsidRPr="00D90F15">
        <w:t>e</w:t>
      </w:r>
      <w:r w:rsidRPr="00D90F15">
        <w:t>sultatet blev klart lämnade de flesta ryska delegaterna plenisalen sedan del</w:t>
      </w:r>
      <w:r w:rsidRPr="00D90F15">
        <w:t>e</w:t>
      </w:r>
      <w:r w:rsidRPr="00D90F15">
        <w:t>gationens ordförande förklarat att de ryska parlamentarikerna inte kunde fortsätta arbeta i församlingen utan fulla rättigheter.</w:t>
      </w:r>
    </w:p>
    <w:p w:rsidR="00FB23A6" w:rsidRPr="00D90F15" w:rsidRDefault="00FB23A6">
      <w:pPr>
        <w:pStyle w:val="Normaltindrag"/>
      </w:pPr>
      <w:r w:rsidRPr="00D90F15">
        <w:t xml:space="preserve">Beslutet fattades efter en gemensam debatt om dagordningspunkterna </w:t>
      </w:r>
      <w:r w:rsidRPr="00D90F15">
        <w:rPr>
          <w:i/>
        </w:rPr>
        <w:t xml:space="preserve">Konflikten i Tjetjenien </w:t>
      </w:r>
      <w:r w:rsidRPr="00D90F15">
        <w:t xml:space="preserve">(dok. 8697, 8700, 8705, 8706, 8707, rek. 1456) och </w:t>
      </w:r>
      <w:r w:rsidRPr="00D90F15">
        <w:rPr>
          <w:i/>
        </w:rPr>
        <w:t>Ryska federationsdelegationens ackrediteringar</w:t>
      </w:r>
      <w:r w:rsidRPr="00D90F15">
        <w:t xml:space="preserve"> (dok. 8698, 8699, 8701). Det politiska utskottet hade granskat huruvida Ryssland hade genomfört församlingens rekommendation 1444. Rapporten kritiserade Ryssland för brott mot de mänskliga rättigheterna i Tjetjenien. Församlingen krävde om</w:t>
      </w:r>
      <w:r w:rsidRPr="00D90F15">
        <w:t>e</w:t>
      </w:r>
      <w:r w:rsidRPr="00D90F15">
        <w:t>delbart eldupphör och en politisk lösning på krisen. Kravet på att internati</w:t>
      </w:r>
      <w:r w:rsidRPr="00D90F15">
        <w:t>o</w:t>
      </w:r>
      <w:r w:rsidRPr="00D90F15">
        <w:t>nella humanitära hjälporganisationer skulle ges tillträde till området up</w:t>
      </w:r>
      <w:r w:rsidRPr="00D90F15">
        <w:t>pr</w:t>
      </w:r>
      <w:r w:rsidRPr="00D90F15">
        <w:t>e</w:t>
      </w:r>
      <w:r w:rsidRPr="00D90F15">
        <w:t>pades. Församlingen förväntade sig att alla fångar som tagits under konfli</w:t>
      </w:r>
      <w:r w:rsidRPr="00D90F15">
        <w:t>k</w:t>
      </w:r>
      <w:r w:rsidRPr="00D90F15">
        <w:t>ten erbjöds juridisk hjälp. Rysslands rätt att bevara den territoriella integrit</w:t>
      </w:r>
      <w:r w:rsidRPr="00D90F15">
        <w:t>e</w:t>
      </w:r>
      <w:r w:rsidRPr="00D90F15">
        <w:t>ten och att bekämpa terrorism erkändes. Alla former av terrorism, kidnap</w:t>
      </w:r>
      <w:r w:rsidRPr="00D90F15">
        <w:t>p</w:t>
      </w:r>
      <w:r w:rsidRPr="00D90F15">
        <w:t>ningar och kränkningar av de mänskliga rättigheterna i Tjetjenien fördömdes. Församlingen rekommenderade att ministerkommittén vid uteblivna fra</w:t>
      </w:r>
      <w:r w:rsidRPr="00D90F15">
        <w:t>m</w:t>
      </w:r>
      <w:r w:rsidRPr="00D90F15">
        <w:t>steg skulle vidta åtgärder för att utesluta Ryssland från Europarådet. (En rekommend</w:t>
      </w:r>
      <w:r w:rsidRPr="00D90F15">
        <w:t>a</w:t>
      </w:r>
      <w:r w:rsidRPr="00D90F15">
        <w:t xml:space="preserve">tion till ministerkommittén kräver två tredjedels </w:t>
      </w:r>
      <w:r w:rsidRPr="00D90F15">
        <w:t xml:space="preserve">majoritet.) </w:t>
      </w:r>
    </w:p>
    <w:p w:rsidR="00FB23A6" w:rsidRPr="00D90F15" w:rsidRDefault="00FB23A6">
      <w:r w:rsidRPr="00D90F15">
        <w:t xml:space="preserve">Vid junisessionen debatterade församlingen återigen </w:t>
      </w:r>
      <w:r w:rsidRPr="00D90F15">
        <w:rPr>
          <w:i/>
        </w:rPr>
        <w:t>konflikten i Tjetjenien och uppföljning av församlingens rekommendationer 1444 (2000) och 1456 (2000)</w:t>
      </w:r>
      <w:r w:rsidRPr="00D90F15">
        <w:t xml:space="preserve"> (dok. 8785, 8788, res. 1221). Även om vissa framsteg kunde konst</w:t>
      </w:r>
      <w:r w:rsidRPr="00D90F15">
        <w:t>a</w:t>
      </w:r>
      <w:r w:rsidRPr="00D90F15">
        <w:t>teras återstod mycket innan det internationella samfundets krav var uppfyllda i Tjetjenien. Församlingen uttryckte oro för fortsatta bombningar och krän</w:t>
      </w:r>
      <w:r w:rsidRPr="00D90F15">
        <w:t>k</w:t>
      </w:r>
      <w:r w:rsidRPr="00D90F15">
        <w:t>ningar av de mänskliga rättigheterna. Kravet på att utreda de påstådda krän</w:t>
      </w:r>
      <w:r w:rsidRPr="00D90F15">
        <w:t>k</w:t>
      </w:r>
      <w:r w:rsidRPr="00D90F15">
        <w:t xml:space="preserve">ningarna upprepades. Församlingen noterade särskilt att Europarådets tre juridiska experter hade börjat sitt arbete </w:t>
      </w:r>
      <w:r w:rsidRPr="00D90F15">
        <w:t>i  Tjetjenien för att utreda brott mot de mänskliga rättigheterna. Vikten av att samarbeta med internationella organisationer betonades. Församlingen ansåg att ministerkommittén inte tydligt nog hade fördömt Rysslands militära aktion och kränkningar av de mänskliga rättigheterna i Tjetjenien. Europarådets instrument, t.ex. mella</w:t>
      </w:r>
      <w:r w:rsidRPr="00D90F15">
        <w:t>n</w:t>
      </w:r>
      <w:r w:rsidRPr="00D90F15">
        <w:t>statliga klagomål enligt Europakonventionen, borde användas för att tillse efterlevnaden av medlemsstaternas åtaganden. Uteslutning ur organisationen var en möjlighet om inte påtagl</w:t>
      </w:r>
      <w:r w:rsidRPr="00D90F15">
        <w:t>iga framsteg gjordes i frågan.</w:t>
      </w:r>
    </w:p>
    <w:p w:rsidR="00FB23A6" w:rsidRPr="00D90F15" w:rsidRDefault="00FB23A6">
      <w:pPr>
        <w:pStyle w:val="Normaltindrag"/>
      </w:pPr>
      <w:r w:rsidRPr="00D90F15">
        <w:t xml:space="preserve">Vid septembersessionen var </w:t>
      </w:r>
      <w:r w:rsidRPr="00D90F15">
        <w:rPr>
          <w:i/>
        </w:rPr>
        <w:t>utvecklingen i Tjetjenien</w:t>
      </w:r>
      <w:r w:rsidRPr="00D90F15">
        <w:t xml:space="preserve"> för fjärde gången på parlamentarikerförsamlingens dagordning (dok. 8840, rek. 1476, res. 1227). För att granska uppföljningen av församlingens tidigare resolutioner hade rapportören i Tjetjenienfrågan, Lord Judd, tillsammans med en delegation besökt  Ryssland och Tjetjenien. I programmet ingick även besök på kontoret för de mänskliga rättigheterna i Znamenskoye i Tjetjenien. Delegaterna var närvarande under Dumans utfrågning om  situationen i Tjetjenien. Enligt rapporten var situat</w:t>
      </w:r>
      <w:r w:rsidRPr="00D90F15">
        <w:t>ionen inte tillfredsställande i Tjetjenien, speciellt inte när det gällde de mänskliga rättigheterna. Den tjetjenska sidan gjorde sig också skyldig till allvarliga överträdelser. Europarådets experters närvaro vid ko</w:t>
      </w:r>
      <w:r w:rsidRPr="00D90F15">
        <w:t>n</w:t>
      </w:r>
      <w:r w:rsidRPr="00D90F15">
        <w:t>toret för de mänskliga rättigheterna i Tjetjenien fick parlamentarikernas stöd. Det ansågs viktigt att klagomål som experterna rapporterade följdes upp och att de ansvariga ställdes inför rätta. De ryska myndigheterna borde åtala de ryska militärer som misstänktes för kränkningar. Ryssland måst</w:t>
      </w:r>
      <w:r w:rsidRPr="00D90F15">
        <w:t>e göra det möjligt för flyktingar att återvända. Arbetet med att söka en politisk lösning på konflikten måste påskyndas. I Tjetjenien fanns ett stort behov av human</w:t>
      </w:r>
      <w:r w:rsidRPr="00D90F15">
        <w:t>i</w:t>
      </w:r>
      <w:r w:rsidRPr="00D90F15">
        <w:t xml:space="preserve">tär hjälp, behovet var akut inför vintern. Församlingen rekommenderade att ministerkommittén övervakade att Ryssland uppfyllde sina förpliktelser. </w:t>
      </w:r>
    </w:p>
    <w:p w:rsidR="00FB23A6" w:rsidRPr="00D90F15" w:rsidRDefault="00FB23A6">
      <w:pPr>
        <w:pStyle w:val="Rubrik3"/>
      </w:pPr>
      <w:bookmarkStart w:id="60" w:name="_Toc506878096"/>
      <w:r w:rsidRPr="00D90F15">
        <w:t>Vitryssland</w:t>
      </w:r>
      <w:bookmarkEnd w:id="60"/>
    </w:p>
    <w:p w:rsidR="00FB23A6" w:rsidRPr="00D90F15" w:rsidRDefault="00FB23A6">
      <w:r w:rsidRPr="00D90F15">
        <w:t xml:space="preserve">Årets första delsession inleddes med en debatt om situationen i </w:t>
      </w:r>
      <w:r w:rsidRPr="00D90F15">
        <w:rPr>
          <w:i/>
        </w:rPr>
        <w:t>Vitryssland</w:t>
      </w:r>
      <w:r w:rsidRPr="00D90F15">
        <w:t xml:space="preserve"> (dok. 8606, rek. 1441, order 562). Det politiska utskottets rapport uppmär</w:t>
      </w:r>
      <w:r w:rsidRPr="00D90F15">
        <w:t>k</w:t>
      </w:r>
      <w:r w:rsidRPr="00D90F15">
        <w:t>sammade särskilt unionsavtalet mellan Vitryssland och Den ryska federati</w:t>
      </w:r>
      <w:r w:rsidRPr="00D90F15">
        <w:t>o</w:t>
      </w:r>
      <w:r w:rsidRPr="00D90F15">
        <w:t>nen. Rapporten gav en dyster bild av förhållandena i landet. Europarådets krav på pluralistisk demokrati, rättsstatens principer och mänskliga rättigh</w:t>
      </w:r>
      <w:r w:rsidRPr="00D90F15">
        <w:t>e</w:t>
      </w:r>
      <w:r w:rsidRPr="00D90F15">
        <w:t>ter var långt ifrån uppfyllda. Rapporten tog upp många exempel på hur Vi</w:t>
      </w:r>
      <w:r w:rsidRPr="00D90F15">
        <w:t>t</w:t>
      </w:r>
      <w:r w:rsidRPr="00D90F15">
        <w:t>ryssland bröt mot de mänskliga rättigheterna: försvinnanden av representa</w:t>
      </w:r>
      <w:r w:rsidRPr="00D90F15">
        <w:t>n</w:t>
      </w:r>
      <w:r w:rsidRPr="00D90F15">
        <w:t xml:space="preserve">ter för den politiska oppositionen och förföljelse av </w:t>
      </w:r>
      <w:r w:rsidRPr="00D90F15">
        <w:t>regimens kritiker, svåra förhållanden i häktena, kränkningar av de mänskliga rättigheterna från pol</w:t>
      </w:r>
      <w:r w:rsidRPr="00D90F15">
        <w:t>i</w:t>
      </w:r>
      <w:r w:rsidRPr="00D90F15">
        <w:t>sens sida, begränsningar av yttrande- och föreningsfriheten och av rätten att arbeta. Medierna var starkt kontrollerade av presidenten. De fria tidningarna diskriminerades. Vitryssland var det enda landet i Europa som utförde död</w:t>
      </w:r>
      <w:r w:rsidRPr="00D90F15">
        <w:t>s</w:t>
      </w:r>
      <w:r w:rsidRPr="00D90F15">
        <w:t>straff i större skala.</w:t>
      </w:r>
    </w:p>
    <w:p w:rsidR="00FB23A6" w:rsidRPr="00D90F15" w:rsidRDefault="00FB23A6">
      <w:pPr>
        <w:pStyle w:val="Normaltindrag"/>
      </w:pPr>
      <w:r w:rsidRPr="00D90F15">
        <w:t>De vitryska institutionerna kunde återfå sin legitimitet bara genom en p</w:t>
      </w:r>
      <w:r w:rsidRPr="00D90F15">
        <w:t>o</w:t>
      </w:r>
      <w:r w:rsidRPr="00D90F15">
        <w:t>litisk dialog som ledde till demokratiska val. De vitryska makthavarna man</w:t>
      </w:r>
      <w:r w:rsidRPr="00D90F15">
        <w:t>a</w:t>
      </w:r>
      <w:r w:rsidRPr="00D90F15">
        <w:t>des att genomföra reformer. Ministerkommittén rekommenderades att starta speciella program för att lösa krisen och att säkra Europarådets närvaro i Minsk. Trots att Vitrysslands status som speciell gäst i Europarådet var su</w:t>
      </w:r>
      <w:r w:rsidRPr="00D90F15">
        <w:t>s</w:t>
      </w:r>
      <w:r w:rsidRPr="00D90F15">
        <w:t>penderad ansåg församlingen att rådet bör uppehålla en kontakt med landet och stödja all positiv utveckling. För att garantera att Europarådets verksa</w:t>
      </w:r>
      <w:r w:rsidRPr="00D90F15">
        <w:t>m</w:t>
      </w:r>
      <w:r w:rsidRPr="00D90F15">
        <w:t>het gick i takt med internationella hjälpåtgärder betonades s</w:t>
      </w:r>
      <w:r w:rsidRPr="00D90F15">
        <w:t>amordning av aktiviteter med OSSE.</w:t>
      </w:r>
    </w:p>
    <w:p w:rsidR="00FB23A6" w:rsidRPr="00D90F15" w:rsidRDefault="00FB23A6">
      <w:pPr>
        <w:pStyle w:val="Normaltindrag"/>
      </w:pPr>
      <w:r w:rsidRPr="00D90F15">
        <w:t>Allmänna val hölls den 15 oktober i Vitryssland. Europarådet i samråd med OSSE och Europaparlamentet beslöt att inte övervaka valet eftersom det inte uppfyllde kraven på  fria och rättvisa val.</w:t>
      </w:r>
    </w:p>
    <w:p w:rsidR="00FB23A6" w:rsidRPr="00D90F15" w:rsidRDefault="00FB23A6">
      <w:pPr>
        <w:pStyle w:val="Rubrik3"/>
      </w:pPr>
      <w:bookmarkStart w:id="61" w:name="_Toc506878097"/>
      <w:r w:rsidRPr="00D90F15">
        <w:t>Förenta nationerna</w:t>
      </w:r>
      <w:bookmarkEnd w:id="61"/>
    </w:p>
    <w:p w:rsidR="00FB23A6" w:rsidRPr="00D90F15" w:rsidRDefault="00FB23A6">
      <w:r w:rsidRPr="00D90F15">
        <w:t xml:space="preserve">En rapport om </w:t>
      </w:r>
      <w:r w:rsidRPr="00D90F15">
        <w:rPr>
          <w:i/>
        </w:rPr>
        <w:t>Förenta nationerna vid sekelskiftet</w:t>
      </w:r>
      <w:r w:rsidRPr="00D90F15">
        <w:t xml:space="preserve"> (dok. 8822, rek. 1476) debatterades vid septembersessionen. Den parlamentariska församlingen stödde generalsekreterare Kofi Annans ansträngningar att ta itu med stora utmaningar inför det nya seklet. Särskilt uppskattades arbetet för att hitta ett sätt för världssamfundet att reagera på grova och systematiska kränkningar av de mänskliga rättigheterna. Behovet att effektivisera arbetet i säkerhetsr</w:t>
      </w:r>
      <w:r w:rsidRPr="00D90F15">
        <w:t>å</w:t>
      </w:r>
      <w:r w:rsidRPr="00D90F15">
        <w:t xml:space="preserve">det lyftes fram. Öppenheten i organisationen måste ökas. FN:s insatser för </w:t>
      </w:r>
      <w:r w:rsidRPr="00D90F15">
        <w:t>att förebygga kriser och använda preventiv diplomati välkomnades. Som regi</w:t>
      </w:r>
      <w:r w:rsidRPr="00D90F15">
        <w:t>o</w:t>
      </w:r>
      <w:r w:rsidRPr="00D90F15">
        <w:t>nal paneuropeisk organisation kan Europarådet göra en stor insats i FN:s preventiva verksamhet, särskilt när det gäller respekten för de mänskliga rättigheterna, skydda barn och minoriteter, granska medlemsstaternas åt</w:t>
      </w:r>
      <w:r w:rsidRPr="00D90F15">
        <w:t>a</w:t>
      </w:r>
      <w:r w:rsidRPr="00D90F15">
        <w:t>ganden, stödja demokratibyggande och bekämpa rasism. Parlamentarikerfö</w:t>
      </w:r>
      <w:r w:rsidRPr="00D90F15">
        <w:t>r</w:t>
      </w:r>
      <w:r w:rsidRPr="00D90F15">
        <w:t>samlingen satte högt värde på att generalförsamlingen den 20 oktober deba</w:t>
      </w:r>
      <w:r w:rsidRPr="00D90F15">
        <w:t>t</w:t>
      </w:r>
      <w:r w:rsidRPr="00D90F15">
        <w:t xml:space="preserve">terade samarbetet mellan Europarådet och FN. Samarbetet skulle fördjupas </w:t>
      </w:r>
      <w:r w:rsidRPr="00D90F15">
        <w:t>ytterligare genom att bevilja Europarådet status som regional organisation. Parlamentarikerförsamlingen antog en rekommendation om ökad parlame</w:t>
      </w:r>
      <w:r w:rsidRPr="00D90F15">
        <w:t>n</w:t>
      </w:r>
      <w:r w:rsidRPr="00D90F15">
        <w:t>tarisk medverkan i FN.</w:t>
      </w:r>
    </w:p>
    <w:p w:rsidR="00FB23A6" w:rsidRPr="00D90F15" w:rsidRDefault="00FB23A6">
      <w:r w:rsidRPr="00D90F15">
        <w:rPr>
          <w:i/>
        </w:rPr>
        <w:t>Jan Bergqvist</w:t>
      </w:r>
      <w:r w:rsidRPr="00D90F15">
        <w:t xml:space="preserve"> framhöll i sitt anförande att en stark världsorganisation behö</w:t>
      </w:r>
      <w:r w:rsidRPr="00D90F15">
        <w:t>v</w:t>
      </w:r>
      <w:r w:rsidRPr="00D90F15">
        <w:t>des för att effektivt förebygga  konflikter och för att världssamfundet skulle kunna ingripa vid behov. FN hade tyvärr inte alltid  klarat utmaningen vilket gjort att dess auktoritet hade ifrågasatts. FN:s möjligheter att möta nya hot berodde mycket på de resurser som stod till dess förfogande. FN behövde omstruktureras. Säkerhetsrådets arbete fick inte förlamas genom veto. Ett bättre utnyttjande av de regionala organisationerna var nödvändigt.</w:t>
      </w:r>
      <w:r w:rsidRPr="00D90F15">
        <w:t xml:space="preserve"> Avslu</w:t>
      </w:r>
      <w:r w:rsidRPr="00D90F15">
        <w:t>t</w:t>
      </w:r>
      <w:r w:rsidRPr="00D90F15">
        <w:t>ningsvis påpekade Jan Bergqvist att ökad parlamentarisk medverkan skulle stärka FN.</w:t>
      </w:r>
    </w:p>
    <w:p w:rsidR="00FB23A6" w:rsidRPr="00D90F15" w:rsidRDefault="00FB23A6">
      <w:pPr>
        <w:pStyle w:val="Rubrik2"/>
      </w:pPr>
      <w:bookmarkStart w:id="62" w:name="_Toc506878098"/>
      <w:r w:rsidRPr="00D90F15">
        <w:t>Juridiska frågor och mänskliga rättigheter</w:t>
      </w:r>
      <w:bookmarkEnd w:id="62"/>
    </w:p>
    <w:p w:rsidR="00FB23A6" w:rsidRPr="00D90F15" w:rsidRDefault="00FB23A6">
      <w:pPr>
        <w:pStyle w:val="Rubrik3"/>
        <w:spacing w:before="240"/>
      </w:pPr>
      <w:bookmarkStart w:id="63" w:name="_Toc506878099"/>
      <w:r w:rsidRPr="00D90F15">
        <w:t>EU:s grundrättighetsstadga</w:t>
      </w:r>
      <w:bookmarkEnd w:id="63"/>
    </w:p>
    <w:p w:rsidR="00FB23A6" w:rsidRPr="00D90F15" w:rsidRDefault="00FB23A6">
      <w:pPr>
        <w:tabs>
          <w:tab w:val="left" w:pos="7561"/>
        </w:tabs>
      </w:pPr>
      <w:r w:rsidRPr="00D90F15">
        <w:t>Det juridiska utskottets rapport om</w:t>
      </w:r>
      <w:r w:rsidRPr="00D90F15">
        <w:rPr>
          <w:i/>
        </w:rPr>
        <w:t xml:space="preserve"> EU:s stadga för grundläggande rätti</w:t>
      </w:r>
      <w:r w:rsidRPr="00D90F15">
        <w:rPr>
          <w:i/>
        </w:rPr>
        <w:t>g</w:t>
      </w:r>
      <w:r w:rsidRPr="00D90F15">
        <w:rPr>
          <w:i/>
        </w:rPr>
        <w:t>heter</w:t>
      </w:r>
      <w:r w:rsidRPr="00D90F15">
        <w:t xml:space="preserve"> (dok. 8611, 8615, 8627, rek. 1439, order 561) debatterades vid januar</w:t>
      </w:r>
      <w:r w:rsidRPr="00D90F15">
        <w:t>i</w:t>
      </w:r>
      <w:r w:rsidRPr="00D90F15">
        <w:t xml:space="preserve">sessionen. Rapportör var </w:t>
      </w:r>
      <w:r w:rsidRPr="00D90F15">
        <w:rPr>
          <w:i/>
        </w:rPr>
        <w:t>Göran Magnusson</w:t>
      </w:r>
      <w:r w:rsidRPr="00D90F15">
        <w:t>. Rapporten välkomnade inle</w:t>
      </w:r>
      <w:r w:rsidRPr="00D90F15">
        <w:t>d</w:t>
      </w:r>
      <w:r w:rsidRPr="00D90F15">
        <w:t>ningsvis EU:s ansträngningar att stärka skyddet av och respekten för de mänskliga rättigheterna i Europa. Samtidigt uttrycktes oro för att Europar</w:t>
      </w:r>
      <w:r w:rsidRPr="00D90F15">
        <w:t>å</w:t>
      </w:r>
      <w:r w:rsidRPr="00D90F15">
        <w:t>dets konvention skulle  förlora i betydelse. Europakonventionen innehöll samma rättigheter som EU:s tilltänkta stadga. Församlingen ansåg att Eur</w:t>
      </w:r>
      <w:r w:rsidRPr="00D90F15">
        <w:t>o</w:t>
      </w:r>
      <w:r w:rsidRPr="00D90F15">
        <w:t>parådets mekanism för att skydda de mä</w:t>
      </w:r>
      <w:r w:rsidRPr="00D90F15">
        <w:t>nskliga rättigheterna borde utnyttjas i arbetet med den föreslagna EU-stadgan för att undvika överlappande fun</w:t>
      </w:r>
      <w:r w:rsidRPr="00D90F15">
        <w:t>k</w:t>
      </w:r>
      <w:r w:rsidRPr="00D90F15">
        <w:t>tioner. Den nya EU-stadgan befarades dela Europa på nytt genom att lämna utanför de 26 europeiska stater som inte var med i EU men som genom medlemskapet i Europarådet tillhörde en europeisk värdegemenskap. Des</w:t>
      </w:r>
      <w:r w:rsidRPr="00D90F15">
        <w:t>s</w:t>
      </w:r>
      <w:r w:rsidRPr="00D90F15">
        <w:t>utom riskerade man att få oförenliga domslut från Europadomstolen i Stra</w:t>
      </w:r>
      <w:r w:rsidRPr="00D90F15">
        <w:t>s</w:t>
      </w:r>
      <w:r w:rsidRPr="00D90F15">
        <w:t>bourg och EG-domstolen i Luxemburg. Europarådets mål hade länge varit att gemenskapen skall tillträda Europakonventio</w:t>
      </w:r>
      <w:r w:rsidRPr="00D90F15">
        <w:t>nen om de mänskliga rättigh</w:t>
      </w:r>
      <w:r w:rsidRPr="00D90F15">
        <w:t>e</w:t>
      </w:r>
      <w:r w:rsidRPr="00D90F15">
        <w:t>terna. I enlighet med den linjen  rekommenderade församlingen att de rätti</w:t>
      </w:r>
      <w:r w:rsidRPr="00D90F15">
        <w:t>g</w:t>
      </w:r>
      <w:r w:rsidRPr="00D90F15">
        <w:t xml:space="preserve">heter som uppställts i Europakonventionen liksom de tillhörande protokollen, borde infogas i den föreslagna EU-stadgan. Församlingen ansåg även att Europarådets omarbetade sociala stadga borde beaktas i EU:s diskussioner om sociala rättigheter. </w:t>
      </w:r>
    </w:p>
    <w:p w:rsidR="00FB23A6" w:rsidRPr="00D90F15" w:rsidRDefault="00FB23A6">
      <w:pPr>
        <w:pStyle w:val="Normaltindrag"/>
      </w:pPr>
      <w:r w:rsidRPr="00D90F15">
        <w:t xml:space="preserve">Vid aprilsessionen ställde </w:t>
      </w:r>
      <w:r w:rsidRPr="00D90F15">
        <w:rPr>
          <w:i/>
        </w:rPr>
        <w:t>Sören Lekberg</w:t>
      </w:r>
      <w:r w:rsidRPr="00D90F15">
        <w:t xml:space="preserve"> en muntlig fråga till ministe</w:t>
      </w:r>
      <w:r w:rsidRPr="00D90F15">
        <w:t>r</w:t>
      </w:r>
      <w:r w:rsidRPr="00D90F15">
        <w:t>kommitténs irländska ordförande om vilka åtgärder ministerkommittén hade vidtagit för att möjliggöra EG:s anslutning till Europakonventionen.</w:t>
      </w:r>
    </w:p>
    <w:p w:rsidR="00FB23A6" w:rsidRPr="00D90F15" w:rsidRDefault="00FB23A6">
      <w:pPr>
        <w:pStyle w:val="Normaltindrag"/>
      </w:pPr>
      <w:r w:rsidRPr="00D90F15">
        <w:t>Parlamentarikerförsamlingen följde upp EU:s arbete med grundläggande rättigheter genom en ny debatt vid årets sista delsession. Det juridiska u</w:t>
      </w:r>
      <w:r w:rsidRPr="00D90F15">
        <w:t>t</w:t>
      </w:r>
      <w:r w:rsidRPr="00D90F15">
        <w:t xml:space="preserve">skottets rapportör var också denna gång </w:t>
      </w:r>
      <w:r w:rsidRPr="00D90F15">
        <w:rPr>
          <w:i/>
        </w:rPr>
        <w:t>Göran Magnusson</w:t>
      </w:r>
      <w:r w:rsidRPr="00D90F15">
        <w:t xml:space="preserve"> (dok. 8819, rek. 1479, res. 1228, order 567). Han underströk att orsaken till församlingens intresse för stadgans formuleringar hängde ihop med omsorgen om skyddet av de mänskliga rättigheterna. Om rättspraxis från Europadomstolen i Stra</w:t>
      </w:r>
      <w:r w:rsidRPr="00D90F15">
        <w:t>s</w:t>
      </w:r>
      <w:r w:rsidRPr="00D90F15">
        <w:t>bourg respektive EG-domstolen i Luxemburg blir olika skulle det leda till rättsosäkerhet. Skyddet av de mänskliga rättigheterna riskerade att bli svag</w:t>
      </w:r>
      <w:r w:rsidRPr="00D90F15">
        <w:t>a</w:t>
      </w:r>
      <w:r w:rsidRPr="00D90F15">
        <w:t>re. Parlamentarikerna sade sig vara övertygade om att syftet med E</w:t>
      </w:r>
      <w:r w:rsidRPr="00D90F15">
        <w:t>U:s sta</w:t>
      </w:r>
      <w:r w:rsidRPr="00D90F15">
        <w:t>d</w:t>
      </w:r>
      <w:r w:rsidRPr="00D90F15">
        <w:t>ga, att främja och synliggöra de grundläggande rättigheterna, endast kunde uppnås genom att EU:s institutioner anslöt sig till Europakonventionen. För att möjliggöra denna anslutning krävdes ändringar både i Europakonventi</w:t>
      </w:r>
      <w:r w:rsidRPr="00D90F15">
        <w:t>o</w:t>
      </w:r>
      <w:r w:rsidRPr="00D90F15">
        <w:t>nen och i unionens fördrag. Konventets utkast till en fri- och rättighetskat</w:t>
      </w:r>
      <w:r w:rsidRPr="00D90F15">
        <w:t>a</w:t>
      </w:r>
      <w:r w:rsidRPr="00D90F15">
        <w:t>log innehöll 54 artiklar som var allmänt formulerade. En del moderna rätti</w:t>
      </w:r>
      <w:r w:rsidRPr="00D90F15">
        <w:t>g</w:t>
      </w:r>
      <w:r w:rsidRPr="00D90F15">
        <w:t>heter som angår bioetik, data och EU-rättigheter finns med. Församlingen beklagade att EU:s stadga inte tog upp nationella minori</w:t>
      </w:r>
      <w:r w:rsidRPr="00D90F15">
        <w:t>teters rättigheter eller rätten till lokalt och regionalt självstyre.</w:t>
      </w:r>
    </w:p>
    <w:p w:rsidR="00FB23A6" w:rsidRPr="00D90F15" w:rsidRDefault="00FB23A6">
      <w:pPr>
        <w:pStyle w:val="Rubrik3"/>
      </w:pPr>
      <w:bookmarkStart w:id="64" w:name="_Toc506878100"/>
      <w:r w:rsidRPr="00D90F15">
        <w:t>Europakonventionen och Europadomstolen</w:t>
      </w:r>
      <w:bookmarkEnd w:id="64"/>
    </w:p>
    <w:p w:rsidR="00FB23A6" w:rsidRPr="00D90F15" w:rsidRDefault="00FB23A6">
      <w:pPr>
        <w:tabs>
          <w:tab w:val="left" w:pos="7561"/>
        </w:tabs>
      </w:pPr>
      <w:r w:rsidRPr="00D90F15">
        <w:t xml:space="preserve">Vid januarisessionen debatterade församlingen en rapport om ett </w:t>
      </w:r>
      <w:r w:rsidRPr="00D90F15">
        <w:rPr>
          <w:i/>
        </w:rPr>
        <w:t>utkast till protokoll nr 12 till Europakonventionen</w:t>
      </w:r>
      <w:r w:rsidRPr="00D90F15">
        <w:t xml:space="preserve"> (dok. 490, yttrande 216). I rapporten välkomnades utvidgningen av diskrimineringsförbudet. Rapportören bekl</w:t>
      </w:r>
      <w:r w:rsidRPr="00D90F15">
        <w:t>a</w:t>
      </w:r>
      <w:r w:rsidRPr="00D90F15">
        <w:t>gade dock att församlingens föväntningar inte helt hade infriats. Av prot</w:t>
      </w:r>
      <w:r w:rsidRPr="00D90F15">
        <w:t>o</w:t>
      </w:r>
      <w:r w:rsidRPr="00D90F15">
        <w:t>kollets första artikel borde det tydligt framgå att män och kvinnor är lika inför lagen. Parlamentarikerna föreslog även att de uppräknade diskrimin</w:t>
      </w:r>
      <w:r w:rsidRPr="00D90F15">
        <w:t>e</w:t>
      </w:r>
      <w:r w:rsidRPr="00D90F15">
        <w:t xml:space="preserve">ringsgrunderna kompletterades med ytterligare en grund: sexuell läggning. Antalet ratifikationer som krävdes för att protokollet </w:t>
      </w:r>
      <w:r w:rsidRPr="00D90F15">
        <w:t>skulle träda i kraft borde vara tio. Europadomstolen hade i sitt yttrande om det föreslagna pr</w:t>
      </w:r>
      <w:r w:rsidRPr="00D90F15">
        <w:t>o</w:t>
      </w:r>
      <w:r w:rsidRPr="00D90F15">
        <w:t>tokollet påpekat att det skulle öka tillströmningen av nya mål. Vad detta skulle innebära för den redan hårt ansträngda domstolen gick inte att up</w:t>
      </w:r>
      <w:r w:rsidRPr="00D90F15">
        <w:t>p</w:t>
      </w:r>
      <w:r w:rsidRPr="00D90F15">
        <w:t xml:space="preserve">skatta. </w:t>
      </w:r>
    </w:p>
    <w:p w:rsidR="00FB23A6" w:rsidRPr="00D90F15" w:rsidRDefault="00FB23A6">
      <w:pPr>
        <w:pStyle w:val="Normaltindrag"/>
      </w:pPr>
      <w:r w:rsidRPr="00D90F15">
        <w:t xml:space="preserve">För att följa upp parlamentarikerförsamlingens yttrande ställde </w:t>
      </w:r>
      <w:r w:rsidRPr="00D90F15">
        <w:rPr>
          <w:i/>
        </w:rPr>
        <w:t>Marie Granlund</w:t>
      </w:r>
      <w:r w:rsidRPr="00D90F15">
        <w:t xml:space="preserve"> i riksdagen en skriftlig fråga  till utrikesministern. Hon ville veta hur regeringen planerade att i ministerkommittén verka för den parlament</w:t>
      </w:r>
      <w:r w:rsidRPr="00D90F15">
        <w:t>a</w:t>
      </w:r>
      <w:r w:rsidRPr="00D90F15">
        <w:t>riska församlingens yttrande.</w:t>
      </w:r>
    </w:p>
    <w:p w:rsidR="00FB23A6" w:rsidRPr="00D90F15" w:rsidRDefault="00FB23A6">
      <w:pPr>
        <w:tabs>
          <w:tab w:val="left" w:pos="7561"/>
        </w:tabs>
      </w:pPr>
      <w:r w:rsidRPr="00D90F15">
        <w:t xml:space="preserve">En rekommendation om </w:t>
      </w:r>
      <w:r w:rsidRPr="00D90F15">
        <w:rPr>
          <w:i/>
        </w:rPr>
        <w:t xml:space="preserve">En enhetlig tolkning av Europarådets konventioner: inrättande av en allmän rättsmyndighet i Europarådet </w:t>
      </w:r>
      <w:r w:rsidRPr="00D90F15">
        <w:t>(dok. 8662, rec. 1458) antogs av församlingen vid aprilsessionen. Enligt församlingen behövs en särskild myndighet för uppföljning av de konventioner som inte har en inst</w:t>
      </w:r>
      <w:r w:rsidRPr="00D90F15">
        <w:t>i</w:t>
      </w:r>
      <w:r w:rsidRPr="00D90F15">
        <w:t xml:space="preserve">tutionaliserad mekanism för att granska och kontrollera efterlevnad.  </w:t>
      </w:r>
    </w:p>
    <w:p w:rsidR="00FB23A6" w:rsidRPr="00D90F15" w:rsidRDefault="00FB23A6">
      <w:pPr>
        <w:pStyle w:val="Normaltindrag"/>
      </w:pPr>
      <w:r w:rsidRPr="00D90F15">
        <w:t xml:space="preserve">Vid septembersessionen debatterade församlingen </w:t>
      </w:r>
      <w:r w:rsidRPr="00D90F15">
        <w:rPr>
          <w:i/>
        </w:rPr>
        <w:t>Verkställandet av d</w:t>
      </w:r>
      <w:r w:rsidRPr="00D90F15">
        <w:rPr>
          <w:i/>
        </w:rPr>
        <w:t>o</w:t>
      </w:r>
      <w:r w:rsidRPr="00D90F15">
        <w:rPr>
          <w:i/>
        </w:rPr>
        <w:t>mar vid Europadomstolen för de mänskliga rättigheterna</w:t>
      </w:r>
      <w:r w:rsidRPr="00D90F15">
        <w:t xml:space="preserve"> (dok. 8808, rek. 1477, res. 1226). Europarådets konvention från 1950 angående skydd för de mänskliga rättigheterna skall garantera den enskildes rätt. Den som anser att rättigheterna har kränkts kan vända sig direkt till Europadomstolen i Stra</w:t>
      </w:r>
      <w:r w:rsidRPr="00D90F15">
        <w:t>s</w:t>
      </w:r>
      <w:r w:rsidRPr="00D90F15">
        <w:t>bourg. De länder som har undertecknat konventionen har förbundit sig att följa domstolens beslut. Det faktum att flera av Europadomstolens domar flera år efter avgörandet inte blivit verkställd</w:t>
      </w:r>
      <w:r w:rsidRPr="00D90F15">
        <w:t>a riskerade att underminera det system som byggts upp under Europakonventionen. Församlingen ansåg att ministerkommittén borde inta en striktare hållning  mot de medlemsstater som brast i verkställighet av domar och rekommenderade vissa ändringar i Europakonventionen. Dels föreslogs att ministerkommittén fick möjlighet att be domstolen om klargöranden när det gällde domar där verkställigheten reste specifika problem. Församlingen föreslog även att införa ett bötessy</w:t>
      </w:r>
      <w:r w:rsidRPr="00D90F15">
        <w:t>s</w:t>
      </w:r>
      <w:r w:rsidRPr="00D90F15">
        <w:t>tem för att straffa de stater som upprepa</w:t>
      </w:r>
      <w:r w:rsidRPr="00D90F15">
        <w:t>de gånger misslyckades  med att verkställa beslut av Europadomstolen. För att underlätta för de nationella myndigheterna att uppfylla domarna rekommenderade församlingen att domstolen tillkännagav hur dess domar var avsedda att verkställas.</w:t>
      </w:r>
    </w:p>
    <w:p w:rsidR="00FB23A6" w:rsidRPr="00D90F15" w:rsidRDefault="00FB23A6">
      <w:pPr>
        <w:pStyle w:val="Rubrik3"/>
      </w:pPr>
      <w:bookmarkStart w:id="65" w:name="_Toc506878101"/>
      <w:r w:rsidRPr="00D90F15">
        <w:t>Sexuellt likaberättigande</w:t>
      </w:r>
      <w:bookmarkEnd w:id="65"/>
    </w:p>
    <w:p w:rsidR="00FB23A6" w:rsidRPr="00D90F15" w:rsidRDefault="00FB23A6">
      <w:pPr>
        <w:tabs>
          <w:tab w:val="left" w:pos="7561"/>
        </w:tabs>
      </w:pPr>
      <w:r w:rsidRPr="00D90F15">
        <w:t xml:space="preserve">Parlamentarikerförsamlingen debatterade vid junisessionen två rapporter om sexuellt likaberättigande: </w:t>
      </w:r>
      <w:r w:rsidRPr="00D90F15">
        <w:rPr>
          <w:i/>
        </w:rPr>
        <w:t xml:space="preserve">Homosexuellas och deras partners situation när det gäller asyl och immigration i Europarådets medlemsländer (dok. 8654, rek. 1470) </w:t>
      </w:r>
      <w:r w:rsidRPr="00D90F15">
        <w:t>och</w:t>
      </w:r>
      <w:r w:rsidRPr="00D90F15">
        <w:rPr>
          <w:i/>
        </w:rPr>
        <w:t xml:space="preserve"> Homosexuellas situation i Europarådets medlemsländer </w:t>
      </w:r>
      <w:r w:rsidRPr="00D90F15">
        <w:t>(dok. 8755, rek. 1474). Det civila samhället hade ett ansvar för att skapa en mer tolerant inställning till homosexualitet. Församlingen rekommenderade medlemsstaterna att förbjuda diskriminering på grund av sexuell läggning, att vidta åtgärder för att bekämpa negativ inställning gentemot homosexuella, att garantera lika b</w:t>
      </w:r>
      <w:r w:rsidRPr="00D90F15">
        <w:t>ehandling för homosexuella i arbetslivet samt att införa lagstiftning om registrerat partnerskap. Församlingen upprepade sin reko</w:t>
      </w:r>
      <w:r w:rsidRPr="00D90F15">
        <w:t>m</w:t>
      </w:r>
      <w:r w:rsidRPr="00D90F15">
        <w:t>mendation till ministerkommittén att införa diskrimineringsgrunden ”sexuell läggning” i Europakonventionen.</w:t>
      </w:r>
    </w:p>
    <w:p w:rsidR="00FB23A6" w:rsidRPr="00D90F15" w:rsidRDefault="00FB23A6">
      <w:pPr>
        <w:tabs>
          <w:tab w:val="left" w:pos="7561"/>
        </w:tabs>
      </w:pPr>
      <w:r w:rsidRPr="00D90F15">
        <w:rPr>
          <w:i/>
        </w:rPr>
        <w:t xml:space="preserve">Mats Einarsson </w:t>
      </w:r>
      <w:r w:rsidRPr="00D90F15">
        <w:t>deltog på UEL:s vägnar i debatten om de homosexuellas situation. Han framhöll att det var en fråga om Europarådets bärande idé, respekten för de mänskliga rättigheterna. Dessa rättigheter omfattade alla människor oberoende av deras religion, etniska tillhörighet, kön eller sex</w:t>
      </w:r>
      <w:r w:rsidRPr="00D90F15">
        <w:t>u</w:t>
      </w:r>
      <w:r w:rsidRPr="00D90F15">
        <w:t>ella läggning. Ett civiliserat samhälle behandlade alla lika. En individs sex</w:t>
      </w:r>
      <w:r w:rsidRPr="00D90F15">
        <w:t>u</w:t>
      </w:r>
      <w:r w:rsidRPr="00D90F15">
        <w:t>ella läggning var en del av personligheten. Ett samhälle som tvingade vissa medborgare att hemlighålla delar av sin personlighet höll inte måttet. Genom res</w:t>
      </w:r>
      <w:r w:rsidRPr="00D90F15">
        <w:t>olutionen gav parlamentarikerförsamlingen en signal till regeringarna och ministerkommittén. Omedelbara åtgärder mot diskriminering av homosex</w:t>
      </w:r>
      <w:r w:rsidRPr="00D90F15">
        <w:t>u</w:t>
      </w:r>
      <w:r w:rsidRPr="00D90F15">
        <w:t>ella var nödvändiga.</w:t>
      </w:r>
    </w:p>
    <w:p w:rsidR="00FB23A6" w:rsidRPr="00D90F15" w:rsidRDefault="00FB23A6">
      <w:pPr>
        <w:pStyle w:val="Normaltindrag"/>
      </w:pPr>
      <w:r w:rsidRPr="00D90F15">
        <w:t>Till följd av att ett antal ledamöter utnyttjade de gällande kvorumbestä</w:t>
      </w:r>
      <w:r w:rsidRPr="00D90F15">
        <w:t>m</w:t>
      </w:r>
      <w:r w:rsidRPr="00D90F15">
        <w:t>melserna kunde rekommendationen om homosexuellas situation (1474) antas först vid septembersessionen. Detta ledde till en omprövning av bestämme</w:t>
      </w:r>
      <w:r w:rsidRPr="00D90F15">
        <w:t>l</w:t>
      </w:r>
      <w:r w:rsidRPr="00D90F15">
        <w:t>serna om församlingens beslutsmässighet. Nya, skarpare kvorumregler gäller från januari 2001.</w:t>
      </w:r>
    </w:p>
    <w:p w:rsidR="00FB23A6" w:rsidRPr="00D90F15" w:rsidRDefault="00FB23A6">
      <w:pPr>
        <w:pStyle w:val="Rubrik2"/>
      </w:pPr>
      <w:bookmarkStart w:id="66" w:name="_Toc506878102"/>
      <w:r w:rsidRPr="00D90F15">
        <w:t>Ekonomi och utveckling</w:t>
      </w:r>
      <w:bookmarkEnd w:id="66"/>
    </w:p>
    <w:p w:rsidR="00FB23A6" w:rsidRPr="00D90F15" w:rsidRDefault="00FB23A6">
      <w:pPr>
        <w:tabs>
          <w:tab w:val="left" w:pos="7561"/>
        </w:tabs>
      </w:pPr>
      <w:r w:rsidRPr="00D90F15">
        <w:t xml:space="preserve">Vid årets första delsession debatterade församlingen </w:t>
      </w:r>
      <w:r w:rsidRPr="00D90F15">
        <w:rPr>
          <w:i/>
        </w:rPr>
        <w:t>Demokrati och ekon</w:t>
      </w:r>
      <w:r w:rsidRPr="00D90F15">
        <w:rPr>
          <w:i/>
        </w:rPr>
        <w:t>o</w:t>
      </w:r>
      <w:r w:rsidRPr="00D90F15">
        <w:rPr>
          <w:i/>
        </w:rPr>
        <w:t xml:space="preserve">misk utveckling </w:t>
      </w:r>
      <w:r w:rsidRPr="00D90F15">
        <w:t>(dok. 8458, res. 1209). Demokrati, mänskliga rättigheter och rättsstatens principer är förutsättningar både för ett stabilt samhälle och för ekonomisk utveckling. Ett samband mellan individens grundläggande rätti</w:t>
      </w:r>
      <w:r w:rsidRPr="00D90F15">
        <w:t>g</w:t>
      </w:r>
      <w:r w:rsidRPr="00D90F15">
        <w:t>heter och ekonomisk utveckling har  konstaterats. Ett land som kränkte ind</w:t>
      </w:r>
      <w:r w:rsidRPr="00D90F15">
        <w:t>i</w:t>
      </w:r>
      <w:r w:rsidRPr="00D90F15">
        <w:t>viders grundläggande fri- och rättigheter kunde inte få i gång en bärkraftig ekonomi. Församlingen föreslog att de internationella finansiella instituti</w:t>
      </w:r>
      <w:r w:rsidRPr="00D90F15">
        <w:t>o</w:t>
      </w:r>
      <w:r w:rsidRPr="00D90F15">
        <w:t>nerna stärkte sina analysmetoder för</w:t>
      </w:r>
      <w:r w:rsidRPr="00D90F15">
        <w:t xml:space="preserve"> att vid ett tidigt stadium kunna varna för allvarliga finansiella rubbningar i ett land.</w:t>
      </w:r>
    </w:p>
    <w:p w:rsidR="00FB23A6" w:rsidRPr="00D90F15" w:rsidRDefault="00FB23A6">
      <w:pPr>
        <w:pStyle w:val="Normaltindrag"/>
      </w:pPr>
      <w:r w:rsidRPr="00D90F15">
        <w:rPr>
          <w:i/>
        </w:rPr>
        <w:t>Jan Bergqvist</w:t>
      </w:r>
      <w:r w:rsidRPr="00D90F15">
        <w:t xml:space="preserve"> framhöll i sitt debattinlägg, som han höll på den socialistiska gruppens vägnar, att demokrati och utveckling måste gå parallellt så att hela befolkningen kunde dra nytta av utvecklingen. Jämställdhet var också en betydande faktor för att främja utvecklingen. För hållbar ekonomisk utvec</w:t>
      </w:r>
      <w:r w:rsidRPr="00D90F15">
        <w:t>k</w:t>
      </w:r>
      <w:r w:rsidRPr="00D90F15">
        <w:t xml:space="preserve">ling behövdes allas insatser och engagemang. </w:t>
      </w:r>
    </w:p>
    <w:p w:rsidR="00FB23A6" w:rsidRPr="00D90F15" w:rsidRDefault="00FB23A6">
      <w:r w:rsidRPr="00D90F15">
        <w:t>De uppseendeväckande korruptionsskandalerna i Europa hade gett anledning till en rapport som ekonomiutskottet utarbetat. Vid aprilsessionen debatter</w:t>
      </w:r>
      <w:r w:rsidRPr="00D90F15">
        <w:t>a</w:t>
      </w:r>
      <w:r w:rsidRPr="00D90F15">
        <w:t xml:space="preserve">de församlingen rapporten om </w:t>
      </w:r>
      <w:r w:rsidRPr="00D90F15">
        <w:rPr>
          <w:i/>
        </w:rPr>
        <w:t xml:space="preserve">Parlamentens roll i kampen mot korruption </w:t>
      </w:r>
      <w:r w:rsidRPr="00D90F15">
        <w:t>(dok. 8652, res. 1214). En  lista över åtgärder, t.ex. ökad öppenhet i finansi</w:t>
      </w:r>
      <w:r w:rsidRPr="00D90F15">
        <w:t>e</w:t>
      </w:r>
      <w:r w:rsidRPr="00D90F15">
        <w:t>ringen av politiska partier och valkampanjer, en beteendekod för parlament</w:t>
      </w:r>
      <w:r w:rsidRPr="00D90F15">
        <w:t>a</w:t>
      </w:r>
      <w:r w:rsidRPr="00D90F15">
        <w:t>riker och offentliganställda, en noggrann revision av politikers inkomstkällor samt granskning av eventuella intressekonflikter, presenterades som lämpliga metoder i kampen mot korruption. Församlingen välkomnade Europarådets straffrättsliga och civilrättsliga konventioner om korruptio</w:t>
      </w:r>
      <w:r w:rsidRPr="00D90F15">
        <w:t>n. Likaväl vä</w:t>
      </w:r>
      <w:r w:rsidRPr="00D90F15">
        <w:t>l</w:t>
      </w:r>
      <w:r w:rsidRPr="00D90F15">
        <w:t xml:space="preserve">komnades en förteckning av vägledande principer i kampen mot korruption som antagits av kommissionen för uppföljning av dessa konventioner, GRECO. Församlingen underströk vikten av en skyndsam ratifikation av relevanta internationella konventioner för att stoppa korruption. </w:t>
      </w:r>
    </w:p>
    <w:p w:rsidR="00FB23A6" w:rsidRPr="00D90F15" w:rsidRDefault="00FB23A6">
      <w:pPr>
        <w:pStyle w:val="Normaltindrag"/>
      </w:pPr>
      <w:r w:rsidRPr="00D90F15">
        <w:t xml:space="preserve">I sitt debattinlägg på SOC:s vägnar framhöll </w:t>
      </w:r>
      <w:r w:rsidRPr="00D90F15">
        <w:rPr>
          <w:i/>
        </w:rPr>
        <w:t xml:space="preserve">Jan Bergqvist </w:t>
      </w:r>
      <w:r w:rsidRPr="00D90F15">
        <w:t>att korruption var ett internationellt problem. Kampen mot korruption krävde gränsöve</w:t>
      </w:r>
      <w:r w:rsidRPr="00D90F15">
        <w:t>r</w:t>
      </w:r>
      <w:r w:rsidRPr="00D90F15">
        <w:t>skridande åtgärder. Internationellt samarbete behövdes för att förändra i</w:t>
      </w:r>
      <w:r w:rsidRPr="00D90F15">
        <w:t>n</w:t>
      </w:r>
      <w:r w:rsidRPr="00D90F15">
        <w:t>ställningen till korruption och att öka kunskapen om dess förgreningar och omfattning. I offentlig förvaltning måste öppenhet vara en vägledande pri</w:t>
      </w:r>
      <w:r w:rsidRPr="00D90F15">
        <w:t>n</w:t>
      </w:r>
      <w:r w:rsidRPr="00D90F15">
        <w:t>cip. Korruption kunde bekämpas genom strängare lagstiftning, noggrannare revision och granskning samt genom bättre förvaltning av offentliga resurser. Massmedierna hade en viktig roll i kor</w:t>
      </w:r>
      <w:r w:rsidRPr="00D90F15">
        <w:t>ruptionsbekämpningen. Mediernas tillgång till information var en förutsättning för att de skulle kunna fylla sin fun</w:t>
      </w:r>
      <w:r w:rsidRPr="00D90F15">
        <w:t>k</w:t>
      </w:r>
      <w:r w:rsidRPr="00D90F15">
        <w:t xml:space="preserve">tion. </w:t>
      </w:r>
    </w:p>
    <w:p w:rsidR="00FB23A6" w:rsidRPr="00D90F15" w:rsidRDefault="00FB23A6">
      <w:pPr>
        <w:pStyle w:val="Normaltindrag"/>
      </w:pPr>
      <w:r w:rsidRPr="00D90F15">
        <w:t xml:space="preserve">Vid junisessionen debatterade församlingen ekonomiutskottets rapport om </w:t>
      </w:r>
      <w:r w:rsidRPr="00D90F15">
        <w:rPr>
          <w:i/>
        </w:rPr>
        <w:t>Europeisk flygtransportpolitik – behovet av ett ”Europa under en himmel”</w:t>
      </w:r>
      <w:r w:rsidRPr="00D90F15">
        <w:t xml:space="preserve"> (dok. 8759, res. 1217 ). Utskottets rapportör var </w:t>
      </w:r>
      <w:r w:rsidRPr="00D90F15">
        <w:rPr>
          <w:i/>
        </w:rPr>
        <w:t>Knut Billing</w:t>
      </w:r>
      <w:r w:rsidRPr="00D90F15">
        <w:t>. Flygförsenin</w:t>
      </w:r>
      <w:r w:rsidRPr="00D90F15">
        <w:t>g</w:t>
      </w:r>
      <w:r w:rsidRPr="00D90F15">
        <w:t>ar i Europa har blivit allt frekventare när flygtrafiken ökat. Förseningarna innebär omfattande ekonomiska förluster för olika aktörer på marknaden, inte minst för passagerare. Huvudsakliga orsaker till förseningar är bristande samordning mellan trafikkontrollcentrum samt otillräckliga rutter och trän</w:t>
      </w:r>
      <w:r w:rsidRPr="00D90F15">
        <w:t>g</w:t>
      </w:r>
      <w:r w:rsidRPr="00D90F15">
        <w:t>sel i luftutrymmet över nationella gränser. Dessa problem k</w:t>
      </w:r>
      <w:r w:rsidRPr="00D90F15">
        <w:t>an lösas genom en fullständigt integrerad lufttrafikledning (ATM) som täcker hela kontine</w:t>
      </w:r>
      <w:r w:rsidRPr="00D90F15">
        <w:t>n</w:t>
      </w:r>
      <w:r w:rsidRPr="00D90F15">
        <w:t>ten.</w:t>
      </w:r>
    </w:p>
    <w:p w:rsidR="00FB23A6" w:rsidRPr="00D90F15" w:rsidRDefault="00FB23A6">
      <w:pPr>
        <w:pStyle w:val="Normaltindrag"/>
      </w:pPr>
      <w:r w:rsidRPr="00D90F15">
        <w:t>Sedan 1993 har församlingen årligen debatterat verksamheten i Europeiska återuppbyggnads- och utvecklingsbanken (EBRD). En rapport om</w:t>
      </w:r>
      <w:r w:rsidRPr="00D90F15">
        <w:rPr>
          <w:i/>
        </w:rPr>
        <w:t xml:space="preserve"> EBRD och omvandlingen i Central- och Östeuropa </w:t>
      </w:r>
      <w:r w:rsidRPr="00D90F15">
        <w:t>(dok. 8758, res. 1218) debatterades under junisessionen. För de flesta av de 26 länder där EBRD är verksam har övergången till marknadsekonomi och pluralistisk demokrati varit en svår och smärtsam process. Fattigdom, socialt lidande och ökade inkomstklyftor fortsatte att karakterisera många länder. Bristen på rättsstatliga institutioner gjorde det svårt att bekämpa ekonomisk brottslighet och korruption. Resu</w:t>
      </w:r>
      <w:r w:rsidRPr="00D90F15">
        <w:t>l</w:t>
      </w:r>
      <w:r w:rsidRPr="00D90F15">
        <w:t>tatet var uteblivna investeringar och sämre tillväxt</w:t>
      </w:r>
      <w:r w:rsidRPr="00D90F15">
        <w:t>. Bankens mål var att stärka offentliga institutioner och förvaltning  samt  att främja små och m</w:t>
      </w:r>
      <w:r w:rsidRPr="00D90F15">
        <w:t>e</w:t>
      </w:r>
      <w:r w:rsidRPr="00D90F15">
        <w:t xml:space="preserve">delstora företag. Jämfört med år 1998 då banken ställdes inför hårda prov till följd av den finansiella krisen i Ryssland förbättrades bankens finansiella resultat avsevärt under 1999. Församlingen uttryckte sitt stöd för bankens verksamhet i Central- och Östeuropa. EBRD:s generaldirektör Charles Frank deltog i debatten. </w:t>
      </w:r>
    </w:p>
    <w:p w:rsidR="00FB23A6" w:rsidRPr="00D90F15" w:rsidRDefault="00FB23A6">
      <w:pPr>
        <w:pStyle w:val="Normaltindrag"/>
      </w:pPr>
      <w:r w:rsidRPr="00D90F15">
        <w:t>Europarådets parlamentariska församling fungerar som OECD:s parl</w:t>
      </w:r>
      <w:r w:rsidRPr="00D90F15">
        <w:t>a</w:t>
      </w:r>
      <w:r w:rsidRPr="00D90F15">
        <w:t>mentariska dimension. Sju av OECD:s 29 medlemsländer ingår inte i Eur</w:t>
      </w:r>
      <w:r w:rsidRPr="00D90F15">
        <w:t>o</w:t>
      </w:r>
      <w:r w:rsidRPr="00D90F15">
        <w:t xml:space="preserve">parådet men deras parlamentariker har rätt att delta i den årliga debatten om OECD:s aktiviteter. Vid debatten i september om </w:t>
      </w:r>
      <w:r w:rsidRPr="00D90F15">
        <w:rPr>
          <w:i/>
        </w:rPr>
        <w:t>OECD och världsekon</w:t>
      </w:r>
      <w:r w:rsidRPr="00D90F15">
        <w:rPr>
          <w:i/>
        </w:rPr>
        <w:t>o</w:t>
      </w:r>
      <w:r w:rsidRPr="00D90F15">
        <w:rPr>
          <w:i/>
        </w:rPr>
        <w:t>min</w:t>
      </w:r>
      <w:r w:rsidRPr="00D90F15">
        <w:t xml:space="preserve"> (dok. 8804, 9942, res. 1224) deltog parlamentariker från Japan, Kanada, Sydkorea och Mexiko samt OECD:s generalsekreterare Donald Johnston. Den utvidgade församlingen välkomnade de ljusa ekonomiska utsikterna som följd av den starka världskonjunkturen. Tillväxten i OECD:s medlem</w:t>
      </w:r>
      <w:r w:rsidRPr="00D90F15">
        <w:t>s</w:t>
      </w:r>
      <w:r w:rsidRPr="00D90F15">
        <w:t>länder förv</w:t>
      </w:r>
      <w:r w:rsidRPr="00D90F15">
        <w:t>äntades ligga på 3–4 % år 2000–2001. Arbetslösheten visade en sjunkande trend och inflationen verkade vara under kontroll. Samtidigt ökade världshandeln med drygt 6 % på årsbasis. Den nya ekonomin ansågs vara orsaken till att USA:s ekonomi, kännetecknad av stora investeringar i IT och snabb produktivitetstillväxt, fortsatte att öka för nionde året i rad. De positiva siffrorna var en bekräftelse på att världen hämtat sig betydligt snabbare än väntat från den Asienkris som ett år tidigare hade skuggat debatte</w:t>
      </w:r>
      <w:r w:rsidRPr="00D90F15">
        <w:t>n. Men det fanns dock en rad hot som kunde rubba högkonjunkturen. Strukturella fö</w:t>
      </w:r>
      <w:r w:rsidRPr="00D90F15">
        <w:t>r</w:t>
      </w:r>
      <w:r w:rsidRPr="00D90F15">
        <w:t>ändringar på många områden behövdes för att förhindra överhettning av ekonomier. De höga oljepriserna och den sjunkande eurokursen nämndes som nya hot mot den ekonomiska utvecklingen. Globaliseringens konse</w:t>
      </w:r>
      <w:r w:rsidRPr="00D90F15">
        <w:t>k</w:t>
      </w:r>
      <w:r w:rsidRPr="00D90F15">
        <w:t>venser vållade vissa farhågor och den utvidgade parlamentarikerförsamlin</w:t>
      </w:r>
      <w:r w:rsidRPr="00D90F15">
        <w:t>g</w:t>
      </w:r>
      <w:r w:rsidRPr="00D90F15">
        <w:t>en ansåg att dess sociala effekter måste utvärderas i detalj. Slovakiens för</w:t>
      </w:r>
      <w:r w:rsidRPr="00D90F15">
        <w:t>e</w:t>
      </w:r>
      <w:r w:rsidRPr="00D90F15">
        <w:t>stående anslutning till OECD som dess 30:e medlem välkomnades. OECD:s ins</w:t>
      </w:r>
      <w:r w:rsidRPr="00D90F15">
        <w:t>atser i stabilitetspakten för sydöstra Europa fick beröm, särskilt dess pr</w:t>
      </w:r>
      <w:r w:rsidRPr="00D90F15">
        <w:t>o</w:t>
      </w:r>
      <w:r w:rsidRPr="00D90F15">
        <w:t>gram för att främja  investeringar och bekämpa korruption. Den utvidgade församlingen inbjöd OECD att medverka i utformningen av en internationell stadga för kulturell mångfald som Europarådet tagit initiativ till. Församlin</w:t>
      </w:r>
      <w:r w:rsidRPr="00D90F15">
        <w:t>g</w:t>
      </w:r>
      <w:r w:rsidRPr="00D90F15">
        <w:t>en ansåg att OECD dessutom hade en viktig roll i debatten om hur intern</w:t>
      </w:r>
      <w:r w:rsidRPr="00D90F15">
        <w:t>a</w:t>
      </w:r>
      <w:r w:rsidRPr="00D90F15">
        <w:t>tionella riktli</w:t>
      </w:r>
      <w:r w:rsidRPr="00D90F15">
        <w:t>n</w:t>
      </w:r>
      <w:r w:rsidRPr="00D90F15">
        <w:t>jer för produktion av säkra livsmedel utformades.</w:t>
      </w:r>
    </w:p>
    <w:p w:rsidR="00FB23A6" w:rsidRPr="00D90F15" w:rsidRDefault="00FB23A6">
      <w:pPr>
        <w:pStyle w:val="Rubrik2"/>
      </w:pPr>
      <w:bookmarkStart w:id="67" w:name="_Toc506878103"/>
      <w:r w:rsidRPr="00D90F15">
        <w:t>Sociala frågor, hälso- och familjefrågor</w:t>
      </w:r>
      <w:bookmarkEnd w:id="67"/>
    </w:p>
    <w:p w:rsidR="00FB23A6" w:rsidRPr="00D90F15" w:rsidRDefault="00FB23A6">
      <w:pPr>
        <w:tabs>
          <w:tab w:val="left" w:pos="7561"/>
        </w:tabs>
      </w:pPr>
      <w:r w:rsidRPr="00D90F15">
        <w:t xml:space="preserve">Vid januarisessionen debatterade församlingen en rapport om </w:t>
      </w:r>
      <w:r w:rsidRPr="00D90F15">
        <w:rPr>
          <w:i/>
        </w:rPr>
        <w:t>Internationella adoptioner: respekt för barnens rättigheter</w:t>
      </w:r>
      <w:r w:rsidRPr="00D90F15">
        <w:t xml:space="preserve"> (dok. 8592, 8600, rek. 1443). Internationella adoptioner visade en tendens att vara styrda av kapital enligt rapporten. Syftet med dessa adoptioner verkade snarare vara att tillfredställa utländska föräldrakandidaters behov än se till de adopterade barnens bästa. FN:s barnkonvention har funnits i tio år. Den lade fast barnets rättigheter med särskild hänsyn till barnets utsatthet och sårbarhet. År 1993 antog världssamfundet i Haag en konvention om </w:t>
      </w:r>
      <w:r w:rsidRPr="00D90F15">
        <w:t>adoptioner. Parlamentarikerfö</w:t>
      </w:r>
      <w:r w:rsidRPr="00D90F15">
        <w:t>r</w:t>
      </w:r>
      <w:r w:rsidRPr="00D90F15">
        <w:t>samlingen erkände att konventionens riktlinjer för subsidiaritet inte har up</w:t>
      </w:r>
      <w:r w:rsidRPr="00D90F15">
        <w:t>p</w:t>
      </w:r>
      <w:r w:rsidRPr="00D90F15">
        <w:t xml:space="preserve">märksammats tillräckligt. Församlingen rekommenderade att konventionen ratificerades av de medlemsländer som ännu inte hade gjort det. </w:t>
      </w:r>
    </w:p>
    <w:p w:rsidR="00FB23A6" w:rsidRPr="00D90F15" w:rsidRDefault="00FB23A6">
      <w:pPr>
        <w:pStyle w:val="Rubrik2"/>
      </w:pPr>
      <w:bookmarkStart w:id="68" w:name="_Toc506878104"/>
      <w:r w:rsidRPr="00D90F15">
        <w:t>Kultur och utbildning</w:t>
      </w:r>
      <w:bookmarkEnd w:id="68"/>
    </w:p>
    <w:p w:rsidR="00FB23A6" w:rsidRPr="00D90F15" w:rsidRDefault="00FB23A6">
      <w:pPr>
        <w:tabs>
          <w:tab w:val="left" w:pos="7561"/>
        </w:tabs>
      </w:pPr>
      <w:r w:rsidRPr="00D90F15">
        <w:t xml:space="preserve">Vid aprilsessionen debatterade församlingen en rapport om </w:t>
      </w:r>
      <w:r w:rsidRPr="00D90F15">
        <w:rPr>
          <w:i/>
        </w:rPr>
        <w:t>Utbildning i Bosnien-Hercegovina</w:t>
      </w:r>
      <w:r w:rsidRPr="00D90F15">
        <w:t xml:space="preserve"> (dok. 8663, rek. 1454). I rapporten hävdades att u</w:t>
      </w:r>
      <w:r w:rsidRPr="00D90F15">
        <w:t>t</w:t>
      </w:r>
      <w:r w:rsidRPr="00D90F15">
        <w:t>bildning i Bosnien-Hercegovina hade en avgörande roll för att skapa föru</w:t>
      </w:r>
      <w:r w:rsidRPr="00D90F15">
        <w:t>t</w:t>
      </w:r>
      <w:r w:rsidRPr="00D90F15">
        <w:t>sättningar för demokrati och för flyktingars återvändande. Det fanns ett primärt behov att hitta en gemensam tolkning av de senaste årens händelser. Skolböckernas innehåll var en viktig fråga som kunde  motverka segregation. Landets omvandling till en modern multietnisk demokrati hade stannat av. Återvändandet av minoriteter hade stött på stora problem.</w:t>
      </w:r>
      <w:r w:rsidRPr="00D90F15">
        <w:t xml:space="preserve"> Församlingen rekommenderade  samordning så att internationella bidragsgivare kunde kontrollera om landets myndigheter uppfyllde villkoren för finansiering. </w:t>
      </w:r>
    </w:p>
    <w:p w:rsidR="00FB23A6" w:rsidRPr="00D90F15" w:rsidRDefault="00FB23A6">
      <w:pPr>
        <w:tabs>
          <w:tab w:val="left" w:pos="7561"/>
        </w:tabs>
      </w:pPr>
      <w:r w:rsidRPr="00D90F15">
        <w:t xml:space="preserve">Vid sitt möte i maj antog det ständiga utskottet en rekommendation (dok. 8729, rek. 1465) om </w:t>
      </w:r>
      <w:r w:rsidRPr="00D90F15">
        <w:rPr>
          <w:i/>
        </w:rPr>
        <w:t>en Europarådskampanj ”Europa, ett gemensamt arv”.</w:t>
      </w:r>
      <w:r w:rsidRPr="00D90F15">
        <w:t xml:space="preserve"> Det var toppmötet 1997 som beslöt om att genomföra kampanjen under 1999–2000. Församlingen välkomnade kampanjen som ett projekt för att främja den kulturella mångfalden i ett gränslöst Europa.  </w:t>
      </w:r>
    </w:p>
    <w:p w:rsidR="00FB23A6" w:rsidRPr="00D90F15" w:rsidRDefault="00FB23A6">
      <w:pPr>
        <w:pStyle w:val="Rubrik2"/>
      </w:pPr>
      <w:bookmarkStart w:id="69" w:name="_Toc506878105"/>
      <w:r w:rsidRPr="00D90F15">
        <w:t>Naturvetenskap och teknik</w:t>
      </w:r>
      <w:bookmarkEnd w:id="69"/>
    </w:p>
    <w:p w:rsidR="00FB23A6" w:rsidRPr="00D90F15" w:rsidRDefault="00FB23A6">
      <w:pPr>
        <w:tabs>
          <w:tab w:val="left" w:pos="7561"/>
        </w:tabs>
      </w:pPr>
      <w:r w:rsidRPr="00D90F15">
        <w:t>Utskottet för naturvetenskap och teknik avslutade i januari 2001 sin ver</w:t>
      </w:r>
      <w:r w:rsidRPr="00D90F15">
        <w:t>k</w:t>
      </w:r>
      <w:r w:rsidRPr="00D90F15">
        <w:t>samhet som självständigt utskott och dess ärenden flyttades till ett nytt u</w:t>
      </w:r>
      <w:r w:rsidRPr="00D90F15">
        <w:t>t</w:t>
      </w:r>
      <w:r w:rsidRPr="00D90F15">
        <w:t xml:space="preserve">skott för kultur, vetenskap och utbildning. </w:t>
      </w:r>
    </w:p>
    <w:p w:rsidR="00FB23A6" w:rsidRPr="00D90F15" w:rsidRDefault="00FB23A6">
      <w:pPr>
        <w:pStyle w:val="Normaltindrag"/>
      </w:pPr>
      <w:r w:rsidRPr="00D90F15">
        <w:t xml:space="preserve">Vid aprilsessionen debatterade församlingen en rapport om </w:t>
      </w:r>
      <w:r w:rsidRPr="00D90F15">
        <w:rPr>
          <w:i/>
        </w:rPr>
        <w:t xml:space="preserve">Ny teknologi i små och medelstora företag </w:t>
      </w:r>
      <w:r w:rsidRPr="00D90F15">
        <w:t>(dok. 8587, rek. 1457). Församlingen ansåg att små och medelstora företag hade en viktig roll för sysselsättning och ekon</w:t>
      </w:r>
      <w:r w:rsidRPr="00D90F15">
        <w:t>o</w:t>
      </w:r>
      <w:r w:rsidRPr="00D90F15">
        <w:t>mi i de flesta av rådets medlemsländer. Dessa företag hade visat sig flexibla när det gällde anpassning till nya situationer på förändrade marknader och hade haft en avgörande roll i omstrukturering av industrin i många regioner. Företagens administrativa resurser var dock ofta begränsade. Därför kunde det vara svårt att klara komplexa juridiska,</w:t>
      </w:r>
      <w:r w:rsidRPr="00D90F15">
        <w:t xml:space="preserve"> finansiella och administrativa krav från centrala eller lokala myndigheter. Församlingen ansåg att företagen behövde mångsidigt stöd och hjälp för sin verksamhet. </w:t>
      </w:r>
    </w:p>
    <w:p w:rsidR="00FB23A6" w:rsidRPr="00D90F15" w:rsidRDefault="00FB23A6">
      <w:pPr>
        <w:pStyle w:val="Rubrik2"/>
      </w:pPr>
      <w:bookmarkStart w:id="70" w:name="_Toc506878106"/>
      <w:r w:rsidRPr="00D90F15">
        <w:t>Miljö, regionalplanering och lokal förvaltning</w:t>
      </w:r>
      <w:bookmarkEnd w:id="70"/>
    </w:p>
    <w:p w:rsidR="00FB23A6" w:rsidRPr="00D90F15" w:rsidRDefault="00FB23A6">
      <w:pPr>
        <w:tabs>
          <w:tab w:val="left" w:pos="7561"/>
        </w:tabs>
      </w:pPr>
      <w:r w:rsidRPr="00D90F15">
        <w:t>Utskottet för miljövård, regional planering och kommunala frågor är ytterl</w:t>
      </w:r>
      <w:r w:rsidRPr="00D90F15">
        <w:t>i</w:t>
      </w:r>
      <w:r w:rsidRPr="00D90F15">
        <w:t>gare ett av de fyra utskott vars ärenden slogs ihop med ärenden i ett annat, i detta fall jordbruksutskottet. Det nya utskottet kallas för miljö- och jor</w:t>
      </w:r>
      <w:r w:rsidRPr="00D90F15">
        <w:t>d</w:t>
      </w:r>
      <w:r w:rsidRPr="00D90F15">
        <w:t>bruksutskottet.</w:t>
      </w:r>
    </w:p>
    <w:p w:rsidR="00FB23A6" w:rsidRPr="00D90F15" w:rsidRDefault="00FB23A6">
      <w:pPr>
        <w:pStyle w:val="Normaltindrag"/>
      </w:pPr>
      <w:r w:rsidRPr="00D90F15">
        <w:t xml:space="preserve">Vid septembersessionen hade församlingen en gemensam debatt om två rapporter från utskottet för miljövård, regional planering och kommunala frågor: </w:t>
      </w:r>
      <w:r w:rsidRPr="00D90F15">
        <w:rPr>
          <w:i/>
        </w:rPr>
        <w:t>Olyckor som skadar miljön</w:t>
      </w:r>
      <w:r w:rsidRPr="00D90F15">
        <w:t xml:space="preserve"> (dok. 8760 rev., res. 1229) och </w:t>
      </w:r>
      <w:r w:rsidRPr="00D90F15">
        <w:rPr>
          <w:i/>
        </w:rPr>
        <w:t>Skydd och skötsel av</w:t>
      </w:r>
      <w:r w:rsidRPr="00D90F15">
        <w:t xml:space="preserve"> </w:t>
      </w:r>
      <w:r w:rsidRPr="00D90F15">
        <w:rPr>
          <w:i/>
        </w:rPr>
        <w:t xml:space="preserve">Donaubassängen </w:t>
      </w:r>
      <w:r w:rsidRPr="00D90F15">
        <w:t>(dok. 8812, rek. 1480). Denna debatt föranleddes av de katastrofer som vid årsskiftet 1999–2000 förorsakade stora miljöskador i Europa. Oljetankern Erika förliste utanför den franska Atlantkusten och en annan oljetanker i Marmarasjön. I nordvästra Rumänien orsakades omfatta</w:t>
      </w:r>
      <w:r w:rsidRPr="00D90F15">
        <w:t>n</w:t>
      </w:r>
      <w:r w:rsidRPr="00D90F15">
        <w:t>de miljöskador av ett cyanid- och slamutsläpp i vattensystemet. Församlin</w:t>
      </w:r>
      <w:r w:rsidRPr="00D90F15">
        <w:t>g</w:t>
      </w:r>
      <w:r w:rsidRPr="00D90F15">
        <w:t xml:space="preserve">en påminde om en tidigare rekommendation 1330 (1997) om en europeisk </w:t>
      </w:r>
      <w:r w:rsidRPr="00D90F15">
        <w:t xml:space="preserve">stadga för Donauområdet. Den föreslagna stadgan skulle kunna fungera som en ram för samordning av de resurser som genom olika överenskommelser, program och initiativ redan fanns i området.  </w:t>
      </w:r>
    </w:p>
    <w:p w:rsidR="00FB23A6" w:rsidRPr="00D90F15" w:rsidRDefault="00FB23A6">
      <w:pPr>
        <w:pStyle w:val="Rubrik2"/>
      </w:pPr>
      <w:bookmarkStart w:id="71" w:name="_Toc506878107"/>
      <w:r w:rsidRPr="00D90F15">
        <w:t>Befolknings- och flyktingfrågor</w:t>
      </w:r>
      <w:bookmarkEnd w:id="71"/>
    </w:p>
    <w:p w:rsidR="00FB23A6" w:rsidRPr="00D90F15" w:rsidRDefault="00FB23A6">
      <w:pPr>
        <w:tabs>
          <w:tab w:val="left" w:pos="7561"/>
        </w:tabs>
      </w:pPr>
      <w:r w:rsidRPr="00D90F15">
        <w:t xml:space="preserve">Vid januarisessionen debatterade församlingen en  rapport om </w:t>
      </w:r>
      <w:r w:rsidRPr="00D90F15">
        <w:rPr>
          <w:i/>
        </w:rPr>
        <w:t xml:space="preserve">Restriktioner i asylrätten  i Europarådets medlemsländer och i EU </w:t>
      </w:r>
      <w:r w:rsidRPr="00D90F15">
        <w:t xml:space="preserve">(dok. 8598, rek. 1440). Enligt rapporten kunde man se en tendens att mottagandet av flyktingar och asylsökande i Europa blev allt mera restriktivt. </w:t>
      </w:r>
      <w:r w:rsidRPr="00D90F15">
        <w:rPr>
          <w:i/>
        </w:rPr>
        <w:t>Maud Björnemalm</w:t>
      </w:r>
      <w:r w:rsidRPr="00D90F15">
        <w:t xml:space="preserve"> sade i sitt debattinlägg att det var svårt att acceptera den allmänna kritik mot EU-länderna som presenterades i rapporten. Hon poängterade att Sverige under många år har tagit emot ett stort antal asylsökande. Rätten till asyl och h</w:t>
      </w:r>
      <w:r w:rsidRPr="00D90F15">
        <w:t>u</w:t>
      </w:r>
      <w:r w:rsidRPr="00D90F15">
        <w:t>manitet har varit ledande principer i mottagande</w:t>
      </w:r>
      <w:r w:rsidRPr="00D90F15">
        <w:t>t i Sverige. Internationella insatser behövdes för att bekämpa gränsöverskridande människohandel. Björnemalm välkomnade rapportörens förslag att i Europakonventionen inkludera rätten till asyl. Hon stödde också idén att skapa en europeisk ko</w:t>
      </w:r>
      <w:r w:rsidRPr="00D90F15">
        <w:t>n</w:t>
      </w:r>
      <w:r w:rsidRPr="00D90F15">
        <w:t>vention om harmonisering av asylpolitiken.</w:t>
      </w:r>
    </w:p>
    <w:p w:rsidR="00FB23A6" w:rsidRPr="00D90F15" w:rsidRDefault="00FB23A6">
      <w:pPr>
        <w:pStyle w:val="Normaltindrag"/>
      </w:pPr>
      <w:r w:rsidRPr="00D90F15">
        <w:t xml:space="preserve">Vid junisessionen beslöt församlingen hålla en extrainsatt debatt om </w:t>
      </w:r>
      <w:r w:rsidRPr="00D90F15">
        <w:rPr>
          <w:i/>
        </w:rPr>
        <w:t>Ola</w:t>
      </w:r>
      <w:r w:rsidRPr="00D90F15">
        <w:rPr>
          <w:i/>
        </w:rPr>
        <w:t>g</w:t>
      </w:r>
      <w:r w:rsidRPr="00D90F15">
        <w:rPr>
          <w:i/>
        </w:rPr>
        <w:t>lig invandring och kampen mot människohandel</w:t>
      </w:r>
      <w:r w:rsidRPr="00D90F15">
        <w:t xml:space="preserve"> (dok. 8782, rek. 1467). Anledningen till debatten var att 58 kinesiska invandrare i juni hittades döda vid Dover i England. Församlingen konstaterade att människosmugglingen växte med ökad globalisering. Antalet människor som illegalt fördes över internationella gränser uppskattades vara 30 miljoner personer per år. I EU handlade det om närmare en halv miljon illegala immigranter. Parlamentar</w:t>
      </w:r>
      <w:r w:rsidRPr="00D90F15">
        <w:t>i</w:t>
      </w:r>
      <w:r w:rsidRPr="00D90F15">
        <w:t>kerförsamlingen fördömde människosmugglingen som ett brott mot de m</w:t>
      </w:r>
      <w:r w:rsidRPr="00D90F15">
        <w:t>änskliga rättigheterna. Den rekommenderade att ministerkommittén i sa</w:t>
      </w:r>
      <w:r w:rsidRPr="00D90F15">
        <w:t>m</w:t>
      </w:r>
      <w:r w:rsidRPr="00D90F15">
        <w:t>arbete med EU sökte metoder för att minska illegal invandring och bekämpa männ</w:t>
      </w:r>
      <w:r w:rsidRPr="00D90F15">
        <w:t>i</w:t>
      </w:r>
      <w:r w:rsidRPr="00D90F15">
        <w:t xml:space="preserve">skosmuggling. </w:t>
      </w:r>
    </w:p>
    <w:p w:rsidR="00FB23A6" w:rsidRPr="00D90F15" w:rsidRDefault="00FB23A6">
      <w:pPr>
        <w:tabs>
          <w:tab w:val="left" w:pos="7561"/>
        </w:tabs>
      </w:pPr>
      <w:r w:rsidRPr="00D90F15">
        <w:rPr>
          <w:i/>
        </w:rPr>
        <w:t>Maud Björnemalm</w:t>
      </w:r>
      <w:r w:rsidRPr="00D90F15">
        <w:t xml:space="preserve"> välkomnade i sitt anförande församlingens snabba beslut om den extrainsatta debatten. Behovet av ett ökat samarbete mellan de eur</w:t>
      </w:r>
      <w:r w:rsidRPr="00D90F15">
        <w:t>o</w:t>
      </w:r>
      <w:r w:rsidRPr="00D90F15">
        <w:t>peiska länderna  för att bekämpa illegal invandring och människosmuggling blev tydligt via den tragiska händelsen i Dover. EU hade redan startat sama</w:t>
      </w:r>
      <w:r w:rsidRPr="00D90F15">
        <w:t>r</w:t>
      </w:r>
      <w:r w:rsidRPr="00D90F15">
        <w:t>betsprojekt genom att utbilda poliser och gränspersonal. Den organiserade illegala invandringen och människosmugglingen omsatte stora summor pengar och ansågs lika lukrativ som narkotikahandeln. Dock innebar denna form av brottslig</w:t>
      </w:r>
      <w:r w:rsidRPr="00D90F15">
        <w:t>het mindre risker för förövarna genom att  risken att bli upptäckt var liten och straffsatserna låga.</w:t>
      </w:r>
    </w:p>
    <w:p w:rsidR="00FB23A6" w:rsidRPr="00D90F15" w:rsidRDefault="00FB23A6">
      <w:pPr>
        <w:pStyle w:val="Normaltindrag"/>
      </w:pPr>
      <w:r w:rsidRPr="00D90F15">
        <w:t>Vid septembersessionen var flyktingfrågor åter på församlingens dagor</w:t>
      </w:r>
      <w:r w:rsidRPr="00D90F15">
        <w:t>d</w:t>
      </w:r>
      <w:r w:rsidRPr="00D90F15">
        <w:t xml:space="preserve">ning. Befolknings- och flyktingutskottet hade granskat </w:t>
      </w:r>
      <w:r w:rsidRPr="00D90F15">
        <w:rPr>
          <w:i/>
        </w:rPr>
        <w:t>Asylsökandes a</w:t>
      </w:r>
      <w:r w:rsidRPr="00D90F15">
        <w:rPr>
          <w:i/>
        </w:rPr>
        <w:t>n</w:t>
      </w:r>
      <w:r w:rsidRPr="00D90F15">
        <w:rPr>
          <w:i/>
        </w:rPr>
        <w:t>komst till europeiska flygplatser</w:t>
      </w:r>
      <w:r w:rsidRPr="00D90F15">
        <w:t xml:space="preserve"> (dok. 8761, rek. 1475). Det kraftigt ökande antalet asylsökande till flygplatser hade gett anledning att återigen studera detta problem. Mottagandet av asylsökande på flygplatser hade avsevärt förbättrats sedan frågan granskades år 1991. Dock förekom fortfarande al</w:t>
      </w:r>
      <w:r w:rsidRPr="00D90F15">
        <w:t>l</w:t>
      </w:r>
      <w:r w:rsidRPr="00D90F15">
        <w:t>varliga brister. Europas stora flygplatser rapporterades ha problem men så även flygplatser i Central- och Sydeuropa. I den antagna rekommend</w:t>
      </w:r>
      <w:r w:rsidRPr="00D90F15">
        <w:t>ationen uppmanades medlemsstaterna förbättra behandlingen av det ökande antalet asylsökande vid ankomst till flygplatser. Internationella överenskommelser som garant</w:t>
      </w:r>
      <w:r w:rsidRPr="00D90F15">
        <w:t>e</w:t>
      </w:r>
      <w:r w:rsidRPr="00D90F15">
        <w:t>rade de asylsökandes grundläggande rättigheter måste följas.</w:t>
      </w:r>
    </w:p>
    <w:p w:rsidR="00FB23A6" w:rsidRPr="00D90F15" w:rsidRDefault="00FB23A6">
      <w:pPr>
        <w:pStyle w:val="Rubrik2"/>
        <w:tabs>
          <w:tab w:val="clear" w:pos="426"/>
          <w:tab w:val="left" w:pos="567"/>
        </w:tabs>
      </w:pPr>
      <w:bookmarkStart w:id="72" w:name="_Toc506878108"/>
      <w:r w:rsidRPr="00D90F15">
        <w:t>Jordbruk och landsbygdsutveckling</w:t>
      </w:r>
      <w:bookmarkEnd w:id="72"/>
    </w:p>
    <w:p w:rsidR="00FB23A6" w:rsidRPr="00D90F15" w:rsidRDefault="00FB23A6">
      <w:pPr>
        <w:tabs>
          <w:tab w:val="left" w:pos="7561"/>
        </w:tabs>
      </w:pPr>
      <w:r w:rsidRPr="00D90F15">
        <w:t xml:space="preserve">Vid delsessionen i januari antog församlingen en rekommendation om </w:t>
      </w:r>
      <w:r w:rsidRPr="00D90F15">
        <w:rPr>
          <w:i/>
        </w:rPr>
        <w:t>Fö</w:t>
      </w:r>
      <w:r w:rsidRPr="00D90F15">
        <w:rPr>
          <w:i/>
        </w:rPr>
        <w:t>r</w:t>
      </w:r>
      <w:r w:rsidRPr="00D90F15">
        <w:rPr>
          <w:i/>
        </w:rPr>
        <w:t>bud mot antibiotika i livsmedelsproduktionen</w:t>
      </w:r>
      <w:r w:rsidRPr="00D90F15">
        <w:t xml:space="preserve"> som baserades på Maggi Mik</w:t>
      </w:r>
      <w:r w:rsidRPr="00D90F15">
        <w:t>a</w:t>
      </w:r>
      <w:r w:rsidRPr="00D90F15">
        <w:t xml:space="preserve">elssons rapport (dok. 8591, rek. 1446). </w:t>
      </w:r>
      <w:r w:rsidRPr="00D90F15">
        <w:rPr>
          <w:i/>
        </w:rPr>
        <w:t>Maggi Mikaelsson</w:t>
      </w:r>
      <w:r w:rsidRPr="00D90F15">
        <w:t xml:space="preserve"> inledde sin pr</w:t>
      </w:r>
      <w:r w:rsidRPr="00D90F15">
        <w:t>e</w:t>
      </w:r>
      <w:r w:rsidRPr="00D90F15">
        <w:t>sentation av rapporten genom att poängtera att antibiotika har inneburit nya möjligheter att bota infektionssjukdomar och bidragit till ökad medelliv</w:t>
      </w:r>
      <w:r w:rsidRPr="00D90F15">
        <w:t>s</w:t>
      </w:r>
      <w:r w:rsidRPr="00D90F15">
        <w:t>längd. Bakgrunden till rapportens tillkomst var oron över de negativa effe</w:t>
      </w:r>
      <w:r w:rsidRPr="00D90F15">
        <w:t>k</w:t>
      </w:r>
      <w:r w:rsidRPr="00D90F15">
        <w:t>ter som överdriven användning av antibiotika i kreatursuppfödning har visat sig medföra. Följderna kunde ses i ökad antibiotikaresistens bla</w:t>
      </w:r>
      <w:r w:rsidRPr="00D90F15">
        <w:t>nd bakterier. På längre sikt var det möjligt att resistenta bakterier blir en hälsorisk. Mik</w:t>
      </w:r>
      <w:r w:rsidRPr="00D90F15">
        <w:t>a</w:t>
      </w:r>
      <w:r w:rsidRPr="00D90F15">
        <w:t>elsson redogjorde för den svenska lagstiftningen. Det svenska förbudet från 1986 mot antibiotika i djurfoder har visat sig vara lyckat. Antibiotika var tillåten att användas för medicinska syften. Restriktiv användning av antib</w:t>
      </w:r>
      <w:r w:rsidRPr="00D90F15">
        <w:t>i</w:t>
      </w:r>
      <w:r w:rsidRPr="00D90F15">
        <w:t>otika i boskapsuppfödning handlade också om djurens välbefinnande. Fö</w:t>
      </w:r>
      <w:r w:rsidRPr="00D90F15">
        <w:t>r</w:t>
      </w:r>
      <w:r w:rsidRPr="00D90F15">
        <w:t>samlingen rekommenderade att medlemsländernas regeringar förbjöd antib</w:t>
      </w:r>
      <w:r w:rsidRPr="00D90F15">
        <w:t>i</w:t>
      </w:r>
      <w:r w:rsidRPr="00D90F15">
        <w:t>otika som tillväxtpromotor.</w:t>
      </w:r>
    </w:p>
    <w:p w:rsidR="00FB23A6" w:rsidRPr="00D90F15" w:rsidRDefault="00FB23A6">
      <w:pPr>
        <w:tabs>
          <w:tab w:val="left" w:pos="7561"/>
        </w:tabs>
      </w:pPr>
      <w:r w:rsidRPr="00D90F15">
        <w:rPr>
          <w:i/>
        </w:rPr>
        <w:t xml:space="preserve">Jan Bergqvist </w:t>
      </w:r>
      <w:r w:rsidRPr="00D90F15">
        <w:t>konstaterade inledningvis i sitt debattinlägg att nya mediciner på ett avgörande sätt kunde påverka individers hälsa och välbefinnande. Det fanns dock risker som är förknippade med okontrollerad användning av mediciner. Både under- och överkonsumtion av medicin kunde få katastr</w:t>
      </w:r>
      <w:r w:rsidRPr="00D90F15">
        <w:t>o</w:t>
      </w:r>
      <w:r w:rsidRPr="00D90F15">
        <w:t>fala följder. Bergqvist nämnde resistenta bakteriers spridning som följd av felmedicinering vid tuberkulos. Europarådets konvention om en europeisk farmakopé med sina kvalitetsnormer har haft stor normgivande betydelse för läkemedels</w:t>
      </w:r>
      <w:r w:rsidRPr="00D90F15">
        <w:t xml:space="preserve"> kvalitet. Utöver regler och internationell harmonisering behövdes även användarorienterad upplysning för att förhindra felaktig konsumtion av läkemedel.</w:t>
      </w:r>
    </w:p>
    <w:p w:rsidR="00FB23A6" w:rsidRPr="00D90F15" w:rsidRDefault="00FB23A6">
      <w:pPr>
        <w:pStyle w:val="Rubrik2"/>
        <w:tabs>
          <w:tab w:val="clear" w:pos="426"/>
          <w:tab w:val="left" w:pos="567"/>
        </w:tabs>
      </w:pPr>
      <w:bookmarkStart w:id="73" w:name="_Toc506878109"/>
      <w:r w:rsidRPr="00D90F15">
        <w:t>Kontakter med nationella parlament och med allmänheten</w:t>
      </w:r>
      <w:bookmarkEnd w:id="73"/>
    </w:p>
    <w:p w:rsidR="00FB23A6" w:rsidRPr="00D90F15" w:rsidRDefault="00FB23A6">
      <w:pPr>
        <w:tabs>
          <w:tab w:val="left" w:pos="7561"/>
        </w:tabs>
      </w:pPr>
      <w:r w:rsidRPr="00D90F15">
        <w:t>Ärenden från det tidigare utskottet för förbindelser med de nationella parl</w:t>
      </w:r>
      <w:r w:rsidRPr="00D90F15">
        <w:t>a</w:t>
      </w:r>
      <w:r w:rsidRPr="00D90F15">
        <w:t>menten och med allmänheten flyttades från och med januarisessionen 2001 dels till det politiska utskottet, dels till byrån.</w:t>
      </w:r>
    </w:p>
    <w:p w:rsidR="00FB23A6" w:rsidRPr="00D90F15" w:rsidRDefault="00FB23A6">
      <w:pPr>
        <w:tabs>
          <w:tab w:val="left" w:pos="7561"/>
        </w:tabs>
      </w:pPr>
      <w:r w:rsidRPr="00D90F15">
        <w:rPr>
          <w:i/>
        </w:rPr>
        <w:t xml:space="preserve">Sören Lekberg </w:t>
      </w:r>
      <w:r w:rsidRPr="00D90F15">
        <w:t xml:space="preserve">hade förberett en rapport om </w:t>
      </w:r>
      <w:r w:rsidRPr="00D90F15">
        <w:rPr>
          <w:i/>
        </w:rPr>
        <w:t>Valsystemens inverkan på me</w:t>
      </w:r>
      <w:r w:rsidRPr="00D90F15">
        <w:rPr>
          <w:i/>
        </w:rPr>
        <w:t>d</w:t>
      </w:r>
      <w:r w:rsidRPr="00D90F15">
        <w:rPr>
          <w:i/>
        </w:rPr>
        <w:t xml:space="preserve">borgares deltagande i den politiska processen </w:t>
      </w:r>
      <w:r w:rsidRPr="00D90F15">
        <w:t>(dok. 8871, res. 1231). En resolution som baserades på hans rapport antogs i november vid det ständiga utskottets möte. Enligt resolutionen var det viktigt att valsystemens inverkan på medborgarnas deltagande i den politiska processen uppmärksammades i medlemsländerna. Kvinnors och minoriteters möjligheter att aktivt delta i den politiska processen borde främjas. Medlemsländernas parlament borde uppmärksam</w:t>
      </w:r>
      <w:r w:rsidRPr="00D90F15">
        <w:t>ma valsystemens roll när det gäller politisk aktivitet och eng</w:t>
      </w:r>
      <w:r w:rsidRPr="00D90F15">
        <w:t>a</w:t>
      </w:r>
      <w:r w:rsidRPr="00D90F15">
        <w:t>gemang samt främja forskning på detta område. Såväl Europarådets parl</w:t>
      </w:r>
      <w:r w:rsidRPr="00D90F15">
        <w:t>a</w:t>
      </w:r>
      <w:r w:rsidRPr="00D90F15">
        <w:t>mentariska församling som de nationella parlamenten måste bidra till en bred europeisk debatt om dessa för demokratin fundamentala frågor.</w:t>
      </w:r>
    </w:p>
    <w:p w:rsidR="00FB23A6" w:rsidRPr="00D90F15" w:rsidRDefault="00FB23A6">
      <w:pPr>
        <w:pStyle w:val="Rubrik2"/>
        <w:tabs>
          <w:tab w:val="clear" w:pos="426"/>
          <w:tab w:val="left" w:pos="567"/>
        </w:tabs>
      </w:pPr>
      <w:bookmarkStart w:id="74" w:name="_Toc506878110"/>
      <w:r w:rsidRPr="00D90F15">
        <w:t>Jämställdhet mellan kvinnor och män</w:t>
      </w:r>
      <w:bookmarkEnd w:id="74"/>
    </w:p>
    <w:p w:rsidR="00FB23A6" w:rsidRPr="00D90F15" w:rsidRDefault="00FB23A6">
      <w:pPr>
        <w:tabs>
          <w:tab w:val="left" w:pos="7561"/>
        </w:tabs>
      </w:pPr>
      <w:r w:rsidRPr="00D90F15">
        <w:t>Utskottet för frågor rörande jämställdhet mellan kvinnor och män har varit verksamt sedan januari 1998 och ersätter den tidgare ad hoc-kommittén för jämställdhet mellan könen som sedan 1993 hade ansvaret för jämställdhet</w:t>
      </w:r>
      <w:r w:rsidRPr="00D90F15">
        <w:t>s</w:t>
      </w:r>
      <w:r w:rsidRPr="00D90F15">
        <w:t>frågorna. Utskottets uppdrag är att föreslå åtgärder och bevaka att medlem</w:t>
      </w:r>
      <w:r w:rsidRPr="00D90F15">
        <w:t>s</w:t>
      </w:r>
      <w:r w:rsidRPr="00D90F15">
        <w:t>staterna lever upp till sina åtaganden på detta område. Det skall främja jä</w:t>
      </w:r>
      <w:r w:rsidRPr="00D90F15">
        <w:t>m</w:t>
      </w:r>
      <w:r w:rsidRPr="00D90F15">
        <w:t>ställdhet bl.a. genom att anordna seminarier, konferenser och utfrågningar.</w:t>
      </w:r>
    </w:p>
    <w:p w:rsidR="00FB23A6" w:rsidRPr="00D90F15" w:rsidRDefault="00FB23A6">
      <w:pPr>
        <w:tabs>
          <w:tab w:val="left" w:pos="7561"/>
        </w:tabs>
      </w:pPr>
      <w:r w:rsidRPr="00D90F15">
        <w:t xml:space="preserve">Två av utskottets rapporter debatterades gemensamt vid aprilsessionen: </w:t>
      </w:r>
      <w:r w:rsidRPr="00D90F15">
        <w:rPr>
          <w:i/>
        </w:rPr>
        <w:t>Våld mot kvinnor i Europa</w:t>
      </w:r>
      <w:r w:rsidRPr="00D90F15">
        <w:t xml:space="preserve"> (dok. 8667, rek. 1450)</w:t>
      </w:r>
      <w:r w:rsidRPr="00D90F15">
        <w:rPr>
          <w:i/>
        </w:rPr>
        <w:t xml:space="preserve"> och Våldtäkt i samband med väpnade konflikter </w:t>
      </w:r>
      <w:r w:rsidRPr="00D90F15">
        <w:t>(dok. 8668, res. 1212). Församlingen fördömde våld mot kvinnor som brott mot de mänskliga rättigheterna. Den rekommenderade att ministerkommittén upprättade ett europeiskt program för att bekämpa våld mot kvinnor. Möjligheten att öka skyddet av kvinnor genom lagstiftning borde utnyttjas. Församlingen föreslog bl.a. att straffbelägga våldtäkt inom äktenskapet. Församlingen krävde också att våldtäkt i väpnade konfli</w:t>
      </w:r>
      <w:r w:rsidRPr="00D90F15">
        <w:t>kter erkändes som krigsförbrytelse. Våldtagna kvinnor måste ha rätt till abort och få kvalificerad hjälp för att bearbeta sina upplevelser. Församlingen uppm</w:t>
      </w:r>
      <w:r w:rsidRPr="00D90F15">
        <w:t>a</w:t>
      </w:r>
      <w:r w:rsidRPr="00D90F15">
        <w:t>nade ännu en gång medlemsstaterna att ratificera Romkonventionen om en internationell permanent brottmålsdomstol.</w:t>
      </w:r>
    </w:p>
    <w:p w:rsidR="00FB23A6" w:rsidRPr="00D90F15" w:rsidRDefault="00FB23A6">
      <w:pPr>
        <w:tabs>
          <w:tab w:val="left" w:pos="7561"/>
        </w:tabs>
      </w:pPr>
      <w:r w:rsidRPr="00D90F15">
        <w:rPr>
          <w:i/>
        </w:rPr>
        <w:t>Lisbet Calner</w:t>
      </w:r>
      <w:r w:rsidRPr="00D90F15">
        <w:t xml:space="preserve"> framhöll i sitt debattinlägg att våldet mot kvinnor var ett gl</w:t>
      </w:r>
      <w:r w:rsidRPr="00D90F15">
        <w:t>o</w:t>
      </w:r>
      <w:r w:rsidRPr="00D90F15">
        <w:t>balt problem som hade uppmärksammats av FN, EU och andra internati</w:t>
      </w:r>
      <w:r w:rsidRPr="00D90F15">
        <w:t>o</w:t>
      </w:r>
      <w:r w:rsidRPr="00D90F15">
        <w:t>nella organisationer. Olika former av våld mot kvinnor förekom ofta i pa</w:t>
      </w:r>
      <w:r w:rsidRPr="00D90F15">
        <w:t>r</w:t>
      </w:r>
      <w:r w:rsidRPr="00D90F15">
        <w:t>förhållanden, men omfattningen av det våld som förekom i hemmen var inte tillräckligt kartlagd. Genom ny lagstiftning hade Sverige försökt ta itu med våld mot kvinnor. Det svenska samhället har tydligt markerat att våld mot kvinnor inte kan accepteras. Lagstiftning enbart räcker dock inte, det krävs ändrade</w:t>
      </w:r>
      <w:r w:rsidRPr="00D90F15">
        <w:t xml:space="preserve"> attityder, mer upplysning och kunskaper. Calner efterlyste ökat samarbete mellan berörda myndigheter och organisationer. </w:t>
      </w:r>
    </w:p>
    <w:p w:rsidR="00FB23A6" w:rsidRPr="00D90F15" w:rsidRDefault="00FB23A6">
      <w:pPr>
        <w:pStyle w:val="Rubrik1"/>
        <w:numPr>
          <w:ilvl w:val="0"/>
          <w:numId w:val="0"/>
        </w:numPr>
      </w:pPr>
      <w:r w:rsidRPr="00D90F15">
        <w:br w:type="page"/>
      </w:r>
      <w:bookmarkStart w:id="75" w:name="_Toc506878111"/>
      <w:r w:rsidRPr="00D90F15">
        <w:t>Förteckning över församlingens beslut</w:t>
      </w:r>
      <w:bookmarkEnd w:id="75"/>
    </w:p>
    <w:p w:rsidR="00FB23A6" w:rsidRPr="00D90F15" w:rsidRDefault="00FB23A6">
      <w:pPr>
        <w:rPr>
          <w:b/>
        </w:rPr>
      </w:pPr>
      <w:r w:rsidRPr="00D90F15">
        <w:rPr>
          <w:b/>
        </w:rPr>
        <w:t>Rekommendationer</w:t>
      </w:r>
    </w:p>
    <w:p w:rsidR="00FB23A6" w:rsidRPr="00D90F15" w:rsidRDefault="00FB23A6">
      <w:r w:rsidRPr="00D90F15">
        <w:t>Nummer</w:t>
      </w:r>
    </w:p>
    <w:p w:rsidR="00FB23A6" w:rsidRPr="00D90F15" w:rsidRDefault="00FB23A6">
      <w:pPr>
        <w:tabs>
          <w:tab w:val="left" w:pos="601"/>
        </w:tabs>
      </w:pPr>
      <w:r w:rsidRPr="00D90F15">
        <w:t>1437</w:t>
      </w:r>
      <w:r w:rsidRPr="00D90F15">
        <w:tab/>
        <w:t>Icke-formell utbildning</w:t>
      </w:r>
    </w:p>
    <w:p w:rsidR="00FB23A6" w:rsidRPr="00D90F15" w:rsidRDefault="00FB23A6">
      <w:pPr>
        <w:numPr>
          <w:ilvl w:val="0"/>
          <w:numId w:val="2"/>
        </w:numPr>
      </w:pPr>
      <w:r w:rsidRPr="00D90F15">
        <w:t>Extrema partiers och rörelsers hot mot demokratin i Europa</w:t>
      </w:r>
    </w:p>
    <w:p w:rsidR="00FB23A6" w:rsidRPr="00D90F15" w:rsidRDefault="00FB23A6">
      <w:pPr>
        <w:numPr>
          <w:ilvl w:val="0"/>
          <w:numId w:val="2"/>
        </w:numPr>
      </w:pPr>
      <w:r w:rsidRPr="00D90F15">
        <w:t xml:space="preserve">EU:s stadga för grundläggande rättigheter </w:t>
      </w:r>
    </w:p>
    <w:p w:rsidR="00FB23A6" w:rsidRPr="00D90F15" w:rsidRDefault="00FB23A6">
      <w:pPr>
        <w:numPr>
          <w:ilvl w:val="0"/>
          <w:numId w:val="2"/>
        </w:numPr>
      </w:pPr>
      <w:r w:rsidRPr="00D90F15">
        <w:t>Restriktioner i asylrätten i Europarådets medlemsländer och i EU</w:t>
      </w:r>
    </w:p>
    <w:p w:rsidR="00FB23A6" w:rsidRPr="00D90F15" w:rsidRDefault="00FB23A6">
      <w:pPr>
        <w:numPr>
          <w:ilvl w:val="0"/>
          <w:numId w:val="2"/>
        </w:numPr>
      </w:pPr>
      <w:r w:rsidRPr="00D90F15">
        <w:t>Situationen i Vitryssland</w:t>
      </w:r>
    </w:p>
    <w:p w:rsidR="00FB23A6" w:rsidRPr="00D90F15" w:rsidRDefault="00FB23A6">
      <w:pPr>
        <w:numPr>
          <w:ilvl w:val="0"/>
          <w:numId w:val="2"/>
        </w:numPr>
      </w:pPr>
      <w:r w:rsidRPr="00D90F15">
        <w:t>Bulgariens uppfyllande av sina åtaganden</w:t>
      </w:r>
    </w:p>
    <w:p w:rsidR="00FB23A6" w:rsidRPr="00D90F15" w:rsidRDefault="00FB23A6">
      <w:pPr>
        <w:numPr>
          <w:ilvl w:val="0"/>
          <w:numId w:val="2"/>
        </w:numPr>
      </w:pPr>
      <w:r w:rsidRPr="00D90F15">
        <w:t>Internationella adoptioner: respekt för barnens rättigheter</w:t>
      </w:r>
    </w:p>
    <w:p w:rsidR="00FB23A6" w:rsidRPr="00D90F15" w:rsidRDefault="00FB23A6">
      <w:pPr>
        <w:numPr>
          <w:ilvl w:val="0"/>
          <w:numId w:val="2"/>
        </w:numPr>
      </w:pPr>
      <w:r w:rsidRPr="00D90F15">
        <w:t>Konflikten i Tjetjenien</w:t>
      </w:r>
    </w:p>
    <w:p w:rsidR="00FB23A6" w:rsidRPr="00D90F15" w:rsidRDefault="00FB23A6">
      <w:pPr>
        <w:numPr>
          <w:ilvl w:val="0"/>
          <w:numId w:val="2"/>
        </w:numPr>
      </w:pPr>
      <w:r w:rsidRPr="00D90F15">
        <w:t>Hälsorisker och arbetarskydd för Europas befolkning</w:t>
      </w:r>
    </w:p>
    <w:p w:rsidR="00FB23A6" w:rsidRPr="00D90F15" w:rsidRDefault="00FB23A6">
      <w:pPr>
        <w:numPr>
          <w:ilvl w:val="0"/>
          <w:numId w:val="2"/>
        </w:numPr>
      </w:pPr>
      <w:r w:rsidRPr="00D90F15">
        <w:t xml:space="preserve">Förbud mot antibiotika i livsmedelsproduktionen </w:t>
      </w:r>
    </w:p>
    <w:p w:rsidR="00FB23A6" w:rsidRPr="00D90F15" w:rsidRDefault="00FB23A6">
      <w:pPr>
        <w:numPr>
          <w:ilvl w:val="0"/>
          <w:numId w:val="2"/>
        </w:numPr>
      </w:pPr>
      <w:r w:rsidRPr="00D90F15">
        <w:t>Ekonomiska konsekvenser av de senaste jordbävningarna i Turkiet och Grekland</w:t>
      </w:r>
    </w:p>
    <w:p w:rsidR="00FB23A6" w:rsidRPr="00D90F15" w:rsidRDefault="00FB23A6">
      <w:pPr>
        <w:tabs>
          <w:tab w:val="left" w:pos="567"/>
        </w:tabs>
      </w:pPr>
      <w:r w:rsidRPr="00D90F15">
        <w:t>1448</w:t>
      </w:r>
      <w:r w:rsidRPr="00D90F15">
        <w:tab/>
        <w:t>Sociala konsekvenser av de senaste jordbävningarna i Tu</w:t>
      </w:r>
      <w:r w:rsidRPr="00D90F15">
        <w:t>r</w:t>
      </w:r>
      <w:r w:rsidRPr="00D90F15">
        <w:t>kiet</w:t>
      </w:r>
    </w:p>
    <w:p w:rsidR="00FB23A6" w:rsidRPr="00D90F15" w:rsidRDefault="00FB23A6">
      <w:pPr>
        <w:tabs>
          <w:tab w:val="left" w:pos="567"/>
        </w:tabs>
      </w:pPr>
      <w:r w:rsidRPr="00D90F15">
        <w:t>1449</w:t>
      </w:r>
      <w:r w:rsidRPr="00D90F15">
        <w:tab/>
        <w:t>Olaglig invandring till Europa från länderna söder om Me</w:t>
      </w:r>
      <w:r w:rsidRPr="00D90F15">
        <w:t>d</w:t>
      </w:r>
      <w:r w:rsidRPr="00D90F15">
        <w:t>elhavet</w:t>
      </w:r>
    </w:p>
    <w:p w:rsidR="00FB23A6" w:rsidRPr="00D90F15" w:rsidRDefault="00FB23A6">
      <w:pPr>
        <w:numPr>
          <w:ilvl w:val="0"/>
          <w:numId w:val="3"/>
        </w:numPr>
      </w:pPr>
      <w:r w:rsidRPr="00D90F15">
        <w:t>Våld mot kvinnor i Europa</w:t>
      </w:r>
    </w:p>
    <w:p w:rsidR="00FB23A6" w:rsidRPr="00D90F15" w:rsidRDefault="00FB23A6">
      <w:pPr>
        <w:numPr>
          <w:ilvl w:val="0"/>
          <w:numId w:val="3"/>
        </w:numPr>
      </w:pPr>
      <w:r w:rsidRPr="00D90F15">
        <w:t>Omdaning av Ukrainas institutioner</w:t>
      </w:r>
    </w:p>
    <w:p w:rsidR="00FB23A6" w:rsidRPr="00D90F15" w:rsidRDefault="00FB23A6">
      <w:pPr>
        <w:numPr>
          <w:ilvl w:val="0"/>
          <w:numId w:val="3"/>
        </w:numPr>
      </w:pPr>
      <w:r w:rsidRPr="00D90F15">
        <w:t>Parlamentariskt bidrag till förverkligandet av stabilitetspakten för Sydöstra Europa</w:t>
      </w:r>
    </w:p>
    <w:p w:rsidR="00FB23A6" w:rsidRPr="00D90F15" w:rsidRDefault="00FB23A6">
      <w:pPr>
        <w:numPr>
          <w:ilvl w:val="0"/>
          <w:numId w:val="3"/>
        </w:numPr>
      </w:pPr>
      <w:r w:rsidRPr="00D90F15">
        <w:t xml:space="preserve">Makedoniens uppfyllande av sina åtaganden </w:t>
      </w:r>
    </w:p>
    <w:p w:rsidR="00FB23A6" w:rsidRPr="00D90F15" w:rsidRDefault="00FB23A6">
      <w:pPr>
        <w:numPr>
          <w:ilvl w:val="0"/>
          <w:numId w:val="3"/>
        </w:numPr>
      </w:pPr>
      <w:r w:rsidRPr="00D90F15">
        <w:t>Utbildning i Bosnien-Hercegovina</w:t>
      </w:r>
    </w:p>
    <w:p w:rsidR="00FB23A6" w:rsidRPr="00D90F15" w:rsidRDefault="00FB23A6">
      <w:pPr>
        <w:numPr>
          <w:ilvl w:val="0"/>
          <w:numId w:val="3"/>
        </w:numPr>
      </w:pPr>
      <w:r w:rsidRPr="00D90F15">
        <w:t>Repatriering och intregrering av Krimtatarerna</w:t>
      </w:r>
    </w:p>
    <w:p w:rsidR="00FB23A6" w:rsidRPr="00D90F15" w:rsidRDefault="00FB23A6">
      <w:pPr>
        <w:numPr>
          <w:ilvl w:val="0"/>
          <w:numId w:val="3"/>
        </w:numPr>
      </w:pPr>
      <w:r w:rsidRPr="00D90F15">
        <w:t>Konflikten i republiken Tjetjenien – Ryska federationens genomf</w:t>
      </w:r>
      <w:r w:rsidRPr="00D90F15">
        <w:t>ö</w:t>
      </w:r>
      <w:r w:rsidRPr="00D90F15">
        <w:t xml:space="preserve">rande av Rekommendation 1444 </w:t>
      </w:r>
    </w:p>
    <w:p w:rsidR="00FB23A6" w:rsidRPr="00D90F15" w:rsidRDefault="00FB23A6">
      <w:pPr>
        <w:numPr>
          <w:ilvl w:val="0"/>
          <w:numId w:val="3"/>
        </w:numPr>
      </w:pPr>
      <w:r w:rsidRPr="00D90F15">
        <w:t>Ny teknologi i små och medelstora företag</w:t>
      </w:r>
    </w:p>
    <w:p w:rsidR="00FB23A6" w:rsidRPr="00D90F15" w:rsidRDefault="00FB23A6">
      <w:pPr>
        <w:numPr>
          <w:ilvl w:val="0"/>
          <w:numId w:val="3"/>
        </w:numPr>
      </w:pPr>
      <w:r w:rsidRPr="00D90F15">
        <w:t>Enhetlig tolkning av Europarådets konventioner: skapande av en allmän rättslig myndighet inom Europarådet</w:t>
      </w:r>
    </w:p>
    <w:p w:rsidR="00FB23A6" w:rsidRPr="00D90F15" w:rsidRDefault="00FB23A6">
      <w:pPr>
        <w:numPr>
          <w:ilvl w:val="0"/>
          <w:numId w:val="3"/>
        </w:numPr>
      </w:pPr>
      <w:r w:rsidRPr="00D90F15">
        <w:t>Handlingsplan för barnen i Kosovo</w:t>
      </w:r>
    </w:p>
    <w:p w:rsidR="00FB23A6" w:rsidRPr="00D90F15" w:rsidRDefault="00FB23A6">
      <w:pPr>
        <w:numPr>
          <w:ilvl w:val="0"/>
          <w:numId w:val="3"/>
        </w:numPr>
      </w:pPr>
      <w:r w:rsidRPr="00D90F15">
        <w:t>Inrättandet av ett europeiskt barnombudsmannaämbete</w:t>
      </w:r>
    </w:p>
    <w:p w:rsidR="00FB23A6" w:rsidRPr="00D90F15" w:rsidRDefault="00FB23A6">
      <w:pPr>
        <w:numPr>
          <w:ilvl w:val="0"/>
          <w:numId w:val="3"/>
        </w:numPr>
      </w:pPr>
      <w:r w:rsidRPr="00D90F15">
        <w:t>Europarådets roll inom regionalplanering</w:t>
      </w:r>
    </w:p>
    <w:p w:rsidR="00FB23A6" w:rsidRPr="00D90F15" w:rsidRDefault="00FB23A6">
      <w:pPr>
        <w:numPr>
          <w:ilvl w:val="0"/>
          <w:numId w:val="3"/>
        </w:numPr>
      </w:pPr>
      <w:r w:rsidRPr="00D90F15">
        <w:t>Europarådets MR-pris (mänskliga rättigheter)</w:t>
      </w:r>
    </w:p>
    <w:p w:rsidR="00FB23A6" w:rsidRPr="00D90F15" w:rsidRDefault="00FB23A6">
      <w:pPr>
        <w:numPr>
          <w:ilvl w:val="0"/>
          <w:numId w:val="3"/>
        </w:numPr>
      </w:pPr>
      <w:r w:rsidRPr="00D90F15">
        <w:t>Det andra världstoppmötet om social utveckling</w:t>
      </w:r>
    </w:p>
    <w:p w:rsidR="00FB23A6" w:rsidRPr="00D90F15" w:rsidRDefault="00FB23A6">
      <w:pPr>
        <w:numPr>
          <w:ilvl w:val="0"/>
          <w:numId w:val="3"/>
        </w:numPr>
      </w:pPr>
      <w:r w:rsidRPr="00D90F15">
        <w:t>Dopning inom idrotten</w:t>
      </w:r>
    </w:p>
    <w:p w:rsidR="00FB23A6" w:rsidRPr="00D90F15" w:rsidRDefault="00FB23A6">
      <w:pPr>
        <w:numPr>
          <w:ilvl w:val="0"/>
          <w:numId w:val="3"/>
        </w:numPr>
      </w:pPr>
      <w:r w:rsidRPr="00D90F15">
        <w:t>”Europa, ett gemensamt arv” – en Europarådskampanj</w:t>
      </w:r>
    </w:p>
    <w:p w:rsidR="00FB23A6" w:rsidRPr="00D90F15" w:rsidRDefault="00FB23A6">
      <w:pPr>
        <w:numPr>
          <w:ilvl w:val="0"/>
          <w:numId w:val="3"/>
        </w:numPr>
      </w:pPr>
      <w:r w:rsidRPr="00D90F15">
        <w:t>Medieutbildning</w:t>
      </w:r>
    </w:p>
    <w:p w:rsidR="00FB23A6" w:rsidRPr="00D90F15" w:rsidRDefault="00FB23A6">
      <w:pPr>
        <w:numPr>
          <w:ilvl w:val="0"/>
          <w:numId w:val="3"/>
        </w:numPr>
      </w:pPr>
      <w:r w:rsidRPr="00D90F15">
        <w:t>Olaglig invandring och kampen mot människohandel</w:t>
      </w:r>
    </w:p>
    <w:p w:rsidR="00FB23A6" w:rsidRPr="00D90F15" w:rsidRDefault="00FB23A6">
      <w:pPr>
        <w:numPr>
          <w:ilvl w:val="0"/>
          <w:numId w:val="3"/>
        </w:numPr>
      </w:pPr>
      <w:r w:rsidRPr="00D90F15">
        <w:t>Bioteknologi</w:t>
      </w:r>
    </w:p>
    <w:p w:rsidR="00FB23A6" w:rsidRPr="00D90F15" w:rsidRDefault="00FB23A6">
      <w:pPr>
        <w:numPr>
          <w:ilvl w:val="0"/>
          <w:numId w:val="3"/>
        </w:numPr>
      </w:pPr>
      <w:r w:rsidRPr="00D90F15">
        <w:t>Mödrar och spädbarn i fängelse</w:t>
      </w:r>
    </w:p>
    <w:p w:rsidR="00FB23A6" w:rsidRPr="00D90F15" w:rsidRDefault="00FB23A6">
      <w:pPr>
        <w:numPr>
          <w:ilvl w:val="0"/>
          <w:numId w:val="3"/>
        </w:numPr>
      </w:pPr>
      <w:r w:rsidRPr="00D90F15">
        <w:t>Homosexuellas och deras partners situation när det gäller asyl och immigration i Europarådets medlemsländer</w:t>
      </w:r>
    </w:p>
    <w:p w:rsidR="00FB23A6" w:rsidRPr="00D90F15" w:rsidRDefault="00FB23A6">
      <w:pPr>
        <w:numPr>
          <w:ilvl w:val="0"/>
          <w:numId w:val="3"/>
        </w:numPr>
      </w:pPr>
      <w:r w:rsidRPr="00D90F15">
        <w:t>Skapande av ett hydrotekniskt institut för Europa och Medelhavso</w:t>
      </w:r>
      <w:r w:rsidRPr="00D90F15">
        <w:t>m</w:t>
      </w:r>
      <w:r w:rsidRPr="00D90F15">
        <w:t>rådet</w:t>
      </w:r>
    </w:p>
    <w:p w:rsidR="00FB23A6" w:rsidRPr="00D90F15" w:rsidRDefault="00FB23A6">
      <w:pPr>
        <w:numPr>
          <w:ilvl w:val="0"/>
          <w:numId w:val="3"/>
        </w:numPr>
      </w:pPr>
      <w:r w:rsidRPr="00D90F15">
        <w:t>Utbyte av data på Internet rörande skötsel av vattenresurser: Eur</w:t>
      </w:r>
      <w:r w:rsidRPr="00D90F15">
        <w:t>o</w:t>
      </w:r>
      <w:r w:rsidRPr="00D90F15">
        <w:t>parådets roll</w:t>
      </w:r>
    </w:p>
    <w:p w:rsidR="00FB23A6" w:rsidRPr="00D90F15" w:rsidRDefault="00FB23A6">
      <w:pPr>
        <w:numPr>
          <w:ilvl w:val="0"/>
          <w:numId w:val="3"/>
        </w:numPr>
      </w:pPr>
      <w:r w:rsidRPr="00D90F15">
        <w:t>Kroatiens uppfyllande av sina åtaganden</w:t>
      </w:r>
    </w:p>
    <w:p w:rsidR="00FB23A6" w:rsidRPr="00D90F15" w:rsidRDefault="00FB23A6">
      <w:pPr>
        <w:numPr>
          <w:ilvl w:val="0"/>
          <w:numId w:val="3"/>
        </w:numPr>
      </w:pPr>
      <w:r w:rsidRPr="00D90F15">
        <w:t>Homosexuellas situation i Europarådets medlemsländer</w:t>
      </w:r>
    </w:p>
    <w:p w:rsidR="00FB23A6" w:rsidRPr="00D90F15" w:rsidRDefault="00FB23A6">
      <w:pPr>
        <w:numPr>
          <w:ilvl w:val="0"/>
          <w:numId w:val="3"/>
        </w:numPr>
      </w:pPr>
      <w:r w:rsidRPr="00D90F15">
        <w:t>Asylsökandes ankomst till europeiska flygplatser</w:t>
      </w:r>
    </w:p>
    <w:p w:rsidR="00FB23A6" w:rsidRPr="00D90F15" w:rsidRDefault="00FB23A6">
      <w:pPr>
        <w:numPr>
          <w:ilvl w:val="0"/>
          <w:numId w:val="3"/>
        </w:numPr>
      </w:pPr>
      <w:r w:rsidRPr="00D90F15">
        <w:t>Förenta nationerna vid sekelskiftet</w:t>
      </w:r>
    </w:p>
    <w:p w:rsidR="00FB23A6" w:rsidRPr="00D90F15" w:rsidRDefault="00FB23A6">
      <w:pPr>
        <w:numPr>
          <w:ilvl w:val="0"/>
          <w:numId w:val="3"/>
        </w:numPr>
      </w:pPr>
      <w:r w:rsidRPr="00D90F15">
        <w:t>Verkställandet av domar vid Europadomstolen för de mänskliga rättigheterna</w:t>
      </w:r>
    </w:p>
    <w:p w:rsidR="00FB23A6" w:rsidRPr="00D90F15" w:rsidRDefault="00FB23A6">
      <w:pPr>
        <w:numPr>
          <w:ilvl w:val="0"/>
          <w:numId w:val="3"/>
        </w:numPr>
      </w:pPr>
      <w:r w:rsidRPr="00D90F15">
        <w:t>Konflikten i Tjetjenien; den senaste utvecklingen – uppföljning av Europarådets rekommendationer 1444 (2000) och 1456 (2000)</w:t>
      </w:r>
    </w:p>
    <w:p w:rsidR="00FB23A6" w:rsidRPr="00D90F15" w:rsidRDefault="00FB23A6">
      <w:pPr>
        <w:numPr>
          <w:ilvl w:val="0"/>
          <w:numId w:val="3"/>
        </w:numPr>
      </w:pPr>
      <w:r w:rsidRPr="00D90F15">
        <w:t>EU:s stadga för grundläggande rättigheter</w:t>
      </w:r>
    </w:p>
    <w:p w:rsidR="00FB23A6" w:rsidRPr="00D90F15" w:rsidRDefault="00FB23A6">
      <w:pPr>
        <w:numPr>
          <w:ilvl w:val="0"/>
          <w:numId w:val="3"/>
        </w:numPr>
      </w:pPr>
      <w:r w:rsidRPr="00D90F15">
        <w:t>Skydd och skötsel av Donaubassängen</w:t>
      </w:r>
    </w:p>
    <w:p w:rsidR="00FB23A6" w:rsidRPr="00D90F15" w:rsidRDefault="00FB23A6">
      <w:pPr>
        <w:numPr>
          <w:ilvl w:val="0"/>
          <w:numId w:val="3"/>
        </w:numPr>
      </w:pPr>
      <w:r w:rsidRPr="00D90F15">
        <w:t>Situationen i Förbundsrepubliken Jugoslavien</w:t>
      </w:r>
    </w:p>
    <w:p w:rsidR="00FB23A6" w:rsidRPr="00D90F15" w:rsidRDefault="00FB23A6">
      <w:pPr>
        <w:numPr>
          <w:ilvl w:val="0"/>
          <w:numId w:val="3"/>
        </w:numPr>
      </w:pPr>
      <w:r w:rsidRPr="00D90F15">
        <w:t>Demografiska trender och människornas möjligheter i länderna i centrala och östra Europa</w:t>
      </w:r>
    </w:p>
    <w:p w:rsidR="00FB23A6" w:rsidRPr="00D90F15" w:rsidRDefault="00FB23A6">
      <w:pPr>
        <w:numPr>
          <w:ilvl w:val="0"/>
          <w:numId w:val="3"/>
        </w:numPr>
      </w:pPr>
      <w:r w:rsidRPr="00D90F15">
        <w:t>Grunden för en energistrategi för Europa</w:t>
      </w:r>
    </w:p>
    <w:p w:rsidR="00FB23A6" w:rsidRPr="00D90F15" w:rsidRDefault="00FB23A6">
      <w:pPr>
        <w:numPr>
          <w:ilvl w:val="0"/>
          <w:numId w:val="3"/>
        </w:numPr>
      </w:pPr>
      <w:r w:rsidRPr="00D90F15">
        <w:t>Skötsel av katedraler och andra större byggnader för religiöst bruk</w:t>
      </w:r>
    </w:p>
    <w:p w:rsidR="00FB23A6" w:rsidRPr="00D90F15" w:rsidRDefault="00FB23A6">
      <w:pPr>
        <w:numPr>
          <w:ilvl w:val="0"/>
          <w:numId w:val="3"/>
        </w:numPr>
      </w:pPr>
      <w:r w:rsidRPr="00D90F15">
        <w:t>Nedlagda sjukhus och militärförläggningar</w:t>
      </w:r>
    </w:p>
    <w:p w:rsidR="00FB23A6" w:rsidRPr="00D90F15" w:rsidRDefault="00FB23A6">
      <w:pPr>
        <w:numPr>
          <w:ilvl w:val="0"/>
          <w:numId w:val="3"/>
        </w:numPr>
      </w:pPr>
      <w:r w:rsidRPr="00D90F15">
        <w:t>Havens och vattenvägarnas kulturarv</w:t>
      </w:r>
    </w:p>
    <w:p w:rsidR="00FB23A6" w:rsidRPr="00D90F15" w:rsidRDefault="00FB23A6">
      <w:pPr>
        <w:numPr>
          <w:ilvl w:val="0"/>
          <w:numId w:val="3"/>
        </w:numPr>
      </w:pPr>
      <w:r w:rsidRPr="00D90F15">
        <w:t>Utveckling av ett nytt socialt system</w:t>
      </w:r>
    </w:p>
    <w:p w:rsidR="00FB23A6" w:rsidRPr="00D90F15" w:rsidRDefault="00FB23A6">
      <w:pPr>
        <w:numPr>
          <w:ilvl w:val="0"/>
          <w:numId w:val="3"/>
        </w:numPr>
      </w:pPr>
      <w:r w:rsidRPr="00D90F15">
        <w:t xml:space="preserve">Beskaffenhet och omfattning av kontraktsbundna rättigheter för Europarådets anställda </w:t>
      </w:r>
    </w:p>
    <w:p w:rsidR="00FB23A6" w:rsidRPr="00D90F15" w:rsidRDefault="00FB23A6">
      <w:pPr>
        <w:pStyle w:val="Rubrik7"/>
      </w:pPr>
      <w:r w:rsidRPr="00D90F15">
        <w:t>Resolutioner</w:t>
      </w:r>
    </w:p>
    <w:p w:rsidR="00FB23A6" w:rsidRPr="00D90F15" w:rsidRDefault="00FB23A6">
      <w:r w:rsidRPr="00D90F15">
        <w:t>Nummer</w:t>
      </w:r>
    </w:p>
    <w:p w:rsidR="00FB23A6" w:rsidRPr="00D90F15" w:rsidRDefault="00FB23A6">
      <w:pPr>
        <w:pStyle w:val="Citat"/>
        <w:tabs>
          <w:tab w:val="left" w:pos="601"/>
        </w:tabs>
        <w:spacing w:before="122" w:line="245" w:lineRule="exact"/>
      </w:pPr>
      <w:r w:rsidRPr="00D90F15">
        <w:t>1209</w:t>
      </w:r>
      <w:r w:rsidRPr="00D90F15">
        <w:tab/>
        <w:t>Demokrati och ekonomisk utveckling</w:t>
      </w:r>
    </w:p>
    <w:p w:rsidR="00FB23A6" w:rsidRPr="00D90F15" w:rsidRDefault="00FB23A6">
      <w:pPr>
        <w:numPr>
          <w:ilvl w:val="0"/>
          <w:numId w:val="4"/>
        </w:numPr>
      </w:pPr>
      <w:r w:rsidRPr="00D90F15">
        <w:t>EU:s stadga för grundläggande rättigheter</w:t>
      </w:r>
    </w:p>
    <w:p w:rsidR="00FB23A6" w:rsidRPr="00D90F15" w:rsidRDefault="00FB23A6">
      <w:pPr>
        <w:numPr>
          <w:ilvl w:val="0"/>
          <w:numId w:val="4"/>
        </w:numPr>
      </w:pPr>
      <w:r w:rsidRPr="00D90F15">
        <w:t>Bulgariens uppfyllande av sina åtaganden</w:t>
      </w:r>
    </w:p>
    <w:p w:rsidR="00FB23A6" w:rsidRPr="00D90F15" w:rsidRDefault="00FB23A6">
      <w:pPr>
        <w:numPr>
          <w:ilvl w:val="0"/>
          <w:numId w:val="4"/>
        </w:numPr>
      </w:pPr>
      <w:r w:rsidRPr="00D90F15">
        <w:t>Våldtäkter i samband med väpnade konflikter</w:t>
      </w:r>
    </w:p>
    <w:p w:rsidR="00FB23A6" w:rsidRPr="00D90F15" w:rsidRDefault="00FB23A6">
      <w:pPr>
        <w:numPr>
          <w:ilvl w:val="0"/>
          <w:numId w:val="4"/>
        </w:numPr>
      </w:pPr>
      <w:r w:rsidRPr="00D90F15">
        <w:t>Makedoniens uppfyllande av sina åtaganden</w:t>
      </w:r>
    </w:p>
    <w:p w:rsidR="00FB23A6" w:rsidRPr="00D90F15" w:rsidRDefault="00FB23A6">
      <w:pPr>
        <w:numPr>
          <w:ilvl w:val="0"/>
          <w:numId w:val="4"/>
        </w:numPr>
      </w:pPr>
      <w:r w:rsidRPr="00D90F15">
        <w:t>Parlamentens roll i kampen mot korruption</w:t>
      </w:r>
    </w:p>
    <w:p w:rsidR="00FB23A6" w:rsidRPr="00D90F15" w:rsidRDefault="00FB23A6">
      <w:pPr>
        <w:numPr>
          <w:ilvl w:val="0"/>
          <w:numId w:val="4"/>
        </w:numPr>
      </w:pPr>
      <w:r w:rsidRPr="00D90F15">
        <w:t>Kampanj mot värvning av barnsoldater och deras deltagande i vä</w:t>
      </w:r>
      <w:r w:rsidRPr="00D90F15">
        <w:t>p</w:t>
      </w:r>
      <w:r w:rsidRPr="00D90F15">
        <w:t>nade konflikter</w:t>
      </w:r>
    </w:p>
    <w:p w:rsidR="00FB23A6" w:rsidRPr="00D90F15" w:rsidRDefault="00FB23A6">
      <w:pPr>
        <w:numPr>
          <w:ilvl w:val="0"/>
          <w:numId w:val="4"/>
        </w:numPr>
      </w:pPr>
      <w:r w:rsidRPr="00D90F15">
        <w:t>Uppföljning av FN:s fjärde världskonferens om kvinnor (Beijing, 1995)</w:t>
      </w:r>
    </w:p>
    <w:p w:rsidR="00FB23A6" w:rsidRPr="00D90F15" w:rsidRDefault="00FB23A6">
      <w:pPr>
        <w:numPr>
          <w:ilvl w:val="0"/>
          <w:numId w:val="4"/>
        </w:numPr>
      </w:pPr>
      <w:r w:rsidRPr="00D90F15">
        <w:t>Europeisk flygtransportpolitik – behovet av ett ”Europa under en himmel”</w:t>
      </w:r>
    </w:p>
    <w:p w:rsidR="00FB23A6" w:rsidRPr="00D90F15" w:rsidRDefault="00FB23A6">
      <w:pPr>
        <w:numPr>
          <w:ilvl w:val="0"/>
          <w:numId w:val="4"/>
        </w:numPr>
      </w:pPr>
      <w:r w:rsidRPr="00D90F15">
        <w:t>EBRD och omvandlingen i Central- och Östeuropa</w:t>
      </w:r>
    </w:p>
    <w:p w:rsidR="00FB23A6" w:rsidRPr="00D90F15" w:rsidRDefault="00FB23A6">
      <w:pPr>
        <w:numPr>
          <w:ilvl w:val="0"/>
          <w:numId w:val="4"/>
        </w:numPr>
      </w:pPr>
      <w:r w:rsidRPr="00D90F15">
        <w:t>Albaniens uppfyllande av sina åtaganden</w:t>
      </w:r>
    </w:p>
    <w:p w:rsidR="00FB23A6" w:rsidRPr="00D90F15" w:rsidRDefault="00FB23A6">
      <w:pPr>
        <w:numPr>
          <w:ilvl w:val="0"/>
          <w:numId w:val="4"/>
        </w:numPr>
      </w:pPr>
      <w:r w:rsidRPr="00D90F15">
        <w:t>Förbättring av församlingens arbetsmetoder och dess utskottsstruktur</w:t>
      </w:r>
    </w:p>
    <w:p w:rsidR="00FB23A6" w:rsidRPr="00D90F15" w:rsidRDefault="00FB23A6">
      <w:pPr>
        <w:numPr>
          <w:ilvl w:val="0"/>
          <w:numId w:val="4"/>
        </w:numPr>
      </w:pPr>
      <w:r w:rsidRPr="00D90F15">
        <w:t>Konflikten i Tjetjenien – uppföljning av församlingens rekomme</w:t>
      </w:r>
      <w:r w:rsidRPr="00D90F15">
        <w:t>n</w:t>
      </w:r>
      <w:r w:rsidRPr="00D90F15">
        <w:t xml:space="preserve">dationer 1444 (2000) och 1456 (2000) </w:t>
      </w:r>
    </w:p>
    <w:p w:rsidR="00FB23A6" w:rsidRPr="00D90F15" w:rsidRDefault="00FB23A6">
      <w:pPr>
        <w:numPr>
          <w:ilvl w:val="0"/>
          <w:numId w:val="4"/>
        </w:numPr>
      </w:pPr>
      <w:r w:rsidRPr="00D90F15">
        <w:t xml:space="preserve">Jordbruk och bristen på vatten  </w:t>
      </w:r>
    </w:p>
    <w:p w:rsidR="00FB23A6" w:rsidRPr="00D90F15" w:rsidRDefault="00FB23A6">
      <w:pPr>
        <w:numPr>
          <w:ilvl w:val="0"/>
          <w:numId w:val="4"/>
        </w:numPr>
      </w:pPr>
      <w:r w:rsidRPr="00D90F15">
        <w:t>Kroatiens uppfyllande av sina åtaganden</w:t>
      </w:r>
    </w:p>
    <w:p w:rsidR="00FB23A6" w:rsidRPr="00D90F15" w:rsidRDefault="00FB23A6">
      <w:pPr>
        <w:numPr>
          <w:ilvl w:val="0"/>
          <w:numId w:val="4"/>
        </w:numPr>
      </w:pPr>
      <w:r w:rsidRPr="00D90F15">
        <w:t>OECD och världsekonomin</w:t>
      </w:r>
    </w:p>
    <w:p w:rsidR="00FB23A6" w:rsidRPr="00D90F15" w:rsidRDefault="00FB23A6">
      <w:pPr>
        <w:numPr>
          <w:ilvl w:val="0"/>
          <w:numId w:val="4"/>
        </w:numPr>
      </w:pPr>
      <w:r w:rsidRPr="00D90F15">
        <w:t>Utsikterna för en ny transatlantisk handelsrelation</w:t>
      </w:r>
    </w:p>
    <w:p w:rsidR="00FB23A6" w:rsidRPr="00D90F15" w:rsidRDefault="00FB23A6">
      <w:pPr>
        <w:numPr>
          <w:ilvl w:val="0"/>
          <w:numId w:val="4"/>
        </w:numPr>
      </w:pPr>
      <w:r w:rsidRPr="00D90F15">
        <w:t>Verkställandet av domar vid Europadomstolen för mänskliga rätti</w:t>
      </w:r>
      <w:r w:rsidRPr="00D90F15">
        <w:t>g</w:t>
      </w:r>
      <w:r w:rsidRPr="00D90F15">
        <w:t>heter</w:t>
      </w:r>
    </w:p>
    <w:p w:rsidR="00FB23A6" w:rsidRPr="00D90F15" w:rsidRDefault="00FB23A6">
      <w:pPr>
        <w:numPr>
          <w:ilvl w:val="0"/>
          <w:numId w:val="4"/>
        </w:numPr>
      </w:pPr>
      <w:r w:rsidRPr="00D90F15">
        <w:t>Konflikten i Tjetjenien; den senaste utvecklingen – uppföljning av församlingens rekommendationer 1444 (2000) och 1456 (2000)</w:t>
      </w:r>
    </w:p>
    <w:p w:rsidR="00FB23A6" w:rsidRPr="00D90F15" w:rsidRDefault="00FB23A6">
      <w:pPr>
        <w:numPr>
          <w:ilvl w:val="0"/>
          <w:numId w:val="4"/>
        </w:numPr>
      </w:pPr>
      <w:r w:rsidRPr="00D90F15">
        <w:t>EU:s stadga för grundläggande rättigheter</w:t>
      </w:r>
    </w:p>
    <w:p w:rsidR="00FB23A6" w:rsidRPr="00D90F15" w:rsidRDefault="00FB23A6">
      <w:pPr>
        <w:numPr>
          <w:ilvl w:val="0"/>
          <w:numId w:val="4"/>
        </w:numPr>
      </w:pPr>
      <w:r w:rsidRPr="00D90F15">
        <w:t>Olyckor som skadar miljön</w:t>
      </w:r>
    </w:p>
    <w:p w:rsidR="00FB23A6" w:rsidRPr="00D90F15" w:rsidRDefault="00FB23A6">
      <w:pPr>
        <w:numPr>
          <w:ilvl w:val="0"/>
          <w:numId w:val="4"/>
        </w:numPr>
      </w:pPr>
      <w:r w:rsidRPr="00D90F15">
        <w:t>Situationen i förbundsrepubliken Jugoslavien</w:t>
      </w:r>
    </w:p>
    <w:p w:rsidR="00FB23A6" w:rsidRPr="00D90F15" w:rsidRDefault="00FB23A6">
      <w:pPr>
        <w:numPr>
          <w:ilvl w:val="0"/>
          <w:numId w:val="4"/>
        </w:numPr>
      </w:pPr>
      <w:r w:rsidRPr="00D90F15">
        <w:t>Valsystemens inverkan på den politiska processen</w:t>
      </w:r>
    </w:p>
    <w:p w:rsidR="00FB23A6" w:rsidRPr="00D90F15" w:rsidRDefault="00FB23A6">
      <w:pPr>
        <w:numPr>
          <w:ilvl w:val="0"/>
          <w:numId w:val="4"/>
        </w:numPr>
      </w:pPr>
      <w:r w:rsidRPr="00D90F15">
        <w:t>En sjuttioårs åldersgräns för domare i Europadomstolen för mänskl</w:t>
      </w:r>
      <w:r w:rsidRPr="00D90F15">
        <w:t>i</w:t>
      </w:r>
      <w:r w:rsidRPr="00D90F15">
        <w:t>ga rättigheter</w:t>
      </w:r>
    </w:p>
    <w:p w:rsidR="00FB23A6" w:rsidRPr="00D90F15" w:rsidRDefault="00FB23A6">
      <w:pPr>
        <w:numPr>
          <w:ilvl w:val="0"/>
          <w:numId w:val="4"/>
        </w:numPr>
      </w:pPr>
      <w:r w:rsidRPr="00D90F15">
        <w:t>Nya teknologiers inverkan på arbetslagstiftningen</w:t>
      </w:r>
    </w:p>
    <w:p w:rsidR="00FB23A6" w:rsidRPr="00D90F15" w:rsidRDefault="00FB23A6">
      <w:pPr>
        <w:numPr>
          <w:ilvl w:val="0"/>
          <w:numId w:val="4"/>
        </w:numPr>
      </w:pPr>
      <w:r w:rsidRPr="00D90F15">
        <w:t>Modifiering av församlingens procedurregler</w:t>
      </w:r>
    </w:p>
    <w:p w:rsidR="00FB23A6" w:rsidRPr="00D90F15" w:rsidRDefault="00FB23A6">
      <w:pPr>
        <w:numPr>
          <w:ilvl w:val="0"/>
          <w:numId w:val="4"/>
        </w:numPr>
      </w:pPr>
      <w:r w:rsidRPr="00D90F15">
        <w:t>Direktiv för församlingens utskott (förverkligandet av resolution 1220)</w:t>
      </w:r>
    </w:p>
    <w:p w:rsidR="00FB23A6" w:rsidRPr="00D90F15" w:rsidRDefault="00FB23A6">
      <w:pPr>
        <w:spacing w:before="240"/>
      </w:pPr>
      <w:r w:rsidRPr="00D90F15">
        <w:rPr>
          <w:b/>
        </w:rPr>
        <w:t>Direktiv (Orders)</w:t>
      </w:r>
    </w:p>
    <w:p w:rsidR="00FB23A6" w:rsidRPr="00D90F15" w:rsidRDefault="00FB23A6">
      <w:r w:rsidRPr="00D90F15">
        <w:t>Nummer</w:t>
      </w:r>
    </w:p>
    <w:p w:rsidR="00FB23A6" w:rsidRPr="00D90F15" w:rsidRDefault="00FB23A6">
      <w:pPr>
        <w:numPr>
          <w:ilvl w:val="0"/>
          <w:numId w:val="5"/>
        </w:numPr>
      </w:pPr>
      <w:r w:rsidRPr="00D90F15">
        <w:t>Extrema partiers och rörelsers hot mot demokratin i Europa</w:t>
      </w:r>
    </w:p>
    <w:p w:rsidR="00FB23A6" w:rsidRPr="00D90F15" w:rsidRDefault="00FB23A6">
      <w:pPr>
        <w:numPr>
          <w:ilvl w:val="0"/>
          <w:numId w:val="5"/>
        </w:numPr>
      </w:pPr>
      <w:r w:rsidRPr="00D90F15">
        <w:t>EU:s stadga för grundläggande rättigheter</w:t>
      </w:r>
    </w:p>
    <w:p w:rsidR="00FB23A6" w:rsidRPr="00D90F15" w:rsidRDefault="00FB23A6">
      <w:pPr>
        <w:numPr>
          <w:ilvl w:val="0"/>
          <w:numId w:val="5"/>
        </w:numPr>
      </w:pPr>
      <w:r w:rsidRPr="00D90F15">
        <w:t>Situationen i Vitryssland</w:t>
      </w:r>
    </w:p>
    <w:p w:rsidR="00FB23A6" w:rsidRPr="00D90F15" w:rsidRDefault="00FB23A6">
      <w:pPr>
        <w:numPr>
          <w:ilvl w:val="0"/>
          <w:numId w:val="5"/>
        </w:numPr>
      </w:pPr>
      <w:r w:rsidRPr="00D90F15">
        <w:t>Olaglig invandring till Europa från länderna söder om Medelhavet</w:t>
      </w:r>
    </w:p>
    <w:p w:rsidR="00FB23A6" w:rsidRPr="00D90F15" w:rsidRDefault="00FB23A6">
      <w:pPr>
        <w:numPr>
          <w:ilvl w:val="0"/>
          <w:numId w:val="5"/>
        </w:numPr>
      </w:pPr>
      <w:r w:rsidRPr="00D90F15">
        <w:t>Parlamentariskt bidrag till förverkligandet av stabilitetspakten för Sydöstra Europa</w:t>
      </w:r>
    </w:p>
    <w:p w:rsidR="00FB23A6" w:rsidRPr="00D90F15" w:rsidRDefault="00FB23A6">
      <w:pPr>
        <w:numPr>
          <w:ilvl w:val="0"/>
          <w:numId w:val="5"/>
        </w:numPr>
      </w:pPr>
      <w:r w:rsidRPr="00D90F15">
        <w:t>Repatriering och intregrering av Krimtatarerna</w:t>
      </w:r>
    </w:p>
    <w:p w:rsidR="00FB23A6" w:rsidRPr="00D90F15" w:rsidRDefault="00FB23A6">
      <w:pPr>
        <w:numPr>
          <w:ilvl w:val="0"/>
          <w:numId w:val="5"/>
        </w:numPr>
      </w:pPr>
      <w:r w:rsidRPr="00D90F15">
        <w:t>Bioteknologi</w:t>
      </w:r>
    </w:p>
    <w:p w:rsidR="00FB23A6" w:rsidRPr="00D90F15" w:rsidRDefault="00FB23A6">
      <w:pPr>
        <w:numPr>
          <w:ilvl w:val="0"/>
          <w:numId w:val="5"/>
        </w:numPr>
      </w:pPr>
      <w:r w:rsidRPr="00D90F15">
        <w:t>EU:s stadga för grundläggande rättigheter</w:t>
      </w:r>
    </w:p>
    <w:p w:rsidR="00FB23A6" w:rsidRPr="00D90F15" w:rsidRDefault="00FB23A6">
      <w:pPr>
        <w:pStyle w:val="Rubrik7"/>
      </w:pPr>
      <w:r w:rsidRPr="00D90F15">
        <w:t>Yttranden</w:t>
      </w:r>
    </w:p>
    <w:p w:rsidR="00FB23A6" w:rsidRPr="00D90F15" w:rsidRDefault="00FB23A6">
      <w:r w:rsidRPr="00D90F15">
        <w:t>Nummer</w:t>
      </w:r>
    </w:p>
    <w:p w:rsidR="00FB23A6" w:rsidRPr="00D90F15" w:rsidRDefault="00FB23A6">
      <w:pPr>
        <w:numPr>
          <w:ilvl w:val="0"/>
          <w:numId w:val="6"/>
        </w:numPr>
      </w:pPr>
      <w:r w:rsidRPr="00D90F15">
        <w:t>Förslag till fördrag för främjande av praktikarbete för unga över n</w:t>
      </w:r>
      <w:r w:rsidRPr="00D90F15">
        <w:t>a</w:t>
      </w:r>
      <w:r w:rsidRPr="00D90F15">
        <w:t>tionsgränserna</w:t>
      </w:r>
    </w:p>
    <w:p w:rsidR="00FB23A6" w:rsidRPr="00D90F15" w:rsidRDefault="00FB23A6">
      <w:pPr>
        <w:numPr>
          <w:ilvl w:val="0"/>
          <w:numId w:val="6"/>
        </w:numPr>
      </w:pPr>
      <w:r w:rsidRPr="00D90F15">
        <w:t>Utkast till protokoll nr 12 till europeiska konventionen för de mänskl</w:t>
      </w:r>
      <w:r w:rsidRPr="00D90F15">
        <w:t>i</w:t>
      </w:r>
      <w:r w:rsidRPr="00D90F15">
        <w:t>ga rättigheterna</w:t>
      </w:r>
    </w:p>
    <w:p w:rsidR="00FB23A6" w:rsidRPr="00D90F15" w:rsidRDefault="00FB23A6">
      <w:pPr>
        <w:numPr>
          <w:ilvl w:val="0"/>
          <w:numId w:val="6"/>
        </w:numPr>
      </w:pPr>
      <w:r w:rsidRPr="00D90F15">
        <w:t>Utkast till tilläggsprotokoll till konvention ETS 108 om en överva</w:t>
      </w:r>
      <w:r w:rsidRPr="00D90F15">
        <w:t>k</w:t>
      </w:r>
      <w:r w:rsidRPr="00D90F15">
        <w:t>ningsmyndighet och dataflöde över gränserna</w:t>
      </w:r>
    </w:p>
    <w:p w:rsidR="00FB23A6" w:rsidRPr="00D90F15" w:rsidRDefault="00FB23A6">
      <w:pPr>
        <w:numPr>
          <w:ilvl w:val="0"/>
          <w:numId w:val="6"/>
        </w:numPr>
      </w:pPr>
      <w:r w:rsidRPr="00D90F15">
        <w:t>Europarådets budget för budgetåren 2000 och 2001</w:t>
      </w:r>
    </w:p>
    <w:p w:rsidR="00FB23A6" w:rsidRPr="00D90F15" w:rsidRDefault="00FB23A6">
      <w:pPr>
        <w:tabs>
          <w:tab w:val="num" w:pos="480"/>
          <w:tab w:val="left" w:pos="601"/>
        </w:tabs>
        <w:ind w:left="567" w:hanging="567"/>
      </w:pPr>
      <w:r w:rsidRPr="00D90F15">
        <w:t>219</w:t>
      </w:r>
      <w:r w:rsidRPr="00D90F15">
        <w:tab/>
        <w:t>Församlingens utgifter för budgetåret 2001</w:t>
      </w:r>
    </w:p>
    <w:p w:rsidR="00FB23A6" w:rsidRPr="00D90F15" w:rsidRDefault="00FB23A6">
      <w:pPr>
        <w:tabs>
          <w:tab w:val="num" w:pos="480"/>
          <w:tab w:val="left" w:pos="601"/>
        </w:tabs>
      </w:pPr>
      <w:r w:rsidRPr="00D90F15">
        <w:t>220</w:t>
      </w:r>
      <w:r w:rsidRPr="00D90F15">
        <w:tab/>
        <w:t>Utkast till europeisk konvention för landskapsvård</w:t>
      </w:r>
    </w:p>
    <w:p w:rsidR="00FB23A6" w:rsidRPr="00D90F15" w:rsidRDefault="00FB23A6">
      <w:pPr>
        <w:numPr>
          <w:ilvl w:val="0"/>
          <w:numId w:val="7"/>
        </w:numPr>
      </w:pPr>
      <w:r w:rsidRPr="00D90F15">
        <w:t>Armeniens ansökan om medlemskap i Europarådet</w:t>
      </w:r>
    </w:p>
    <w:p w:rsidR="00FB23A6" w:rsidRPr="00D90F15" w:rsidRDefault="00FB23A6">
      <w:pPr>
        <w:tabs>
          <w:tab w:val="num" w:pos="480"/>
        </w:tabs>
      </w:pPr>
      <w:r w:rsidRPr="00D90F15">
        <w:t>222</w:t>
      </w:r>
      <w:r w:rsidRPr="00D90F15">
        <w:tab/>
        <w:t>Azerbajdzjans ansökan om medlemskap i Europarådet</w:t>
      </w:r>
    </w:p>
    <w:p w:rsidR="00FB23A6" w:rsidRPr="00D90F15" w:rsidRDefault="00FB23A6">
      <w:pPr>
        <w:pStyle w:val="Tryckort"/>
        <w:framePr w:wrap="around"/>
      </w:pPr>
      <w:r w:rsidRPr="00D90F15">
        <w:t>Elanders Gotab, Stockholm  2001</w:t>
      </w:r>
    </w:p>
    <w:p w:rsidR="00FB23A6" w:rsidRPr="00D90F15" w:rsidRDefault="00FB23A6">
      <w:pPr>
        <w:pStyle w:val="Normaltindrag"/>
      </w:pPr>
    </w:p>
    <w:sectPr w:rsidR="00FB23A6" w:rsidRPr="00D90F1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3A6" w:rsidRPr="00D90F15" w:rsidRDefault="00FB23A6">
      <w:pPr>
        <w:spacing w:before="0" w:line="240" w:lineRule="auto"/>
      </w:pPr>
      <w:r w:rsidRPr="00D90F15">
        <w:separator/>
      </w:r>
    </w:p>
  </w:endnote>
  <w:endnote w:type="continuationSeparator" w:id="0">
    <w:p w:rsidR="00FB23A6" w:rsidRPr="00D90F15" w:rsidRDefault="00FB23A6">
      <w:pPr>
        <w:spacing w:before="0" w:line="240" w:lineRule="auto"/>
      </w:pPr>
      <w:r w:rsidRPr="00D90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A6" w:rsidRPr="00D90F15" w:rsidRDefault="00FB23A6">
    <w:pPr>
      <w:pStyle w:val="SidfotH"/>
      <w:framePr w:wrap="around"/>
    </w:pPr>
    <w:r w:rsidRPr="00D90F15">
      <w:fldChar w:fldCharType="begin" w:fldLock="1"/>
    </w:r>
    <w:r w:rsidRPr="00D90F15">
      <w:instrText xml:space="preserve"> PAGE </w:instrText>
    </w:r>
    <w:r w:rsidRPr="00D90F15">
      <w:fldChar w:fldCharType="separate"/>
    </w:r>
    <w:r w:rsidRPr="00D90F15">
      <w:t>1</w:t>
    </w:r>
    <w:r w:rsidRPr="00D90F15">
      <w:fldChar w:fldCharType="end"/>
    </w:r>
  </w:p>
  <w:p w:rsidR="00FB23A6" w:rsidRPr="00D90F15" w:rsidRDefault="00FB2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3A6" w:rsidRPr="00D90F15" w:rsidRDefault="00FB23A6">
      <w:pPr>
        <w:pStyle w:val="Sidfot"/>
      </w:pPr>
    </w:p>
  </w:footnote>
  <w:footnote w:type="continuationSeparator" w:id="0">
    <w:p w:rsidR="00FB23A6" w:rsidRPr="00D90F15" w:rsidRDefault="00FB23A6">
      <w:pPr>
        <w:spacing w:before="0" w:line="240" w:lineRule="auto"/>
      </w:pPr>
      <w:r w:rsidRPr="00D90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3A6" w:rsidRPr="00D90F15" w:rsidRDefault="00FB23A6">
    <w:pPr>
      <w:pStyle w:val="SidhuvudKant"/>
      <w:framePr w:w="1758" w:h="2744" w:hRule="exact" w:wrap="around" w:vAnchor="page" w:hAnchor="page" w:x="7372" w:y="568" w:anchorLock="0"/>
    </w:pPr>
  </w:p>
  <w:p w:rsidR="00FB23A6" w:rsidRPr="00D90F15" w:rsidRDefault="00FB23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6DC20F8"/>
    <w:multiLevelType w:val="multilevel"/>
    <w:tmpl w:val="44281D54"/>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pStyle w:val="Rubrik3"/>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1DAA324F"/>
    <w:multiLevelType w:val="singleLevel"/>
    <w:tmpl w:val="5B68FA14"/>
    <w:lvl w:ilvl="0">
      <w:start w:val="560"/>
      <w:numFmt w:val="decimal"/>
      <w:lvlText w:val="%1"/>
      <w:lvlJc w:val="left"/>
      <w:pPr>
        <w:tabs>
          <w:tab w:val="num" w:pos="540"/>
        </w:tabs>
        <w:ind w:left="540" w:hanging="540"/>
      </w:pPr>
      <w:rPr>
        <w:rFonts w:hint="default"/>
      </w:rPr>
    </w:lvl>
  </w:abstractNum>
  <w:abstractNum w:abstractNumId="3" w15:restartNumberingAfterBreak="0">
    <w:nsid w:val="2A5E2628"/>
    <w:multiLevelType w:val="singleLevel"/>
    <w:tmpl w:val="25160224"/>
    <w:lvl w:ilvl="0">
      <w:start w:val="221"/>
      <w:numFmt w:val="decimal"/>
      <w:lvlText w:val="%1"/>
      <w:lvlJc w:val="left"/>
      <w:pPr>
        <w:tabs>
          <w:tab w:val="num" w:pos="480"/>
        </w:tabs>
        <w:ind w:left="480" w:hanging="480"/>
      </w:pPr>
      <w:rPr>
        <w:rFonts w:hint="default"/>
      </w:rPr>
    </w:lvl>
  </w:abstractNum>
  <w:abstractNum w:abstractNumId="4" w15:restartNumberingAfterBreak="0">
    <w:nsid w:val="2D043D25"/>
    <w:multiLevelType w:val="singleLevel"/>
    <w:tmpl w:val="FF9A5C52"/>
    <w:lvl w:ilvl="0">
      <w:start w:val="1450"/>
      <w:numFmt w:val="decimal"/>
      <w:lvlText w:val="%1"/>
      <w:lvlJc w:val="left"/>
      <w:pPr>
        <w:tabs>
          <w:tab w:val="num" w:pos="600"/>
        </w:tabs>
        <w:ind w:left="600" w:hanging="600"/>
      </w:pPr>
      <w:rPr>
        <w:rFonts w:hint="default"/>
      </w:rPr>
    </w:lvl>
  </w:abstractNum>
  <w:abstractNum w:abstractNumId="5" w15:restartNumberingAfterBreak="0">
    <w:nsid w:val="3F6667A4"/>
    <w:multiLevelType w:val="singleLevel"/>
    <w:tmpl w:val="89562A04"/>
    <w:lvl w:ilvl="0">
      <w:start w:val="215"/>
      <w:numFmt w:val="decimal"/>
      <w:lvlText w:val="%1"/>
      <w:lvlJc w:val="left"/>
      <w:pPr>
        <w:tabs>
          <w:tab w:val="num" w:pos="480"/>
        </w:tabs>
        <w:ind w:left="480" w:hanging="480"/>
      </w:pPr>
      <w:rPr>
        <w:rFonts w:hint="default"/>
      </w:rPr>
    </w:lvl>
  </w:abstractNum>
  <w:abstractNum w:abstractNumId="6" w15:restartNumberingAfterBreak="0">
    <w:nsid w:val="63DE0C56"/>
    <w:multiLevelType w:val="singleLevel"/>
    <w:tmpl w:val="C2326ADE"/>
    <w:lvl w:ilvl="0">
      <w:start w:val="1210"/>
      <w:numFmt w:val="decimal"/>
      <w:lvlText w:val="%1"/>
      <w:lvlJc w:val="left"/>
      <w:pPr>
        <w:tabs>
          <w:tab w:val="num" w:pos="600"/>
        </w:tabs>
        <w:ind w:left="600" w:hanging="600"/>
      </w:pPr>
      <w:rPr>
        <w:rFonts w:hint="default"/>
      </w:rPr>
    </w:lvl>
  </w:abstractNum>
  <w:abstractNum w:abstractNumId="7" w15:restartNumberingAfterBreak="0">
    <w:nsid w:val="6B5574DF"/>
    <w:multiLevelType w:val="singleLevel"/>
    <w:tmpl w:val="A198BE70"/>
    <w:lvl w:ilvl="0">
      <w:start w:val="1438"/>
      <w:numFmt w:val="decimal"/>
      <w:lvlText w:val="%1"/>
      <w:lvlJc w:val="left"/>
      <w:pPr>
        <w:tabs>
          <w:tab w:val="num" w:pos="600"/>
        </w:tabs>
        <w:ind w:left="600" w:hanging="600"/>
      </w:pPr>
      <w:rPr>
        <w:rFonts w:hint="default"/>
      </w:rPr>
    </w:lvl>
  </w:abstractNum>
  <w:num w:numId="1" w16cid:durableId="1039624011">
    <w:abstractNumId w:val="0"/>
  </w:num>
  <w:num w:numId="2" w16cid:durableId="2142191909">
    <w:abstractNumId w:val="7"/>
  </w:num>
  <w:num w:numId="3" w16cid:durableId="1707294200">
    <w:abstractNumId w:val="4"/>
  </w:num>
  <w:num w:numId="4" w16cid:durableId="593560948">
    <w:abstractNumId w:val="6"/>
  </w:num>
  <w:num w:numId="5" w16cid:durableId="1377270439">
    <w:abstractNumId w:val="2"/>
  </w:num>
  <w:num w:numId="6" w16cid:durableId="748773049">
    <w:abstractNumId w:val="5"/>
  </w:num>
  <w:num w:numId="7" w16cid:durableId="916861875">
    <w:abstractNumId w:val="3"/>
  </w:num>
  <w:num w:numId="8" w16cid:durableId="83846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001"/>
  </w:docVars>
  <w:rsids>
    <w:rsidRoot w:val="00030D9E"/>
    <w:rsid w:val="00030D9E"/>
    <w:rsid w:val="00D90F15"/>
    <w:rsid w:val="00FB23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92575-5A4B-466A-9297-A9B253C7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clear" w:pos="360"/>
        <w:tab w:val="num" w:pos="426"/>
      </w:tabs>
      <w:spacing w:before="360" w:line="256" w:lineRule="exact"/>
      <w:outlineLvl w:val="1"/>
    </w:pPr>
    <w:rPr>
      <w:sz w:val="23"/>
    </w:rPr>
  </w:style>
  <w:style w:type="paragraph" w:styleId="Rubrik3">
    <w:name w:val="heading 3"/>
    <w:basedOn w:val="Rubrik1"/>
    <w:next w:val="Normal"/>
    <w:qFormat/>
    <w:pPr>
      <w:numPr>
        <w:ilvl w:val="2"/>
      </w:numPr>
      <w:tabs>
        <w:tab w:val="clear" w:pos="720"/>
        <w:tab w:val="left" w:pos="454"/>
        <w:tab w:val="num" w:pos="567"/>
      </w:tabs>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240"/>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tabs>
        <w:tab w:val="left" w:pos="680"/>
      </w:tabs>
      <w:ind w:left="227"/>
      <w:jc w:val="left"/>
    </w:pPr>
    <w:rPr>
      <w:noProof/>
    </w:rPr>
  </w:style>
  <w:style w:type="paragraph" w:styleId="Innehll3">
    <w:name w:val="toc 3"/>
    <w:basedOn w:val="Innehll1"/>
    <w:autoRedefine/>
    <w:semiHidden/>
    <w:pPr>
      <w:tabs>
        <w:tab w:val="left" w:pos="1134"/>
      </w:tabs>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11814</Words>
  <Characters>79161</Characters>
  <Application>Microsoft Office Word</Application>
  <DocSecurity>4</DocSecurity>
  <Lines>1465</Lines>
  <Paragraphs>452</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EU-nämndens betänkande</vt:lpstr>
      <vt:lpstr>    </vt:lpstr>
      <vt:lpstr>    Albanien, Andorra, Belgien, Bulgarien, Cypern, Danmark, Estland, Finland, Frankr</vt:lpstr>
      <vt:lpstr>    Innehållsförteckning</vt:lpstr>
      <vt:lpstr>1	Europarådets roll i det europeiska samarbetet</vt:lpstr>
      <vt:lpstr>    Den parlamentariska församlingens roll och uppgifter</vt:lpstr>
      <vt:lpstr>Den parlamentariska församlingens verksamhet under 2000</vt:lpstr>
      <vt:lpstr>    Sessionen 2000</vt:lpstr>
      <vt:lpstr>    Budget och omstrukturering av verksamheten</vt:lpstr>
      <vt:lpstr>    Riksdagens delegation</vt:lpstr>
      <vt:lpstr>    Utvidgning av medlemskretsen och granskning av efterlevnaden av åtaganden</vt:lpstr>
      <vt:lpstr>        Valövervakning</vt:lpstr>
      <vt:lpstr>        Nya medlemmar: Armenien och Azerbajdzjan</vt:lpstr>
      <vt:lpstr>        Bosnien-Hercegovina</vt:lpstr>
      <vt:lpstr>        Monaco</vt:lpstr>
      <vt:lpstr>        Vitryssland</vt:lpstr>
      <vt:lpstr>        Förbundsrepubliken Jugoslavien</vt:lpstr>
      <vt:lpstr>        Observatörer</vt:lpstr>
      <vt:lpstr>        Ackreditering av ledamöter</vt:lpstr>
      <vt:lpstr>    Politiska frågor</vt:lpstr>
      <vt:lpstr>        Tjetjenien</vt:lpstr>
      <vt:lpstr>        Kosovo</vt:lpstr>
      <vt:lpstr>        Relationerna med andra internationella organisationer</vt:lpstr>
      <vt:lpstr>        Globalisering</vt:lpstr>
      <vt:lpstr>    Demokrati och mänskliga rättigheter</vt:lpstr>
      <vt:lpstr>        Avskaffande av dödsstraffet</vt:lpstr>
      <vt:lpstr>        EU:s grundrättighetsstadga</vt:lpstr>
      <vt:lpstr>        Mekanismen för att skydda de mänskliga rättigheterna</vt:lpstr>
      <vt:lpstr>    Sociala och ekonomiska frågor</vt:lpstr>
      <vt:lpstr>    Europeiskt talmansmöte i Strasbourg</vt:lpstr>
      <vt:lpstr>    Gäster</vt:lpstr>
      <vt:lpstr>    Besök och möten i Sverige</vt:lpstr>
      <vt:lpstr>Den svenska representationen </vt:lpstr>
      <vt:lpstr>Huvudområden för församlingens verksamhet</vt:lpstr>
      <vt:lpstr>    Granskning av hur medlemsländerna uppfyller sina åtaganden</vt:lpstr>
      <vt:lpstr>        Bulgarien</vt:lpstr>
      <vt:lpstr>        Makedonien</vt:lpstr>
      <vt:lpstr>        Ukraina</vt:lpstr>
      <vt:lpstr>        Albanien</vt:lpstr>
      <vt:lpstr>        Kroatien</vt:lpstr>
      <vt:lpstr>    Politiska frågor</vt:lpstr>
      <vt:lpstr>        Tjetjenien</vt:lpstr>
      <vt:lpstr>        Vitryssland</vt:lpstr>
      <vt:lpstr>        Förenta nationerna</vt:lpstr>
      <vt:lpstr>    Juridiska frågor och mänskliga rättigheter</vt:lpstr>
      <vt:lpstr>        EU:s grundrättighetsstadga</vt:lpstr>
      <vt:lpstr>        Europakonventionen och Europadomstolen</vt:lpstr>
      <vt:lpstr>        Sexuellt likaberättigande</vt:lpstr>
      <vt:lpstr>    Ekonomi och utveckling</vt:lpstr>
      <vt:lpstr>    Sociala frågor, hälso- och familjefrågor</vt:lpstr>
      <vt:lpstr>    Kultur och utbildning</vt:lpstr>
      <vt:lpstr>    Naturvetenskap och teknik</vt:lpstr>
      <vt:lpstr>    Miljö, regionalplanering och lokal förvaltning</vt:lpstr>
      <vt:lpstr>    Befolknings- och flyktingfrågor</vt:lpstr>
      <vt:lpstr>    Jordbruk och landsbygdsutveckling</vt:lpstr>
      <vt:lpstr>    Kontakter med nationella parlament och med allmänheten</vt:lpstr>
      <vt:lpstr>    Jämställdhet mellan kvinnor och män</vt:lpstr>
      <vt:lpstr>Förteckning över församlingens beslut</vt:lpstr>
    </vt:vector>
  </TitlesOfParts>
  <Company>Riksdagen</Company>
  <LinksUpToDate>false</LinksUpToDate>
  <CharactersWithSpaces>90523</CharactersWithSpaces>
  <SharedDoc>false</SharedDoc>
  <HLinks>
    <vt:vector size="6" baseType="variant">
      <vt:variant>
        <vt:i4>1966118</vt:i4>
      </vt:variant>
      <vt:variant>
        <vt:i4>1551</vt:i4>
      </vt:variant>
      <vt:variant>
        <vt:i4>1025</vt:i4>
      </vt:variant>
      <vt:variant>
        <vt:i4>1</vt:i4>
      </vt:variant>
      <vt:variant>
        <vt:lpwstr>C:\europa.bmp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betänkande</dc:title>
  <dc:subject>EU-nämndens betänkande</dc:subject>
  <dc:creator>Riksdagen</dc:creator>
  <cp:keywords>Riksdagen</cp:keywords>
  <cp:lastModifiedBy>Lars Brink</cp:lastModifiedBy>
  <cp:revision>2</cp:revision>
  <cp:lastPrinted>2001-02-15T12:32:00Z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