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0F5006C8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F10029">
              <w:rPr>
                <w:b/>
              </w:rPr>
              <w:t>4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F10029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F421D5">
              <w:rPr>
                <w:b/>
              </w:rPr>
              <w:t>13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0CD617E6" w:rsidR="0096348C" w:rsidRDefault="00EF70DA" w:rsidP="0096348C">
            <w:r w:rsidRPr="00D9719F">
              <w:t>20</w:t>
            </w:r>
            <w:r w:rsidR="00C3591B" w:rsidRPr="00D9719F">
              <w:t>2</w:t>
            </w:r>
            <w:r w:rsidR="002B6C96" w:rsidRPr="00D9719F">
              <w:t>5</w:t>
            </w:r>
            <w:r w:rsidR="009D6560" w:rsidRPr="00D9719F">
              <w:t>-</w:t>
            </w:r>
            <w:r w:rsidR="00F421D5" w:rsidRPr="00D9719F">
              <w:t>01</w:t>
            </w:r>
            <w:r w:rsidR="00F421D5">
              <w:t>-28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D9719F">
              <w:t>TID</w:t>
            </w:r>
          </w:p>
        </w:tc>
        <w:tc>
          <w:tcPr>
            <w:tcW w:w="6463" w:type="dxa"/>
          </w:tcPr>
          <w:p w14:paraId="0B1FB026" w14:textId="0DF13F77" w:rsidR="00D12EAD" w:rsidRDefault="00F421D5" w:rsidP="0096348C">
            <w:r>
              <w:t>11.00-</w:t>
            </w:r>
            <w:r w:rsidR="00D9719F">
              <w:t>11.</w:t>
            </w:r>
            <w:r w:rsidR="00B71BCD">
              <w:t>15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5328AC0E" w14:textId="77777777" w:rsidR="00F421D5" w:rsidRPr="001E1FAC" w:rsidRDefault="00F421D5" w:rsidP="00F421D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5A5D8374" w14:textId="77777777" w:rsidR="00F421D5" w:rsidRDefault="00F421D5" w:rsidP="00F421D5">
            <w:pPr>
              <w:tabs>
                <w:tab w:val="left" w:pos="1701"/>
              </w:tabs>
              <w:rPr>
                <w:snapToGrid w:val="0"/>
              </w:rPr>
            </w:pPr>
          </w:p>
          <w:p w14:paraId="5088E855" w14:textId="32DB4EC8" w:rsidR="00F421D5" w:rsidRDefault="00F421D5" w:rsidP="00F421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2024/25:</w:t>
            </w:r>
            <w:r w:rsidRPr="00F421D5">
              <w:rPr>
                <w:snapToGrid w:val="0"/>
              </w:rPr>
              <w:t>12.</w:t>
            </w:r>
          </w:p>
          <w:p w14:paraId="313533B1" w14:textId="77777777" w:rsidR="00E57DF8" w:rsidRDefault="00E57DF8" w:rsidP="00F421D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F93B25" w14:paraId="5C2DC0AB" w14:textId="77777777" w:rsidTr="00D12EAD">
        <w:tc>
          <w:tcPr>
            <w:tcW w:w="567" w:type="dxa"/>
          </w:tcPr>
          <w:p w14:paraId="41590430" w14:textId="35C05622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752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2D6268F" w14:textId="28ADB255" w:rsidR="009612E3" w:rsidRDefault="00F421D5" w:rsidP="007E4B5A">
            <w:pPr>
              <w:tabs>
                <w:tab w:val="left" w:pos="1701"/>
              </w:tabs>
              <w:rPr>
                <w:b/>
              </w:rPr>
            </w:pPr>
            <w:r w:rsidRPr="00722AD9">
              <w:rPr>
                <w:b/>
              </w:rPr>
              <w:t>Ny ordning för prövning av ärenden som rör statligt personskadeskydd (SfU12)</w:t>
            </w:r>
          </w:p>
          <w:p w14:paraId="2A9F2512" w14:textId="77777777" w:rsidR="00F421D5" w:rsidRDefault="00F421D5" w:rsidP="007E4B5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257A07FE" w14:textId="2CD362C1" w:rsidR="00B664B2" w:rsidRDefault="00B664B2" w:rsidP="00B664B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proposition 2024/25:53. </w:t>
            </w:r>
          </w:p>
          <w:p w14:paraId="55915425" w14:textId="77777777" w:rsidR="00B664B2" w:rsidRDefault="00B664B2" w:rsidP="00B664B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4355E41C" w14:textId="77777777" w:rsidR="00B664B2" w:rsidRDefault="00B664B2" w:rsidP="00B664B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14:paraId="5C26EBB7" w14:textId="120402BF" w:rsidR="007D2629" w:rsidRPr="00F93B25" w:rsidRDefault="007D2629" w:rsidP="00F421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28962869" w14:textId="77777777" w:rsidTr="00D12EAD">
        <w:tc>
          <w:tcPr>
            <w:tcW w:w="567" w:type="dxa"/>
          </w:tcPr>
          <w:p w14:paraId="4CC017E2" w14:textId="2EB51405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7522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1D70DC82" w14:textId="0798573C" w:rsidR="00134762" w:rsidRDefault="00B664B2" w:rsidP="0013476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2786D">
              <w:rPr>
                <w:b/>
              </w:rPr>
              <w:t>Pensioner</w:t>
            </w:r>
            <w:r>
              <w:rPr>
                <w:b/>
              </w:rPr>
              <w:t xml:space="preserve"> (SfU13)</w:t>
            </w:r>
          </w:p>
          <w:p w14:paraId="7D0A3C81" w14:textId="77777777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0CC02DA8" w14:textId="77777777" w:rsidR="00B664B2" w:rsidRDefault="00B664B2" w:rsidP="00B664B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motioner. </w:t>
            </w:r>
          </w:p>
          <w:p w14:paraId="43A44532" w14:textId="77777777" w:rsidR="00B664B2" w:rsidRDefault="00B664B2" w:rsidP="00B664B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0FFF6DBA" w14:textId="77777777" w:rsidR="00B664B2" w:rsidRDefault="00B664B2" w:rsidP="00B664B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Ärendet bordlades. </w:t>
            </w:r>
          </w:p>
          <w:p w14:paraId="00611CAF" w14:textId="3B59BF3C" w:rsidR="00B664B2" w:rsidRDefault="00B664B2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35ADFEF8" w14:textId="77777777" w:rsidTr="00D12EAD">
        <w:tc>
          <w:tcPr>
            <w:tcW w:w="567" w:type="dxa"/>
          </w:tcPr>
          <w:p w14:paraId="58D60A32" w14:textId="73CDCA19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7522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0DF267D3" w14:textId="75F6CAC5" w:rsidR="00134762" w:rsidRDefault="00B664B2" w:rsidP="0037236A">
            <w:pPr>
              <w:tabs>
                <w:tab w:val="left" w:pos="1701"/>
              </w:tabs>
              <w:rPr>
                <w:snapToGrid w:val="0"/>
              </w:rPr>
            </w:pPr>
            <w:r w:rsidRPr="0072786D">
              <w:rPr>
                <w:b/>
              </w:rPr>
              <w:t>Socialavgifter</w:t>
            </w:r>
            <w:r>
              <w:rPr>
                <w:b/>
              </w:rPr>
              <w:t xml:space="preserve"> (SfU14)</w:t>
            </w:r>
          </w:p>
          <w:p w14:paraId="1BE1FDC7" w14:textId="20F2F7D9" w:rsidR="0037236A" w:rsidRDefault="0037236A" w:rsidP="0037236A">
            <w:pPr>
              <w:tabs>
                <w:tab w:val="left" w:pos="1701"/>
              </w:tabs>
              <w:rPr>
                <w:i/>
                <w:iCs/>
                <w:snapToGrid w:val="0"/>
              </w:rPr>
            </w:pPr>
          </w:p>
          <w:p w14:paraId="3C75C706" w14:textId="77777777" w:rsidR="00B664B2" w:rsidRDefault="00B664B2" w:rsidP="00B664B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motioner. </w:t>
            </w:r>
          </w:p>
          <w:p w14:paraId="0D60F6CB" w14:textId="77777777" w:rsidR="00B664B2" w:rsidRDefault="00B664B2" w:rsidP="00B664B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5BE87368" w14:textId="77777777" w:rsidR="00B664B2" w:rsidRDefault="00B664B2" w:rsidP="00B664B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Ärendet bordlades. </w:t>
            </w:r>
          </w:p>
          <w:p w14:paraId="265212F5" w14:textId="6B9D136D" w:rsidR="0037236A" w:rsidRDefault="0037236A" w:rsidP="0037236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500C9811" w14:textId="77777777" w:rsidTr="00D12EAD">
        <w:tc>
          <w:tcPr>
            <w:tcW w:w="567" w:type="dxa"/>
          </w:tcPr>
          <w:p w14:paraId="62453D41" w14:textId="79AAA864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F7522">
              <w:rPr>
                <w:b/>
                <w:snapToGrid w:val="0"/>
              </w:rPr>
              <w:t xml:space="preserve"> 5</w:t>
            </w:r>
          </w:p>
        </w:tc>
        <w:tc>
          <w:tcPr>
            <w:tcW w:w="6946" w:type="dxa"/>
            <w:gridSpan w:val="2"/>
          </w:tcPr>
          <w:p w14:paraId="4050C3F4" w14:textId="62DC95DD" w:rsidR="00B664B2" w:rsidRDefault="00B664B2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72786D">
              <w:rPr>
                <w:b/>
              </w:rPr>
              <w:t>Arbetskraftsinvandring</w:t>
            </w:r>
            <w:r>
              <w:rPr>
                <w:b/>
              </w:rPr>
              <w:t xml:space="preserve"> (SfU15)</w:t>
            </w:r>
          </w:p>
          <w:p w14:paraId="6ADC03A2" w14:textId="0E6835BB" w:rsidR="00B664B2" w:rsidRDefault="00B664B2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505008CC" w14:textId="77777777" w:rsidR="00B664B2" w:rsidRDefault="00B664B2" w:rsidP="00B664B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motioner. </w:t>
            </w:r>
          </w:p>
          <w:p w14:paraId="296E4EDB" w14:textId="77777777" w:rsidR="00B664B2" w:rsidRDefault="00B664B2" w:rsidP="00B664B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07D3EBBF" w14:textId="77777777" w:rsidR="00B664B2" w:rsidRDefault="00B664B2" w:rsidP="00B664B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Ärendet bordlades. </w:t>
            </w:r>
          </w:p>
          <w:p w14:paraId="7ACAC5A0" w14:textId="6807BD19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37236A" w14:paraId="6A5E5478" w14:textId="77777777" w:rsidTr="00D12EAD">
        <w:tc>
          <w:tcPr>
            <w:tcW w:w="567" w:type="dxa"/>
          </w:tcPr>
          <w:p w14:paraId="0D9B9DC3" w14:textId="230AEAD5" w:rsidR="0037236A" w:rsidRDefault="0037236A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7522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575BCEB5" w14:textId="1FD0C6BF" w:rsidR="0037236A" w:rsidRPr="00105702" w:rsidRDefault="00B664B2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72786D">
              <w:rPr>
                <w:b/>
              </w:rPr>
              <w:t>Sveriges genomförande av Agenda 2030</w:t>
            </w:r>
            <w:r w:rsidR="0010570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14:paraId="263EDCB1" w14:textId="1604963E" w:rsidR="0037236A" w:rsidRDefault="0037236A" w:rsidP="0037236A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Utskottet behandlade frågan om yttrande till</w:t>
            </w:r>
            <w:r w:rsidR="00B664B2">
              <w:rPr>
                <w:rFonts w:ascii="TimesNewRomanPSMT" w:hAnsi="TimesNewRomanPSMT" w:cs="TimesNewRomanPSMT"/>
                <w:szCs w:val="24"/>
              </w:rPr>
              <w:t xml:space="preserve"> finans</w:t>
            </w:r>
            <w:r>
              <w:rPr>
                <w:rFonts w:ascii="TimesNewRomanPSMT" w:hAnsi="TimesNewRomanPSMT" w:cs="TimesNewRomanPSMT"/>
                <w:szCs w:val="24"/>
              </w:rPr>
              <w:t>utskottet</w:t>
            </w:r>
          </w:p>
          <w:p w14:paraId="54A53CA1" w14:textId="112A681A" w:rsidR="0037236A" w:rsidRDefault="0037236A" w:rsidP="0037236A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 xml:space="preserve">över </w:t>
            </w:r>
            <w:r w:rsidR="002651A4">
              <w:rPr>
                <w:rFonts w:ascii="TimesNewRomanPSMT" w:hAnsi="TimesNewRomanPSMT" w:cs="TimesNewRomanPSMT"/>
                <w:szCs w:val="24"/>
              </w:rPr>
              <w:t>skrivelse</w:t>
            </w:r>
            <w:r>
              <w:rPr>
                <w:rFonts w:ascii="TimesNewRomanPSMT" w:hAnsi="TimesNewRomanPSMT" w:cs="TimesNewRomanPSMT"/>
                <w:szCs w:val="24"/>
              </w:rPr>
              <w:t xml:space="preserve"> 202</w:t>
            </w:r>
            <w:r w:rsidR="00F10029">
              <w:rPr>
                <w:rFonts w:ascii="TimesNewRomanPSMT" w:hAnsi="TimesNewRomanPSMT" w:cs="TimesNewRomanPSMT"/>
                <w:szCs w:val="24"/>
              </w:rPr>
              <w:t>4</w:t>
            </w:r>
            <w:r>
              <w:rPr>
                <w:rFonts w:ascii="TimesNewRomanPSMT" w:hAnsi="TimesNewRomanPSMT" w:cs="TimesNewRomanPSMT"/>
                <w:szCs w:val="24"/>
              </w:rPr>
              <w:t>/2</w:t>
            </w:r>
            <w:r w:rsidR="00F10029">
              <w:rPr>
                <w:rFonts w:ascii="TimesNewRomanPSMT" w:hAnsi="TimesNewRomanPSMT" w:cs="TimesNewRomanPSMT"/>
                <w:szCs w:val="24"/>
              </w:rPr>
              <w:t>5</w:t>
            </w:r>
            <w:r>
              <w:rPr>
                <w:rFonts w:ascii="TimesNewRomanPSMT" w:hAnsi="TimesNewRomanPSMT" w:cs="TimesNewRomanPSMT"/>
                <w:szCs w:val="24"/>
              </w:rPr>
              <w:t>:</w:t>
            </w:r>
            <w:r w:rsidR="00B664B2">
              <w:rPr>
                <w:rFonts w:ascii="TimesNewRomanPSMT" w:hAnsi="TimesNewRomanPSMT" w:cs="TimesNewRomanPSMT"/>
                <w:szCs w:val="24"/>
              </w:rPr>
              <w:t>66</w:t>
            </w:r>
            <w:r>
              <w:rPr>
                <w:rFonts w:ascii="TimesNewRomanPSMT" w:hAnsi="TimesNewRomanPSMT" w:cs="TimesNewRomanPSMT"/>
                <w:szCs w:val="24"/>
              </w:rPr>
              <w:t xml:space="preserve"> och motioner.</w:t>
            </w:r>
          </w:p>
          <w:p w14:paraId="6213CD85" w14:textId="7815C8B2" w:rsidR="0037236A" w:rsidRDefault="0037236A" w:rsidP="0037236A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  <w:p w14:paraId="76C157C9" w14:textId="68A649DA" w:rsidR="0037236A" w:rsidRDefault="0037236A" w:rsidP="0037236A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 w:rsidRPr="00D9719F">
              <w:rPr>
                <w:rFonts w:ascii="TimesNewRomanPSMT" w:hAnsi="TimesNewRomanPSMT" w:cs="TimesNewRomanPSMT"/>
                <w:szCs w:val="24"/>
              </w:rPr>
              <w:t>Utskottet beslutade att inte yttra sig.</w:t>
            </w:r>
            <w:r>
              <w:rPr>
                <w:rFonts w:ascii="TimesNewRomanPSMT" w:hAnsi="TimesNewRomanPSMT" w:cs="TimesNewRomanPSMT"/>
                <w:szCs w:val="24"/>
              </w:rPr>
              <w:t xml:space="preserve"> </w:t>
            </w:r>
          </w:p>
          <w:p w14:paraId="075EE02A" w14:textId="77777777" w:rsidR="00D5054B" w:rsidRPr="00B664B2" w:rsidRDefault="00D5054B" w:rsidP="0037236A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  <w:highlight w:val="yellow"/>
              </w:rPr>
            </w:pPr>
          </w:p>
          <w:p w14:paraId="73A12281" w14:textId="77777777" w:rsidR="0037236A" w:rsidRDefault="00D5054B" w:rsidP="00134762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 w:rsidRPr="00D9719F">
              <w:rPr>
                <w:rFonts w:ascii="TimesNewRomanPSMT" w:hAnsi="TimesNewRomanPSMT" w:cs="TimesNewRomanPSMT"/>
                <w:szCs w:val="24"/>
              </w:rPr>
              <w:t>Denna paragraf förklarades omedelbar justerad.</w:t>
            </w:r>
            <w:r>
              <w:rPr>
                <w:rFonts w:ascii="TimesNewRomanPSMT" w:hAnsi="TimesNewRomanPSMT" w:cs="TimesNewRomanPSMT"/>
                <w:szCs w:val="24"/>
              </w:rPr>
              <w:t xml:space="preserve"> </w:t>
            </w:r>
          </w:p>
          <w:p w14:paraId="5EFBBD14" w14:textId="77777777" w:rsidR="00105702" w:rsidRDefault="00105702" w:rsidP="00134762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  <w:p w14:paraId="3CC2E5C3" w14:textId="62E5196A" w:rsidR="00105702" w:rsidRDefault="00105702" w:rsidP="00134762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  <w:p w14:paraId="0A0CE14F" w14:textId="2B2C5976" w:rsidR="00202D33" w:rsidRDefault="00202D33" w:rsidP="00134762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  <w:p w14:paraId="5F70BB76" w14:textId="77777777" w:rsidR="00202D33" w:rsidRDefault="00202D33" w:rsidP="00134762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  <w:p w14:paraId="2CC4A9C7" w14:textId="77777777" w:rsidR="00105702" w:rsidRDefault="00105702" w:rsidP="00134762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  <w:p w14:paraId="260008CD" w14:textId="1BF54E2C" w:rsidR="00105702" w:rsidRPr="00D9719F" w:rsidRDefault="00105702" w:rsidP="00134762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D90CDA" w14:paraId="17C7CEF1" w14:textId="77777777" w:rsidTr="00D12EAD">
        <w:tc>
          <w:tcPr>
            <w:tcW w:w="567" w:type="dxa"/>
          </w:tcPr>
          <w:p w14:paraId="3AD4E67C" w14:textId="270EB3E5" w:rsidR="00D90CDA" w:rsidRDefault="00D90CDA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49AF579" w14:textId="4956DB1F" w:rsidR="00D90CDA" w:rsidRDefault="00D90CDA" w:rsidP="00D9719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3A803757" w14:textId="77777777" w:rsidTr="00D12EAD">
        <w:tc>
          <w:tcPr>
            <w:tcW w:w="567" w:type="dxa"/>
          </w:tcPr>
          <w:p w14:paraId="0BDE13E3" w14:textId="4B8C2AC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7522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2E8835AF" w14:textId="6CFDBB2F" w:rsidR="00D02411" w:rsidRPr="00420BC3" w:rsidRDefault="00420BC3" w:rsidP="00420BC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Överlämnande av motion</w:t>
            </w:r>
            <w:r w:rsidR="00202D07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syrkanden</w:t>
            </w:r>
          </w:p>
        </w:tc>
      </w:tr>
      <w:tr w:rsidR="00134762" w14:paraId="53368B70" w14:textId="77777777" w:rsidTr="00D12EAD">
        <w:tc>
          <w:tcPr>
            <w:tcW w:w="567" w:type="dxa"/>
          </w:tcPr>
          <w:p w14:paraId="63D7EA5B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66C4D30" w14:textId="77777777" w:rsidR="00134762" w:rsidRDefault="00134762" w:rsidP="00134762">
            <w:pPr>
              <w:rPr>
                <w:snapToGrid w:val="0"/>
                <w:szCs w:val="24"/>
              </w:rPr>
            </w:pPr>
          </w:p>
          <w:p w14:paraId="63DA1B81" w14:textId="2A811DB3" w:rsidR="00134762" w:rsidRDefault="00134762" w:rsidP="00134762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överlämnade </w:t>
            </w:r>
          </w:p>
          <w:p w14:paraId="365D2742" w14:textId="77777777" w:rsidR="00F2511E" w:rsidRDefault="00F2511E" w:rsidP="00134762">
            <w:pPr>
              <w:rPr>
                <w:snapToGrid w:val="0"/>
                <w:szCs w:val="24"/>
              </w:rPr>
            </w:pPr>
          </w:p>
          <w:p w14:paraId="415E0160" w14:textId="23B0D4AA" w:rsidR="00134762" w:rsidRDefault="00134762" w:rsidP="00134762">
            <w:pPr>
              <w:pStyle w:val="Liststycke"/>
              <w:numPr>
                <w:ilvl w:val="0"/>
                <w:numId w:val="2"/>
              </w:num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motion 202</w:t>
            </w:r>
            <w:r w:rsidR="00F10029">
              <w:rPr>
                <w:snapToGrid w:val="0"/>
                <w:sz w:val="24"/>
                <w:szCs w:val="24"/>
              </w:rPr>
              <w:t>4</w:t>
            </w:r>
            <w:r>
              <w:rPr>
                <w:snapToGrid w:val="0"/>
                <w:sz w:val="24"/>
                <w:szCs w:val="24"/>
              </w:rPr>
              <w:t>/2</w:t>
            </w:r>
            <w:r w:rsidR="00F10029">
              <w:rPr>
                <w:snapToGrid w:val="0"/>
                <w:sz w:val="24"/>
                <w:szCs w:val="24"/>
              </w:rPr>
              <w:t>5</w:t>
            </w:r>
            <w:r>
              <w:rPr>
                <w:snapToGrid w:val="0"/>
                <w:sz w:val="24"/>
                <w:szCs w:val="24"/>
              </w:rPr>
              <w:t>:</w:t>
            </w:r>
            <w:r w:rsidR="00420BC3">
              <w:rPr>
                <w:snapToGrid w:val="0"/>
                <w:sz w:val="24"/>
                <w:szCs w:val="24"/>
              </w:rPr>
              <w:t xml:space="preserve">3158 </w:t>
            </w:r>
            <w:r>
              <w:rPr>
                <w:snapToGrid w:val="0"/>
                <w:sz w:val="24"/>
                <w:szCs w:val="24"/>
              </w:rPr>
              <w:t>av</w:t>
            </w:r>
            <w:r w:rsidR="009071E7">
              <w:t xml:space="preserve"> Martina Johansson m.fl.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="00202D07">
              <w:rPr>
                <w:snapToGrid w:val="0"/>
                <w:sz w:val="24"/>
                <w:szCs w:val="24"/>
              </w:rPr>
              <w:t xml:space="preserve">(C) </w:t>
            </w:r>
            <w:r>
              <w:rPr>
                <w:snapToGrid w:val="0"/>
                <w:sz w:val="24"/>
                <w:szCs w:val="24"/>
              </w:rPr>
              <w:t>yrkande</w:t>
            </w:r>
            <w:r w:rsidR="009071E7">
              <w:rPr>
                <w:snapToGrid w:val="0"/>
                <w:sz w:val="24"/>
                <w:szCs w:val="24"/>
              </w:rPr>
              <w:t xml:space="preserve"> 43 </w:t>
            </w:r>
            <w:r>
              <w:rPr>
                <w:snapToGrid w:val="0"/>
                <w:sz w:val="24"/>
                <w:szCs w:val="24"/>
              </w:rPr>
              <w:t xml:space="preserve">till </w:t>
            </w:r>
            <w:r w:rsidR="00420BC3">
              <w:rPr>
                <w:snapToGrid w:val="0"/>
                <w:sz w:val="24"/>
                <w:szCs w:val="24"/>
              </w:rPr>
              <w:t>social</w:t>
            </w:r>
            <w:r>
              <w:rPr>
                <w:snapToGrid w:val="0"/>
                <w:sz w:val="24"/>
                <w:szCs w:val="24"/>
              </w:rPr>
              <w:t xml:space="preserve">utskottet </w:t>
            </w:r>
          </w:p>
          <w:p w14:paraId="209DC8E4" w14:textId="20DF6736" w:rsidR="009071E7" w:rsidRPr="009071E7" w:rsidRDefault="00134762" w:rsidP="00134762">
            <w:pPr>
              <w:pStyle w:val="Liststycke"/>
              <w:numPr>
                <w:ilvl w:val="0"/>
                <w:numId w:val="3"/>
              </w:numPr>
              <w:tabs>
                <w:tab w:val="clear" w:pos="284"/>
              </w:tabs>
              <w:spacing w:after="200" w:line="280" w:lineRule="exact"/>
              <w:contextualSpacing w:val="0"/>
            </w:pPr>
            <w:r>
              <w:rPr>
                <w:snapToGrid w:val="0"/>
                <w:sz w:val="24"/>
                <w:szCs w:val="24"/>
              </w:rPr>
              <w:t>motion 202</w:t>
            </w:r>
            <w:r w:rsidR="00F10029">
              <w:rPr>
                <w:snapToGrid w:val="0"/>
                <w:sz w:val="24"/>
                <w:szCs w:val="24"/>
              </w:rPr>
              <w:t>4</w:t>
            </w:r>
            <w:r>
              <w:rPr>
                <w:snapToGrid w:val="0"/>
                <w:sz w:val="24"/>
                <w:szCs w:val="24"/>
              </w:rPr>
              <w:t>/2</w:t>
            </w:r>
            <w:r w:rsidR="00F10029">
              <w:rPr>
                <w:snapToGrid w:val="0"/>
                <w:sz w:val="24"/>
                <w:szCs w:val="24"/>
              </w:rPr>
              <w:t>5</w:t>
            </w:r>
            <w:r>
              <w:rPr>
                <w:snapToGrid w:val="0"/>
                <w:sz w:val="24"/>
                <w:szCs w:val="24"/>
              </w:rPr>
              <w:t>:</w:t>
            </w:r>
            <w:r w:rsidR="00420BC3">
              <w:rPr>
                <w:snapToGrid w:val="0"/>
                <w:sz w:val="24"/>
                <w:szCs w:val="24"/>
              </w:rPr>
              <w:t>1402</w:t>
            </w:r>
            <w:r>
              <w:rPr>
                <w:snapToGrid w:val="0"/>
                <w:sz w:val="24"/>
                <w:szCs w:val="24"/>
              </w:rPr>
              <w:t xml:space="preserve"> av</w:t>
            </w:r>
            <w:r w:rsidR="009071E7">
              <w:t xml:space="preserve"> Daniel Persson m.fl.</w:t>
            </w:r>
            <w:r w:rsidR="00202D07">
              <w:t xml:space="preserve"> (SD)</w:t>
            </w:r>
            <w:r w:rsidR="009071E7">
              <w:t xml:space="preserve"> yrkande 8</w:t>
            </w:r>
            <w:r w:rsidRPr="009071E7">
              <w:rPr>
                <w:snapToGrid w:val="0"/>
                <w:szCs w:val="24"/>
              </w:rPr>
              <w:t xml:space="preserve"> till </w:t>
            </w:r>
            <w:r w:rsidR="00420BC3" w:rsidRPr="009071E7">
              <w:rPr>
                <w:snapToGrid w:val="0"/>
                <w:szCs w:val="24"/>
              </w:rPr>
              <w:t>social</w:t>
            </w:r>
            <w:r w:rsidRPr="009071E7">
              <w:rPr>
                <w:snapToGrid w:val="0"/>
                <w:szCs w:val="24"/>
              </w:rPr>
              <w:t>utskottet</w:t>
            </w:r>
            <w:r w:rsidR="009071E7">
              <w:rPr>
                <w:snapToGrid w:val="0"/>
                <w:szCs w:val="24"/>
              </w:rPr>
              <w:t>.</w:t>
            </w:r>
          </w:p>
          <w:p w14:paraId="4A88D419" w14:textId="746CACDA" w:rsidR="00C57994" w:rsidRDefault="00134762" w:rsidP="00134762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Överlämnandena gäller under förutsättning att de</w:t>
            </w:r>
            <w:r w:rsidR="009071E7">
              <w:rPr>
                <w:snapToGrid w:val="0"/>
                <w:szCs w:val="24"/>
              </w:rPr>
              <w:t>t</w:t>
            </w:r>
            <w:r>
              <w:rPr>
                <w:snapToGrid w:val="0"/>
                <w:szCs w:val="24"/>
              </w:rPr>
              <w:t xml:space="preserve"> mottagande utskott</w:t>
            </w:r>
            <w:r w:rsidR="009071E7">
              <w:rPr>
                <w:snapToGrid w:val="0"/>
                <w:szCs w:val="24"/>
              </w:rPr>
              <w:t>et</w:t>
            </w:r>
            <w:r>
              <w:rPr>
                <w:snapToGrid w:val="0"/>
                <w:szCs w:val="24"/>
              </w:rPr>
              <w:t xml:space="preserve"> tar emot</w:t>
            </w:r>
            <w:r w:rsidR="009071E7">
              <w:rPr>
                <w:snapToGrid w:val="0"/>
                <w:szCs w:val="24"/>
              </w:rPr>
              <w:t xml:space="preserve"> </w:t>
            </w:r>
            <w:r w:rsidR="00D02411">
              <w:rPr>
                <w:snapToGrid w:val="0"/>
                <w:szCs w:val="24"/>
              </w:rPr>
              <w:t>motionsyrkandena.</w:t>
            </w:r>
            <w:r w:rsidR="009071E7">
              <w:rPr>
                <w:snapToGrid w:val="0"/>
                <w:szCs w:val="24"/>
              </w:rPr>
              <w:br/>
            </w:r>
          </w:p>
          <w:p w14:paraId="08302C1F" w14:textId="3B195DBB" w:rsidR="009071E7" w:rsidRDefault="009071E7" w:rsidP="00134762">
            <w:pPr>
              <w:rPr>
                <w:snapToGrid w:val="0"/>
                <w:szCs w:val="24"/>
              </w:rPr>
            </w:pPr>
            <w:r w:rsidRPr="00D9719F">
              <w:rPr>
                <w:rFonts w:ascii="TimesNewRomanPSMT" w:hAnsi="TimesNewRomanPSMT" w:cs="TimesNewRomanPSMT"/>
                <w:szCs w:val="24"/>
              </w:rPr>
              <w:t>Denna paragraf förklarades omedelbar justerad.</w:t>
            </w:r>
          </w:p>
          <w:p w14:paraId="2B897411" w14:textId="0EAA8EEB" w:rsidR="00134762" w:rsidRDefault="00134762" w:rsidP="00D02411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7A334D97" w14:textId="77777777" w:rsidTr="00D12EAD">
        <w:tc>
          <w:tcPr>
            <w:tcW w:w="567" w:type="dxa"/>
          </w:tcPr>
          <w:p w14:paraId="6E902AAA" w14:textId="74625AE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7522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2181D43F" w14:textId="77777777" w:rsidR="00420BC3" w:rsidRPr="00D44270" w:rsidRDefault="00420BC3" w:rsidP="00420BC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302E45AA" w14:textId="77777777" w:rsidR="00134762" w:rsidRPr="00F93B25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00733D9E" w14:textId="77777777" w:rsidTr="00D12EAD">
        <w:tc>
          <w:tcPr>
            <w:tcW w:w="567" w:type="dxa"/>
          </w:tcPr>
          <w:p w14:paraId="1F04B56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BF4635E" w14:textId="77777777" w:rsidR="00420BC3" w:rsidRDefault="00420BC3" w:rsidP="00420BC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470E78">
              <w:rPr>
                <w:rFonts w:eastAsiaTheme="minorHAnsi"/>
                <w:color w:val="000000"/>
                <w:szCs w:val="24"/>
                <w:lang w:eastAsia="en-US"/>
              </w:rPr>
              <w:t>Inkomna</w:t>
            </w:r>
            <w:r w:rsidRPr="00A9638D">
              <w:rPr>
                <w:rFonts w:eastAsiaTheme="minorHAnsi"/>
                <w:color w:val="000000"/>
                <w:szCs w:val="24"/>
                <w:lang w:eastAsia="en-US"/>
              </w:rPr>
              <w:t xml:space="preserve"> EU-dokument anmäldes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</w:p>
          <w:p w14:paraId="12AFE1B9" w14:textId="395D6C39" w:rsidR="00134762" w:rsidRDefault="00420BC3" w:rsidP="00420BC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t xml:space="preserve">- </w:t>
            </w:r>
            <w:r w:rsidRPr="00420BC3">
              <w:t>Förslag till rådets beslut om partiellt upphävande av tillämpningen av avtalet mellan Europeiska unionen och Georgien om förenklat utfärdande av viseringar, COM(2024) 594</w:t>
            </w:r>
            <w:r w:rsidR="00857DFC">
              <w:t>.</w:t>
            </w:r>
            <w:r w:rsidRPr="009E13F1">
              <w:rPr>
                <w:u w:val="single"/>
              </w:rPr>
              <w:br/>
            </w:r>
            <w:r>
              <w:t xml:space="preserve">- </w:t>
            </w:r>
            <w:r w:rsidRPr="00420BC3">
              <w:t>Annotering från Justitiedepartementet inför skriftligt samråd med EU-nämnden om partiellt upphävande av tillämpningen av avtalet med Georgien om förenklat utfärdande av viseringar</w:t>
            </w:r>
            <w:r w:rsidR="00857DFC">
              <w:t>.</w:t>
            </w:r>
            <w:r w:rsidRPr="009E13F1">
              <w:rPr>
                <w:i/>
                <w:iCs/>
              </w:rPr>
              <w:br/>
            </w:r>
            <w:r>
              <w:t xml:space="preserve">- </w:t>
            </w:r>
            <w:r w:rsidRPr="00420BC3">
              <w:t>Meddelande om motverkande av hybridhot från användning av migration som vapen och om förstärkning av säkerheten vid EU:s yttre gränser, COM(2024) 570</w:t>
            </w:r>
            <w:r w:rsidR="00857DFC">
              <w:t>.</w:t>
            </w:r>
            <w:r w:rsidRPr="009E13F1">
              <w:rPr>
                <w:u w:val="single"/>
              </w:rPr>
              <w:br/>
            </w:r>
            <w:r>
              <w:t xml:space="preserve">- </w:t>
            </w:r>
            <w:r w:rsidRPr="00420BC3">
              <w:t>Dagordning för informellt RIF-råd den 30–31 januari 2025</w:t>
            </w:r>
            <w:r w:rsidR="00857DFC">
              <w:t>.</w:t>
            </w:r>
            <w:r w:rsidRPr="009E13F1">
              <w:rPr>
                <w:u w:val="single"/>
              </w:rPr>
              <w:br/>
            </w:r>
            <w:r>
              <w:t xml:space="preserve">- </w:t>
            </w:r>
            <w:r w:rsidRPr="00420BC3">
              <w:t>Underlagsdokument om migration inför informellt RIF-råd den 30–31 januari 2025</w:t>
            </w:r>
            <w:r>
              <w:t>.</w:t>
            </w:r>
          </w:p>
        </w:tc>
      </w:tr>
      <w:tr w:rsidR="00134762" w14:paraId="1C4895FA" w14:textId="77777777" w:rsidTr="00D12EAD">
        <w:tc>
          <w:tcPr>
            <w:tcW w:w="567" w:type="dxa"/>
          </w:tcPr>
          <w:p w14:paraId="607D3301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E1A9165" w14:textId="292670FF" w:rsidR="00134762" w:rsidRDefault="00134762" w:rsidP="00420BC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26788694" w14:textId="77777777" w:rsidTr="00D12EAD">
        <w:tc>
          <w:tcPr>
            <w:tcW w:w="567" w:type="dxa"/>
          </w:tcPr>
          <w:p w14:paraId="1D349AF6" w14:textId="1898D96F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7522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062981A6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015F6C37" w14:textId="4FB91742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0ABE1872" w14:textId="4324799C" w:rsidR="002E0423" w:rsidRDefault="002E0423" w:rsidP="00134762">
            <w:pPr>
              <w:tabs>
                <w:tab w:val="left" w:pos="1701"/>
              </w:tabs>
            </w:pPr>
            <w:r>
              <w:t xml:space="preserve">Kanslichefen informerade om att </w:t>
            </w:r>
            <w:r w:rsidRPr="00907FA7">
              <w:t>generaldirektören</w:t>
            </w:r>
            <w:r>
              <w:t xml:space="preserve"> för IOM (International Organisation for Migration) besöker socialförsäkringsutskottet och </w:t>
            </w:r>
            <w:r w:rsidRPr="002E0423">
              <w:t>utrikesutskottet</w:t>
            </w:r>
            <w:r>
              <w:t xml:space="preserve"> tisdagen den 18 februari kl. 09.45</w:t>
            </w:r>
            <w:r w:rsidR="000B69F2">
              <w:t>–</w:t>
            </w:r>
            <w:r>
              <w:t xml:space="preserve">10.45 för att </w:t>
            </w:r>
            <w:r w:rsidRPr="00907FA7">
              <w:t>diskutera det breda strategiska samarbetet mellan Sverige och IOM.</w:t>
            </w:r>
          </w:p>
          <w:p w14:paraId="2D2790A3" w14:textId="77777777" w:rsidR="00803525" w:rsidRDefault="00803525" w:rsidP="00134762">
            <w:pPr>
              <w:tabs>
                <w:tab w:val="left" w:pos="1701"/>
              </w:tabs>
            </w:pPr>
          </w:p>
          <w:p w14:paraId="1626AA3D" w14:textId="4F50D50B" w:rsidR="008A4843" w:rsidRDefault="00803525" w:rsidP="008A4843">
            <w:r>
              <w:t>Kanslichefen informerade om att</w:t>
            </w:r>
            <w:r w:rsidR="008A4843">
              <w:t xml:space="preserve"> </w:t>
            </w:r>
            <w:r w:rsidR="008A4843" w:rsidRPr="00907FA7">
              <w:t>Korea Women’s Development Institut</w:t>
            </w:r>
            <w:r w:rsidR="008A4843">
              <w:t>e</w:t>
            </w:r>
            <w:r w:rsidR="008A4843" w:rsidRPr="00907FA7">
              <w:t xml:space="preserve"> </w:t>
            </w:r>
            <w:r w:rsidR="008A4843">
              <w:t>(</w:t>
            </w:r>
            <w:r w:rsidR="008A4843" w:rsidRPr="00907FA7">
              <w:t>KWDI</w:t>
            </w:r>
            <w:r w:rsidR="008A4843">
              <w:t>)</w:t>
            </w:r>
            <w:r w:rsidR="008A4843" w:rsidRPr="00907FA7">
              <w:t xml:space="preserve"> </w:t>
            </w:r>
            <w:r w:rsidR="008A4843">
              <w:t>besöker socialförsäkringsutskottet och arbetsmarknadsutskottet tisdagen den 18 februari kl. 13.00</w:t>
            </w:r>
            <w:r w:rsidR="000B69F2">
              <w:t>–</w:t>
            </w:r>
            <w:r w:rsidR="008A4843">
              <w:t xml:space="preserve">14.00 för att bland annat diskutera </w:t>
            </w:r>
            <w:r w:rsidR="008A4843" w:rsidRPr="00907FA7">
              <w:t>finansieringen av socialförsäkringar som främjar jämställdhet – i</w:t>
            </w:r>
            <w:r w:rsidR="000B69F2">
              <w:t xml:space="preserve"> </w:t>
            </w:r>
            <w:r w:rsidR="008A4843" w:rsidRPr="00907FA7">
              <w:t>dag och historiskt</w:t>
            </w:r>
            <w:r w:rsidR="008A4843">
              <w:t>.</w:t>
            </w:r>
          </w:p>
          <w:p w14:paraId="0EF1077E" w14:textId="77777777" w:rsidR="002E0423" w:rsidRDefault="002E0423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5E5700F2" w14:textId="6B09EEFF" w:rsidR="002E0423" w:rsidRDefault="002E0423" w:rsidP="002E0423">
            <w:pPr>
              <w:tabs>
                <w:tab w:val="left" w:pos="1701"/>
              </w:tabs>
            </w:pPr>
            <w:r w:rsidRPr="002E0423">
              <w:t xml:space="preserve">Kanslichefen informerade om </w:t>
            </w:r>
            <w:r>
              <w:t xml:space="preserve">att </w:t>
            </w:r>
            <w:r w:rsidRPr="002E0423">
              <w:t>utskottet är inbjuden att delta vid utrikesutskottet</w:t>
            </w:r>
            <w:r w:rsidR="000B69F2">
              <w:t>s</w:t>
            </w:r>
            <w:r w:rsidRPr="002E0423">
              <w:t xml:space="preserve"> offentliga sammanträde där Sveriges EU-kommissionär Jessika Roswall föredrar kommissionens arbetsprogram 2025 tisdagen den 25 februari kl. 13.00</w:t>
            </w:r>
            <w:r w:rsidR="000B69F2">
              <w:t>–</w:t>
            </w:r>
            <w:r w:rsidRPr="002E0423">
              <w:t>14.30 i Förstakammarsalen.</w:t>
            </w:r>
          </w:p>
          <w:p w14:paraId="7F4F4BE1" w14:textId="201EE808" w:rsidR="00F411D3" w:rsidRDefault="00F411D3" w:rsidP="002E0423">
            <w:pPr>
              <w:tabs>
                <w:tab w:val="left" w:pos="1701"/>
              </w:tabs>
            </w:pPr>
          </w:p>
          <w:p w14:paraId="5CB846F5" w14:textId="4075CB3F" w:rsidR="00F411D3" w:rsidRPr="002E0423" w:rsidRDefault="00F411D3" w:rsidP="002E0423">
            <w:pPr>
              <w:tabs>
                <w:tab w:val="left" w:pos="1701"/>
              </w:tabs>
            </w:pPr>
            <w:r>
              <w:t>Utskottet enades om att ha en tillställning tisdagen den 25 februari 2025.</w:t>
            </w:r>
          </w:p>
          <w:p w14:paraId="307938F5" w14:textId="77777777" w:rsidR="00134762" w:rsidRDefault="00134762" w:rsidP="0065329B">
            <w:pPr>
              <w:tabs>
                <w:tab w:val="left" w:pos="1701"/>
              </w:tabs>
              <w:rPr>
                <w:snapToGrid w:val="0"/>
              </w:rPr>
            </w:pPr>
          </w:p>
          <w:p w14:paraId="28ACC1D7" w14:textId="77777777" w:rsidR="00202D33" w:rsidRDefault="00202D33" w:rsidP="0065329B">
            <w:pPr>
              <w:tabs>
                <w:tab w:val="left" w:pos="1701"/>
              </w:tabs>
              <w:rPr>
                <w:snapToGrid w:val="0"/>
              </w:rPr>
            </w:pPr>
          </w:p>
          <w:p w14:paraId="236AB4C5" w14:textId="77777777" w:rsidR="00202D33" w:rsidRDefault="00202D33" w:rsidP="0065329B">
            <w:pPr>
              <w:tabs>
                <w:tab w:val="left" w:pos="1701"/>
              </w:tabs>
              <w:rPr>
                <w:snapToGrid w:val="0"/>
              </w:rPr>
            </w:pPr>
          </w:p>
          <w:p w14:paraId="44C72238" w14:textId="069529A1" w:rsidR="00202D33" w:rsidRPr="00F93B25" w:rsidRDefault="00202D33" w:rsidP="0065329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6282BFC9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FF7522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21F84A18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134762">
              <w:rPr>
                <w:snapToGrid w:val="0"/>
              </w:rPr>
              <w:t>ästa sammanträde äg</w:t>
            </w:r>
            <w:r>
              <w:rPr>
                <w:snapToGrid w:val="0"/>
              </w:rPr>
              <w:t>er</w:t>
            </w:r>
            <w:r w:rsidR="00134762">
              <w:rPr>
                <w:snapToGrid w:val="0"/>
              </w:rPr>
              <w:t xml:space="preserve"> rum </w:t>
            </w:r>
            <w:r w:rsidR="00420BC3">
              <w:rPr>
                <w:snapToGrid w:val="0"/>
              </w:rPr>
              <w:t xml:space="preserve">torsdagen </w:t>
            </w:r>
            <w:r w:rsidR="00134762">
              <w:rPr>
                <w:snapToGrid w:val="0"/>
              </w:rPr>
              <w:t xml:space="preserve">den </w:t>
            </w:r>
            <w:r w:rsidR="00FF7522">
              <w:rPr>
                <w:snapToGrid w:val="0"/>
              </w:rPr>
              <w:t>13 februari</w:t>
            </w:r>
            <w:r w:rsidR="00134762">
              <w:rPr>
                <w:snapToGrid w:val="0"/>
              </w:rPr>
              <w:t xml:space="preserve"> 202</w:t>
            </w:r>
            <w:r w:rsidR="002B6C96">
              <w:rPr>
                <w:snapToGrid w:val="0"/>
              </w:rPr>
              <w:t>5</w:t>
            </w:r>
            <w:r w:rsidR="00134762">
              <w:rPr>
                <w:snapToGrid w:val="0"/>
              </w:rPr>
              <w:t xml:space="preserve"> kl. </w:t>
            </w:r>
            <w:r w:rsidR="00FF7522">
              <w:rPr>
                <w:snapToGrid w:val="0"/>
              </w:rPr>
              <w:t>10.00</w:t>
            </w:r>
            <w:r w:rsidR="00134762">
              <w:rPr>
                <w:snapToGrid w:val="0"/>
              </w:rPr>
              <w:t>.</w:t>
            </w:r>
          </w:p>
          <w:p w14:paraId="579FEF7E" w14:textId="2DB38E04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583D12D9" w14:textId="77777777" w:rsidR="00134762" w:rsidRPr="00F93B25" w:rsidRDefault="00134762" w:rsidP="00FF752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623F6987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den </w:t>
            </w:r>
            <w:r w:rsidR="00FF7522">
              <w:t>13 februari</w:t>
            </w:r>
            <w:r>
              <w:t xml:space="preserve"> 202</w:t>
            </w:r>
            <w:r w:rsidR="002B6C96">
              <w:t>5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46AA9809" w:rsidR="00BE5542" w:rsidRDefault="00BE5542" w:rsidP="00487A46">
            <w:r w:rsidRPr="00D63D85">
              <w:t>202</w:t>
            </w:r>
            <w:r w:rsidR="00F10029" w:rsidRPr="00D63D85">
              <w:t>4</w:t>
            </w:r>
            <w:r w:rsidRPr="00D63D85">
              <w:t>/2</w:t>
            </w:r>
            <w:r w:rsidR="00F10029" w:rsidRPr="00D63D85">
              <w:t>5</w:t>
            </w:r>
            <w:r w:rsidRPr="00D63D85">
              <w:t>:</w:t>
            </w:r>
            <w:r w:rsidR="00F421D5">
              <w:t>13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4FA5B4A5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D63D85">
              <w:rPr>
                <w:sz w:val="22"/>
              </w:rPr>
              <w:t xml:space="preserve"> 1-4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230FF7E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D63D85">
              <w:rPr>
                <w:sz w:val="22"/>
              </w:rPr>
              <w:t xml:space="preserve"> 5-10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0C6A08F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5AE7422D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74E28CA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323A56AE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031C28A8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r w:rsidR="00BE5542">
              <w:rPr>
                <w:snapToGrid w:val="0"/>
                <w:szCs w:val="22"/>
                <w:lang w:val="en-GB" w:eastAsia="en-US"/>
              </w:rPr>
              <w:t>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2F8BFB78" w:rsidR="00BE5542" w:rsidRDefault="00D63D8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283AF5D3" w:rsidR="00BE5542" w:rsidRDefault="00D63D8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8378F7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202D33">
              <w:rPr>
                <w:szCs w:val="22"/>
                <w:lang w:val="en-GB" w:eastAsia="en-US"/>
              </w:rPr>
              <w:t>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78F56136" w:rsidR="00BE5542" w:rsidRPr="001E1FAC" w:rsidRDefault="00D63D8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789F5258" w:rsidR="00BE5542" w:rsidRPr="001E1FAC" w:rsidRDefault="00D63D8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1326F262" w:rsidR="00BE5542" w:rsidRPr="00E70A95" w:rsidRDefault="00D63D8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5055A9F1" w:rsidR="00BE5542" w:rsidRPr="00E70A95" w:rsidRDefault="00D63D8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582D492E" w:rsidR="00BE5542" w:rsidRPr="00E70A95" w:rsidRDefault="00D63D8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20B8104A" w:rsidR="00BE5542" w:rsidRPr="00E70A95" w:rsidRDefault="00D63D8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5C5D50A9" w:rsidR="00BE5542" w:rsidRPr="00E70A95" w:rsidRDefault="00D63D8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15FCDD07" w:rsidR="00BE5542" w:rsidRPr="00E70A95" w:rsidRDefault="00D63D8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02EC5344" w:rsidR="00BE5542" w:rsidRPr="00E70A95" w:rsidRDefault="00D63D8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2F817F49" w:rsidR="00BE5542" w:rsidRPr="00E70A95" w:rsidRDefault="00D63D8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3F431273" w:rsidR="00BE5542" w:rsidRPr="00E70A95" w:rsidRDefault="00D63D8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780D40F2" w:rsidR="00BE5542" w:rsidRPr="00E70A95" w:rsidRDefault="00D63D8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2485BFA4" w:rsidR="00BE5542" w:rsidRPr="00E70A95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0B2788D8" w:rsidR="00BE5542" w:rsidRPr="00E70A95" w:rsidRDefault="00D63D8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1526440C" w:rsidR="00BE5542" w:rsidRPr="00E70A95" w:rsidRDefault="00D63D8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06B98064" w:rsidR="00BE5542" w:rsidRPr="00E70A95" w:rsidRDefault="00D63D8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013CD0E3" w:rsidR="00BE5542" w:rsidRPr="00E70A95" w:rsidRDefault="00D63D8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157F3F78" w:rsidR="00BE5542" w:rsidRPr="00E70A95" w:rsidRDefault="00D63D8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3A2D91BD" w:rsidR="00BE5542" w:rsidRPr="00E70A95" w:rsidRDefault="00D63D8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4DB2887A" w:rsidR="00BE5542" w:rsidRPr="00E70A95" w:rsidRDefault="00D63D8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693BE784" w:rsidR="00BE5542" w:rsidRPr="00E70A95" w:rsidRDefault="00D63D8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552A9EC3" w:rsidR="00BE5542" w:rsidRPr="00E70A95" w:rsidRDefault="00D63D8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01F08C3E" w:rsidR="00BE5542" w:rsidRPr="00E70A95" w:rsidRDefault="00D63D8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5F199500" w:rsidR="00BE5542" w:rsidRPr="00E70A95" w:rsidRDefault="00D63D8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2CFD0689" w:rsidR="00BE5542" w:rsidRPr="00E70A95" w:rsidRDefault="00D63D8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01F81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73760BFF" w:rsidR="00BE5542" w:rsidRPr="00E01F81" w:rsidRDefault="00D63D8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4A5EAC19" w:rsidR="00BE5542" w:rsidRPr="00E01F81" w:rsidRDefault="00D63D8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647024F1" w:rsidR="00BE5542" w:rsidRPr="00B85ECC" w:rsidRDefault="00C6008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C60083">
              <w:rPr>
                <w:szCs w:val="22"/>
                <w:lang w:val="en-GB" w:eastAsia="en-US"/>
              </w:rPr>
              <w:t>Märta Stenevi</w:t>
            </w:r>
            <w:r>
              <w:rPr>
                <w:szCs w:val="22"/>
                <w:lang w:val="en-GB" w:eastAsia="en-US"/>
              </w:rPr>
              <w:t xml:space="preserve"> </w:t>
            </w:r>
            <w:r w:rsidR="00B85ECC" w:rsidRPr="00B85ECC">
              <w:rPr>
                <w:szCs w:val="22"/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12B71E2A" w:rsidR="00BE5542" w:rsidRPr="00E70A95" w:rsidRDefault="00D63D8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373A15AF" w:rsidR="00BE5542" w:rsidRPr="00E70A95" w:rsidRDefault="00D63D8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160CF3B9" w:rsidR="00BE5542" w:rsidRPr="00E70A95" w:rsidRDefault="00D63D8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5E77DBDA" w:rsidR="00BE5542" w:rsidRPr="00E70A95" w:rsidRDefault="00D63D8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09EEB81B" w:rsidR="00BE5542" w:rsidRPr="0078232D" w:rsidRDefault="00D63D8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7F14DD39" w:rsidR="00BE5542" w:rsidRPr="0078232D" w:rsidRDefault="00D63D8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2619AA9E" w:rsidR="00BE5542" w:rsidRPr="0078232D" w:rsidRDefault="00D63D8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41D40D73" w:rsidR="00BE5542" w:rsidRPr="0078232D" w:rsidRDefault="00D63D8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Vakant</w:t>
            </w:r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41B33BD3" w:rsidR="00BE5542" w:rsidRPr="0078232D" w:rsidRDefault="00D63D8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1AD03D80" w:rsidR="00BE5542" w:rsidRPr="0078232D" w:rsidRDefault="00D63D85" w:rsidP="00D63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77777777" w:rsidR="00BE5542" w:rsidRPr="00BB38A5" w:rsidRDefault="00BE5542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77777777" w:rsidR="00BE5542" w:rsidRDefault="00BE5542" w:rsidP="00487A46">
            <w:r>
              <w:rPr>
                <w:lang w:val="en-GB" w:eastAsia="en-US"/>
              </w:rPr>
              <w:t>Robert Hannah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</w:t>
            </w:r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446F6E3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1218A4" w:rsidRPr="008E3845" w:rsidRDefault="001218A4" w:rsidP="00487A46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27E0" w14:paraId="76154AC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C9A4" w14:textId="36D5F6C6" w:rsidR="007927E0" w:rsidRPr="00E9564B" w:rsidRDefault="007927E0" w:rsidP="00487A46">
            <w:pPr>
              <w:rPr>
                <w:lang w:val="en-GB" w:eastAsia="en-US"/>
              </w:rPr>
            </w:pPr>
            <w:r w:rsidRPr="007927E0">
              <w:rPr>
                <w:lang w:val="en-GB" w:eastAsia="en-US"/>
              </w:rPr>
              <w:t>Björn Petersson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9B7B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7DBF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EDD8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3FB3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93C4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8299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EA7E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C57C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EB34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1CD5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E348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B12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5A2E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6BFA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1F64" w14:paraId="34083A9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CD6D" w14:textId="1A1B6605" w:rsidR="00131F64" w:rsidRPr="001218A4" w:rsidRDefault="00E9564B" w:rsidP="00487A46">
            <w:pPr>
              <w:rPr>
                <w:lang w:val="en-GB" w:eastAsia="en-US"/>
              </w:rPr>
            </w:pPr>
            <w:bookmarkStart w:id="1" w:name="_Hlk176270305"/>
            <w:r w:rsidRPr="00E9564B">
              <w:rPr>
                <w:lang w:val="en-GB" w:eastAsia="en-US"/>
              </w:rPr>
              <w:t>Mats Sander</w:t>
            </w:r>
            <w:r>
              <w:rPr>
                <w:lang w:val="en-GB" w:eastAsia="en-US"/>
              </w:rPr>
              <w:t xml:space="preserve"> </w:t>
            </w:r>
            <w:r w:rsidR="00131F64" w:rsidRPr="00131F64">
              <w:rPr>
                <w:lang w:val="en-GB" w:eastAsia="en-US"/>
              </w:rPr>
              <w:t>(M)</w:t>
            </w:r>
            <w:bookmarkEnd w:id="1"/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9C74" w14:textId="140AF1FC" w:rsidR="00131F64" w:rsidRPr="0078232D" w:rsidRDefault="00D63D85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B70E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4E4E" w14:textId="02F20C58" w:rsidR="00131F64" w:rsidRPr="0078232D" w:rsidRDefault="00D63D85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F0D9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8348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41D0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AE8B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C625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1D08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A076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9F91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4934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2D53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B667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A47CF"/>
    <w:multiLevelType w:val="hybridMultilevel"/>
    <w:tmpl w:val="17BA8B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83E"/>
    <w:rsid w:val="00043563"/>
    <w:rsid w:val="00043E0A"/>
    <w:rsid w:val="00064405"/>
    <w:rsid w:val="00073002"/>
    <w:rsid w:val="000910E8"/>
    <w:rsid w:val="0009468C"/>
    <w:rsid w:val="000A06A0"/>
    <w:rsid w:val="000A10F5"/>
    <w:rsid w:val="000B2293"/>
    <w:rsid w:val="000B500A"/>
    <w:rsid w:val="000B69F2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05702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80AF8"/>
    <w:rsid w:val="00186BCD"/>
    <w:rsid w:val="0019207A"/>
    <w:rsid w:val="0019469E"/>
    <w:rsid w:val="0019552A"/>
    <w:rsid w:val="001967F8"/>
    <w:rsid w:val="001A1578"/>
    <w:rsid w:val="001B463E"/>
    <w:rsid w:val="001C74B4"/>
    <w:rsid w:val="001E1FAC"/>
    <w:rsid w:val="001F67F5"/>
    <w:rsid w:val="00202D07"/>
    <w:rsid w:val="00202D33"/>
    <w:rsid w:val="002174A8"/>
    <w:rsid w:val="002348E1"/>
    <w:rsid w:val="00234C17"/>
    <w:rsid w:val="002373C0"/>
    <w:rsid w:val="00245992"/>
    <w:rsid w:val="00246D79"/>
    <w:rsid w:val="00246FAC"/>
    <w:rsid w:val="002544E0"/>
    <w:rsid w:val="0025581D"/>
    <w:rsid w:val="00256C69"/>
    <w:rsid w:val="002624FF"/>
    <w:rsid w:val="002651A4"/>
    <w:rsid w:val="00274266"/>
    <w:rsid w:val="00275CD2"/>
    <w:rsid w:val="00277F93"/>
    <w:rsid w:val="00296D10"/>
    <w:rsid w:val="002B1854"/>
    <w:rsid w:val="002B51DB"/>
    <w:rsid w:val="002B6C96"/>
    <w:rsid w:val="002D2AB5"/>
    <w:rsid w:val="002E0423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0BC3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5329B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927E0"/>
    <w:rsid w:val="007B4ADD"/>
    <w:rsid w:val="007D2629"/>
    <w:rsid w:val="007E4B5A"/>
    <w:rsid w:val="007F2EDA"/>
    <w:rsid w:val="007F6B0D"/>
    <w:rsid w:val="00803525"/>
    <w:rsid w:val="00815B5B"/>
    <w:rsid w:val="00820AC7"/>
    <w:rsid w:val="00834B38"/>
    <w:rsid w:val="00835DF4"/>
    <w:rsid w:val="008378F7"/>
    <w:rsid w:val="008557FA"/>
    <w:rsid w:val="00857DFC"/>
    <w:rsid w:val="0086262B"/>
    <w:rsid w:val="0087359E"/>
    <w:rsid w:val="008808A5"/>
    <w:rsid w:val="00892EA8"/>
    <w:rsid w:val="008A29B8"/>
    <w:rsid w:val="008A4843"/>
    <w:rsid w:val="008C28E0"/>
    <w:rsid w:val="008C2DE4"/>
    <w:rsid w:val="008C68ED"/>
    <w:rsid w:val="008D12B1"/>
    <w:rsid w:val="008F1A6E"/>
    <w:rsid w:val="008F4D68"/>
    <w:rsid w:val="008F656A"/>
    <w:rsid w:val="00902858"/>
    <w:rsid w:val="00906C2D"/>
    <w:rsid w:val="009071E7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664B2"/>
    <w:rsid w:val="00B71BCD"/>
    <w:rsid w:val="00B722B3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6A0F"/>
    <w:rsid w:val="00C4713F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3D85"/>
    <w:rsid w:val="00D67826"/>
    <w:rsid w:val="00D77353"/>
    <w:rsid w:val="00D86979"/>
    <w:rsid w:val="00D87775"/>
    <w:rsid w:val="00D90620"/>
    <w:rsid w:val="00D90CDA"/>
    <w:rsid w:val="00D93637"/>
    <w:rsid w:val="00D96F98"/>
    <w:rsid w:val="00D9719F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2E7A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D7154"/>
    <w:rsid w:val="00EE30AF"/>
    <w:rsid w:val="00EE4CD3"/>
    <w:rsid w:val="00EE7FFE"/>
    <w:rsid w:val="00EF347B"/>
    <w:rsid w:val="00EF70DA"/>
    <w:rsid w:val="00F0569E"/>
    <w:rsid w:val="00F064EF"/>
    <w:rsid w:val="00F10029"/>
    <w:rsid w:val="00F236AC"/>
    <w:rsid w:val="00F2511E"/>
    <w:rsid w:val="00F37A94"/>
    <w:rsid w:val="00F411D3"/>
    <w:rsid w:val="00F421D5"/>
    <w:rsid w:val="00F46F5A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  <w:rsid w:val="00FF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714</TotalTime>
  <Pages>5</Pages>
  <Words>627</Words>
  <Characters>4465</Characters>
  <Application>Microsoft Office Word</Application>
  <DocSecurity>0</DocSecurity>
  <Lines>1116</Lines>
  <Paragraphs>231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Kari Hasselberg</cp:lastModifiedBy>
  <cp:revision>46</cp:revision>
  <cp:lastPrinted>2025-01-28T14:01:00Z</cp:lastPrinted>
  <dcterms:created xsi:type="dcterms:W3CDTF">2023-07-27T13:26:00Z</dcterms:created>
  <dcterms:modified xsi:type="dcterms:W3CDTF">2025-02-10T11:32:00Z</dcterms:modified>
</cp:coreProperties>
</file>