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100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28 april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Särskild debatt med anledning av IPCC:s rapport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2022/23:FPM80 Direktiv om verifiering och kommunikation om uttryckliga miljöpåståenden </w:t>
            </w:r>
            <w:r>
              <w:rPr>
                <w:i/>
                <w:iCs/>
                <w:rtl w:val="0"/>
              </w:rPr>
              <w:t>COM(2023) 166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2023:8 Regeringens styrning av samhällets informations- och cybersäkerhet – både brådskande och viktig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2022/23:102 Genomförande av ändringarna i vapendirektivet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2022/23:2379 av Ulrika Liljeberg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2022/23:SkU16 Vissa förfarandefrågor för elstöd till företag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Energi- och näringsminister Ebba Busch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2022/23:312 av Marielle Lahti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lägre elkostnader kommande vinter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Andreas Carlson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2022/23:319 av Jamal El-Haj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Öresundsmetron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2022/23:321 av Malcolm Momodou Jallow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Bostadspolitiken och situationen på bostadsmarknaden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28 april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2023-04-28</SAFIR_Sammantradesdatum_Doc>
    <SAFIR_SammantradeID xmlns="C07A1A6C-0B19-41D9-BDF8-F523BA3921EB">f7da3a2b-e590-4dc3-9210-b0830524ea8a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A10ECA-CE53-4942-A54F-EDC4575523C7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28 april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