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55C66841"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1925F5">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8A01310" w:rsidR="00F65DF8" w:rsidRPr="0012669A" w:rsidRDefault="00D46F51" w:rsidP="005F596C">
            <w:r w:rsidRPr="0012669A">
              <w:t>20</w:t>
            </w:r>
            <w:r w:rsidR="00F053F8" w:rsidRPr="0012669A">
              <w:t>2</w:t>
            </w:r>
            <w:r w:rsidR="001B3B27">
              <w:t>3</w:t>
            </w:r>
            <w:r w:rsidRPr="0012669A">
              <w:t>-</w:t>
            </w:r>
            <w:r w:rsidR="007030D7">
              <w:t>10</w:t>
            </w:r>
            <w:r w:rsidR="004D2A50">
              <w:t>-</w:t>
            </w:r>
            <w:r w:rsidR="00DA4267">
              <w:t>1</w:t>
            </w:r>
            <w:r w:rsidR="001925F5">
              <w:t>9</w:t>
            </w:r>
          </w:p>
        </w:tc>
      </w:tr>
      <w:tr w:rsidR="00617E79" w:rsidRPr="0012669A" w14:paraId="6D496F12" w14:textId="77777777" w:rsidTr="008B7A6E">
        <w:tc>
          <w:tcPr>
            <w:tcW w:w="2057" w:type="dxa"/>
          </w:tcPr>
          <w:p w14:paraId="322CB7CF" w14:textId="1DD775ED" w:rsidR="00F65DF8" w:rsidRPr="0012669A" w:rsidRDefault="00F65DF8" w:rsidP="00F65DF8">
            <w:r w:rsidRPr="0012669A">
              <w:t>TID</w:t>
            </w:r>
          </w:p>
        </w:tc>
        <w:tc>
          <w:tcPr>
            <w:tcW w:w="6391" w:type="dxa"/>
          </w:tcPr>
          <w:p w14:paraId="78945337" w14:textId="28FC39ED" w:rsidR="00134D73" w:rsidRPr="0012669A" w:rsidRDefault="0090760E" w:rsidP="008C57B9">
            <w:r>
              <w:t>1</w:t>
            </w:r>
            <w:r w:rsidR="001925F5">
              <w:t>0</w:t>
            </w:r>
            <w:r w:rsidR="006A30F1">
              <w:t>.</w:t>
            </w:r>
            <w:r>
              <w:t>0</w:t>
            </w:r>
            <w:r w:rsidR="00AC75E3">
              <w:t>0</w:t>
            </w:r>
            <w:r w:rsidR="0073639C">
              <w:t>–</w:t>
            </w:r>
            <w:r w:rsidR="009C36EC">
              <w:t>1</w:t>
            </w:r>
            <w:r w:rsidR="00BC014F">
              <w:t>1.20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E1552E" w:rsidRPr="0012669A" w14:paraId="3E383414" w14:textId="77777777" w:rsidTr="00D7630C">
        <w:trPr>
          <w:trHeight w:val="950"/>
        </w:trPr>
        <w:tc>
          <w:tcPr>
            <w:tcW w:w="567" w:type="dxa"/>
          </w:tcPr>
          <w:p w14:paraId="5B3E3192" w14:textId="09CE80DC" w:rsidR="00E1552E" w:rsidRDefault="00E1552E" w:rsidP="00DC0D46">
            <w:pPr>
              <w:tabs>
                <w:tab w:val="left" w:pos="1701"/>
              </w:tabs>
              <w:rPr>
                <w:b/>
                <w:snapToGrid w:val="0"/>
              </w:rPr>
            </w:pPr>
            <w:r>
              <w:rPr>
                <w:b/>
                <w:snapToGrid w:val="0"/>
              </w:rPr>
              <w:t xml:space="preserve">§ </w:t>
            </w:r>
            <w:r w:rsidR="0090760E">
              <w:rPr>
                <w:b/>
                <w:snapToGrid w:val="0"/>
              </w:rPr>
              <w:t>1</w:t>
            </w:r>
          </w:p>
        </w:tc>
        <w:tc>
          <w:tcPr>
            <w:tcW w:w="7162" w:type="dxa"/>
          </w:tcPr>
          <w:p w14:paraId="7647FCC2" w14:textId="77777777" w:rsidR="0090760E" w:rsidRDefault="00BA0945" w:rsidP="0090760E">
            <w:pPr>
              <w:widowControl w:val="0"/>
              <w:tabs>
                <w:tab w:val="left" w:pos="1701"/>
              </w:tabs>
              <w:rPr>
                <w:b/>
                <w:bCs/>
                <w:iCs/>
              </w:rPr>
            </w:pPr>
            <w:r w:rsidRPr="00BA0945">
              <w:rPr>
                <w:b/>
                <w:bCs/>
                <w:iCs/>
              </w:rPr>
              <w:t>Justering av protokoll</w:t>
            </w:r>
          </w:p>
          <w:p w14:paraId="403644C0" w14:textId="77777777" w:rsidR="00BA0945" w:rsidRDefault="00BA0945" w:rsidP="0090760E">
            <w:pPr>
              <w:widowControl w:val="0"/>
              <w:tabs>
                <w:tab w:val="left" w:pos="1701"/>
              </w:tabs>
              <w:rPr>
                <w:b/>
                <w:bCs/>
                <w:iCs/>
              </w:rPr>
            </w:pPr>
          </w:p>
          <w:p w14:paraId="354CC29C" w14:textId="4EFB4B21" w:rsidR="00BA0945" w:rsidRDefault="00BA0945" w:rsidP="0090760E">
            <w:pPr>
              <w:widowControl w:val="0"/>
              <w:tabs>
                <w:tab w:val="left" w:pos="1701"/>
              </w:tabs>
              <w:rPr>
                <w:iCs/>
              </w:rPr>
            </w:pPr>
            <w:r w:rsidRPr="00BA0945">
              <w:rPr>
                <w:iCs/>
              </w:rPr>
              <w:t>Utskottet justerade protokoll 202</w:t>
            </w:r>
            <w:r>
              <w:rPr>
                <w:iCs/>
              </w:rPr>
              <w:t>3</w:t>
            </w:r>
            <w:r w:rsidRPr="00BA0945">
              <w:rPr>
                <w:iCs/>
              </w:rPr>
              <w:t>/2</w:t>
            </w:r>
            <w:r>
              <w:rPr>
                <w:iCs/>
              </w:rPr>
              <w:t>4</w:t>
            </w:r>
            <w:r w:rsidRPr="00BA0945">
              <w:rPr>
                <w:iCs/>
              </w:rPr>
              <w:t>:</w:t>
            </w:r>
            <w:r w:rsidR="001925F5">
              <w:rPr>
                <w:iCs/>
              </w:rPr>
              <w:t>5</w:t>
            </w:r>
            <w:r w:rsidRPr="00BA0945">
              <w:rPr>
                <w:iCs/>
              </w:rPr>
              <w:t xml:space="preserve">. </w:t>
            </w:r>
          </w:p>
          <w:p w14:paraId="7C009A9B" w14:textId="46653FC8" w:rsidR="00866781" w:rsidRPr="00BA0945" w:rsidRDefault="00866781" w:rsidP="0090760E">
            <w:pPr>
              <w:widowControl w:val="0"/>
              <w:tabs>
                <w:tab w:val="left" w:pos="1701"/>
              </w:tabs>
              <w:rPr>
                <w:iCs/>
              </w:rPr>
            </w:pPr>
          </w:p>
        </w:tc>
      </w:tr>
      <w:tr w:rsidR="001925F5" w:rsidRPr="0012669A" w14:paraId="2CD2A9FC" w14:textId="77777777" w:rsidTr="00D7630C">
        <w:trPr>
          <w:trHeight w:val="950"/>
        </w:trPr>
        <w:tc>
          <w:tcPr>
            <w:tcW w:w="567" w:type="dxa"/>
          </w:tcPr>
          <w:p w14:paraId="1390BAD9" w14:textId="69CC728A" w:rsidR="001925F5" w:rsidRDefault="001925F5" w:rsidP="00DC0D46">
            <w:pPr>
              <w:tabs>
                <w:tab w:val="left" w:pos="1701"/>
              </w:tabs>
              <w:rPr>
                <w:b/>
                <w:snapToGrid w:val="0"/>
              </w:rPr>
            </w:pPr>
            <w:r>
              <w:rPr>
                <w:b/>
                <w:snapToGrid w:val="0"/>
              </w:rPr>
              <w:t>§ 2</w:t>
            </w:r>
          </w:p>
        </w:tc>
        <w:tc>
          <w:tcPr>
            <w:tcW w:w="7162" w:type="dxa"/>
          </w:tcPr>
          <w:p w14:paraId="79234F9F" w14:textId="77777777" w:rsidR="001925F5" w:rsidRDefault="001925F5" w:rsidP="0090760E">
            <w:pPr>
              <w:widowControl w:val="0"/>
              <w:tabs>
                <w:tab w:val="left" w:pos="1701"/>
              </w:tabs>
              <w:rPr>
                <w:b/>
                <w:bCs/>
                <w:szCs w:val="23"/>
              </w:rPr>
            </w:pPr>
            <w:r w:rsidRPr="00B056D9">
              <w:rPr>
                <w:b/>
                <w:bCs/>
                <w:szCs w:val="23"/>
              </w:rPr>
              <w:t>Utgiftsramar för utgiftsområdena 19 Regional utveckling, 21 Energi och 24 Näringsliv</w:t>
            </w:r>
          </w:p>
          <w:p w14:paraId="76EB0D6E" w14:textId="2B4874A8" w:rsidR="00E2595C" w:rsidRPr="00E2595C" w:rsidRDefault="001925F5" w:rsidP="00E2595C">
            <w:pPr>
              <w:widowControl w:val="0"/>
              <w:tabs>
                <w:tab w:val="left" w:pos="1701"/>
              </w:tabs>
              <w:rPr>
                <w:iCs/>
              </w:rPr>
            </w:pPr>
            <w:r>
              <w:rPr>
                <w:szCs w:val="23"/>
              </w:rPr>
              <w:br/>
            </w:r>
            <w:r w:rsidR="00E2595C" w:rsidRPr="00E2595C">
              <w:rPr>
                <w:iCs/>
              </w:rPr>
              <w:t>Utskottet behandlade frågan om yttrande till finansutskottet över proposition 202</w:t>
            </w:r>
            <w:r w:rsidR="00E2595C">
              <w:rPr>
                <w:iCs/>
              </w:rPr>
              <w:t>2</w:t>
            </w:r>
            <w:r w:rsidR="00E2595C" w:rsidRPr="00E2595C">
              <w:rPr>
                <w:iCs/>
              </w:rPr>
              <w:t>/2</w:t>
            </w:r>
            <w:r w:rsidR="00E2595C">
              <w:rPr>
                <w:iCs/>
              </w:rPr>
              <w:t>3</w:t>
            </w:r>
            <w:r w:rsidR="00E2595C" w:rsidRPr="00E2595C">
              <w:rPr>
                <w:iCs/>
              </w:rPr>
              <w:t xml:space="preserve">:1 (budgetpropositionen) såvitt gäller budgetens utgiftsramar m.m. och motioner. </w:t>
            </w:r>
          </w:p>
          <w:p w14:paraId="326F3251" w14:textId="77777777" w:rsidR="00E2595C" w:rsidRPr="00E2595C" w:rsidRDefault="00E2595C" w:rsidP="00E2595C">
            <w:pPr>
              <w:widowControl w:val="0"/>
              <w:tabs>
                <w:tab w:val="left" w:pos="1701"/>
              </w:tabs>
              <w:rPr>
                <w:iCs/>
              </w:rPr>
            </w:pPr>
          </w:p>
          <w:p w14:paraId="6EEA22EB" w14:textId="77777777" w:rsidR="00E2595C" w:rsidRPr="00E2595C" w:rsidRDefault="00E2595C" w:rsidP="00E2595C">
            <w:pPr>
              <w:widowControl w:val="0"/>
              <w:tabs>
                <w:tab w:val="left" w:pos="1701"/>
              </w:tabs>
              <w:rPr>
                <w:iCs/>
              </w:rPr>
            </w:pPr>
            <w:r w:rsidRPr="00E2595C">
              <w:rPr>
                <w:iCs/>
              </w:rPr>
              <w:t xml:space="preserve">Utskottet beslutade att avge yttrande. </w:t>
            </w:r>
          </w:p>
          <w:p w14:paraId="274A74E1" w14:textId="77777777" w:rsidR="00E2595C" w:rsidRPr="00E2595C" w:rsidRDefault="00E2595C" w:rsidP="00E2595C">
            <w:pPr>
              <w:widowControl w:val="0"/>
              <w:tabs>
                <w:tab w:val="left" w:pos="1701"/>
              </w:tabs>
              <w:rPr>
                <w:iCs/>
              </w:rPr>
            </w:pPr>
          </w:p>
          <w:p w14:paraId="1EDA47AF" w14:textId="77777777" w:rsidR="001925F5" w:rsidRDefault="00E2595C" w:rsidP="00E2595C">
            <w:pPr>
              <w:widowControl w:val="0"/>
              <w:tabs>
                <w:tab w:val="left" w:pos="1701"/>
              </w:tabs>
              <w:rPr>
                <w:iCs/>
              </w:rPr>
            </w:pPr>
            <w:r w:rsidRPr="00E2595C">
              <w:rPr>
                <w:iCs/>
              </w:rPr>
              <w:t>Ärendet bordlades.</w:t>
            </w:r>
          </w:p>
          <w:p w14:paraId="325CCA89" w14:textId="15B0131F" w:rsidR="00E2595C" w:rsidRPr="00BA0945" w:rsidRDefault="00E2595C" w:rsidP="00E2595C">
            <w:pPr>
              <w:widowControl w:val="0"/>
              <w:tabs>
                <w:tab w:val="left" w:pos="1701"/>
              </w:tabs>
              <w:rPr>
                <w:b/>
                <w:bCs/>
                <w:iCs/>
              </w:rPr>
            </w:pPr>
          </w:p>
        </w:tc>
      </w:tr>
      <w:tr w:rsidR="001925F5" w:rsidRPr="0012669A" w14:paraId="3ECB325C" w14:textId="77777777" w:rsidTr="00D7630C">
        <w:trPr>
          <w:trHeight w:val="950"/>
        </w:trPr>
        <w:tc>
          <w:tcPr>
            <w:tcW w:w="567" w:type="dxa"/>
          </w:tcPr>
          <w:p w14:paraId="371B975E" w14:textId="52CF2EB4" w:rsidR="001925F5" w:rsidRDefault="001925F5" w:rsidP="00DC0D46">
            <w:pPr>
              <w:tabs>
                <w:tab w:val="left" w:pos="1701"/>
              </w:tabs>
              <w:rPr>
                <w:b/>
                <w:snapToGrid w:val="0"/>
              </w:rPr>
            </w:pPr>
            <w:r>
              <w:rPr>
                <w:b/>
                <w:snapToGrid w:val="0"/>
              </w:rPr>
              <w:t>§ 3</w:t>
            </w:r>
          </w:p>
        </w:tc>
        <w:tc>
          <w:tcPr>
            <w:tcW w:w="7162" w:type="dxa"/>
          </w:tcPr>
          <w:p w14:paraId="214DA54B" w14:textId="52EB6ADB" w:rsidR="001925F5" w:rsidRDefault="001925F5" w:rsidP="0090760E">
            <w:pPr>
              <w:widowControl w:val="0"/>
              <w:tabs>
                <w:tab w:val="left" w:pos="1701"/>
              </w:tabs>
              <w:rPr>
                <w:szCs w:val="23"/>
              </w:rPr>
            </w:pPr>
            <w:r w:rsidRPr="00CC6B9B">
              <w:rPr>
                <w:b/>
                <w:bCs/>
              </w:rPr>
              <w:t>Utgiftsområde 24 Näringsliv (NU1)</w:t>
            </w:r>
            <w:r w:rsidRPr="00CC6B9B">
              <w:rPr>
                <w:b/>
                <w:bCs/>
              </w:rPr>
              <w:br/>
            </w:r>
          </w:p>
          <w:p w14:paraId="165B5E6B" w14:textId="24BF1DEA" w:rsidR="001925F5" w:rsidRPr="00A92639" w:rsidRDefault="001925F5" w:rsidP="001925F5">
            <w:pPr>
              <w:widowControl w:val="0"/>
              <w:rPr>
                <w:bCs/>
              </w:rPr>
            </w:pPr>
            <w:r w:rsidRPr="00A92639">
              <w:rPr>
                <w:bCs/>
              </w:rPr>
              <w:t xml:space="preserve">Utskottet </w:t>
            </w:r>
            <w:r>
              <w:rPr>
                <w:bCs/>
              </w:rPr>
              <w:t>inledde beredningen av</w:t>
            </w:r>
            <w:r w:rsidRPr="00A92639">
              <w:rPr>
                <w:bCs/>
              </w:rPr>
              <w:t xml:space="preserve"> proposition 202</w:t>
            </w:r>
            <w:r>
              <w:rPr>
                <w:bCs/>
              </w:rPr>
              <w:t>3</w:t>
            </w:r>
            <w:r w:rsidRPr="00A92639">
              <w:rPr>
                <w:bCs/>
              </w:rPr>
              <w:t>/2</w:t>
            </w:r>
            <w:r>
              <w:rPr>
                <w:bCs/>
              </w:rPr>
              <w:t>4</w:t>
            </w:r>
            <w:r w:rsidRPr="00A92639">
              <w:rPr>
                <w:bCs/>
              </w:rPr>
              <w:t>:1 (budgetpropositionen) såvitt gäller utgiftsområde 24 Näringsliv och motioner.</w:t>
            </w:r>
          </w:p>
          <w:p w14:paraId="4A41ED10" w14:textId="77777777" w:rsidR="001925F5" w:rsidRPr="00A92639" w:rsidRDefault="001925F5" w:rsidP="001925F5">
            <w:pPr>
              <w:widowControl w:val="0"/>
              <w:rPr>
                <w:bCs/>
              </w:rPr>
            </w:pPr>
          </w:p>
          <w:p w14:paraId="5E304F82" w14:textId="77777777" w:rsidR="001925F5" w:rsidRDefault="001925F5" w:rsidP="001925F5">
            <w:pPr>
              <w:widowControl w:val="0"/>
              <w:rPr>
                <w:bCs/>
              </w:rPr>
            </w:pPr>
            <w:r w:rsidRPr="00A92639">
              <w:rPr>
                <w:bCs/>
              </w:rPr>
              <w:t>Ärendet bordlades.</w:t>
            </w:r>
          </w:p>
          <w:p w14:paraId="388AC598" w14:textId="2C6F2D06" w:rsidR="001925F5" w:rsidRPr="00B056D9" w:rsidRDefault="001925F5" w:rsidP="0090760E">
            <w:pPr>
              <w:widowControl w:val="0"/>
              <w:tabs>
                <w:tab w:val="left" w:pos="1701"/>
              </w:tabs>
              <w:rPr>
                <w:b/>
                <w:bCs/>
                <w:szCs w:val="23"/>
              </w:rPr>
            </w:pPr>
          </w:p>
        </w:tc>
      </w:tr>
      <w:tr w:rsidR="001925F5" w:rsidRPr="0012669A" w14:paraId="4B4C58FC" w14:textId="77777777" w:rsidTr="00D7630C">
        <w:trPr>
          <w:trHeight w:val="950"/>
        </w:trPr>
        <w:tc>
          <w:tcPr>
            <w:tcW w:w="567" w:type="dxa"/>
          </w:tcPr>
          <w:p w14:paraId="4120079A" w14:textId="6A5874DF" w:rsidR="001925F5" w:rsidRDefault="001925F5" w:rsidP="00DC0D46">
            <w:pPr>
              <w:tabs>
                <w:tab w:val="left" w:pos="1701"/>
              </w:tabs>
              <w:rPr>
                <w:b/>
                <w:snapToGrid w:val="0"/>
              </w:rPr>
            </w:pPr>
            <w:r>
              <w:rPr>
                <w:b/>
                <w:snapToGrid w:val="0"/>
              </w:rPr>
              <w:t xml:space="preserve">§ 4 </w:t>
            </w:r>
          </w:p>
        </w:tc>
        <w:tc>
          <w:tcPr>
            <w:tcW w:w="7162" w:type="dxa"/>
          </w:tcPr>
          <w:p w14:paraId="4E279682" w14:textId="77777777" w:rsidR="001925F5" w:rsidRDefault="001925F5" w:rsidP="0090760E">
            <w:pPr>
              <w:widowControl w:val="0"/>
              <w:tabs>
                <w:tab w:val="left" w:pos="1701"/>
              </w:tabs>
              <w:rPr>
                <w:b/>
                <w:bCs/>
              </w:rPr>
            </w:pPr>
            <w:r w:rsidRPr="00CC6B9B">
              <w:rPr>
                <w:b/>
                <w:bCs/>
              </w:rPr>
              <w:t>Utgiftsområde 19 Regional utveckling (NU2)</w:t>
            </w:r>
            <w:r>
              <w:rPr>
                <w:b/>
                <w:bCs/>
                <w:szCs w:val="23"/>
              </w:rPr>
              <w:br/>
            </w:r>
          </w:p>
          <w:p w14:paraId="5FC5E01A" w14:textId="12980AF1" w:rsidR="001925F5" w:rsidRPr="00A92639" w:rsidRDefault="001925F5" w:rsidP="001925F5">
            <w:pPr>
              <w:widowControl w:val="0"/>
              <w:rPr>
                <w:bCs/>
              </w:rPr>
            </w:pPr>
            <w:r w:rsidRPr="00A92639">
              <w:rPr>
                <w:bCs/>
              </w:rPr>
              <w:t xml:space="preserve">Utskottet </w:t>
            </w:r>
            <w:r>
              <w:rPr>
                <w:bCs/>
              </w:rPr>
              <w:t>inledde beredningen av</w:t>
            </w:r>
            <w:r w:rsidRPr="00A92639">
              <w:rPr>
                <w:bCs/>
              </w:rPr>
              <w:t xml:space="preserve"> proposition 202</w:t>
            </w:r>
            <w:r>
              <w:rPr>
                <w:bCs/>
              </w:rPr>
              <w:t>3</w:t>
            </w:r>
            <w:r w:rsidRPr="00A92639">
              <w:rPr>
                <w:bCs/>
              </w:rPr>
              <w:t>/2</w:t>
            </w:r>
            <w:r>
              <w:rPr>
                <w:bCs/>
              </w:rPr>
              <w:t>4</w:t>
            </w:r>
            <w:r w:rsidRPr="00A92639">
              <w:rPr>
                <w:bCs/>
              </w:rPr>
              <w:t xml:space="preserve">:1 (budgetpropositionen) såvitt gäller utgiftsområde </w:t>
            </w:r>
            <w:r>
              <w:rPr>
                <w:bCs/>
              </w:rPr>
              <w:t>19 Regional utveckling</w:t>
            </w:r>
            <w:r w:rsidRPr="00A92639">
              <w:rPr>
                <w:bCs/>
              </w:rPr>
              <w:t xml:space="preserve"> och motioner.</w:t>
            </w:r>
          </w:p>
          <w:p w14:paraId="45332E58" w14:textId="77777777" w:rsidR="001925F5" w:rsidRPr="00A92639" w:rsidRDefault="001925F5" w:rsidP="001925F5">
            <w:pPr>
              <w:widowControl w:val="0"/>
              <w:rPr>
                <w:bCs/>
              </w:rPr>
            </w:pPr>
          </w:p>
          <w:p w14:paraId="5785CB32" w14:textId="77777777" w:rsidR="001925F5" w:rsidRDefault="001925F5" w:rsidP="001925F5">
            <w:pPr>
              <w:widowControl w:val="0"/>
              <w:rPr>
                <w:bCs/>
              </w:rPr>
            </w:pPr>
            <w:r w:rsidRPr="00A92639">
              <w:rPr>
                <w:bCs/>
              </w:rPr>
              <w:t>Ärendet bordlades.</w:t>
            </w:r>
          </w:p>
          <w:p w14:paraId="04D06F59" w14:textId="7CF495E6" w:rsidR="001925F5" w:rsidRPr="00CC6B9B" w:rsidRDefault="001925F5" w:rsidP="0090760E">
            <w:pPr>
              <w:widowControl w:val="0"/>
              <w:tabs>
                <w:tab w:val="left" w:pos="1701"/>
              </w:tabs>
              <w:rPr>
                <w:b/>
                <w:bCs/>
              </w:rPr>
            </w:pPr>
          </w:p>
        </w:tc>
      </w:tr>
      <w:tr w:rsidR="001925F5" w:rsidRPr="0012669A" w14:paraId="6540DCFC" w14:textId="77777777" w:rsidTr="00D7630C">
        <w:trPr>
          <w:trHeight w:val="950"/>
        </w:trPr>
        <w:tc>
          <w:tcPr>
            <w:tcW w:w="567" w:type="dxa"/>
          </w:tcPr>
          <w:p w14:paraId="6A378C77" w14:textId="7ED1A864" w:rsidR="001925F5" w:rsidRDefault="001925F5" w:rsidP="00DC0D46">
            <w:pPr>
              <w:tabs>
                <w:tab w:val="left" w:pos="1701"/>
              </w:tabs>
              <w:rPr>
                <w:b/>
                <w:snapToGrid w:val="0"/>
              </w:rPr>
            </w:pPr>
            <w:r>
              <w:rPr>
                <w:b/>
                <w:snapToGrid w:val="0"/>
              </w:rPr>
              <w:t>§ 5</w:t>
            </w:r>
          </w:p>
        </w:tc>
        <w:tc>
          <w:tcPr>
            <w:tcW w:w="7162" w:type="dxa"/>
          </w:tcPr>
          <w:p w14:paraId="7014B3C1" w14:textId="6DE876B2" w:rsidR="001925F5" w:rsidRPr="00CC6B9B" w:rsidRDefault="001925F5" w:rsidP="0090760E">
            <w:pPr>
              <w:widowControl w:val="0"/>
              <w:tabs>
                <w:tab w:val="left" w:pos="1701"/>
              </w:tabs>
              <w:rPr>
                <w:b/>
                <w:bCs/>
              </w:rPr>
            </w:pPr>
            <w:r>
              <w:rPr>
                <w:b/>
                <w:bCs/>
                <w:szCs w:val="23"/>
              </w:rPr>
              <w:t>Kreativa kampanjen och Sverigebilden</w:t>
            </w:r>
            <w:r w:rsidRPr="00B056D9">
              <w:rPr>
                <w:b/>
                <w:bCs/>
                <w:szCs w:val="23"/>
              </w:rPr>
              <w:br/>
            </w:r>
            <w:r w:rsidRPr="00B056D9">
              <w:rPr>
                <w:szCs w:val="23"/>
              </w:rPr>
              <w:br/>
            </w:r>
            <w:r>
              <w:rPr>
                <w:szCs w:val="23"/>
              </w:rPr>
              <w:t>General</w:t>
            </w:r>
            <w:r w:rsidRPr="00B056D9">
              <w:rPr>
                <w:szCs w:val="23"/>
              </w:rPr>
              <w:t>direktör Susanne Andersson</w:t>
            </w:r>
            <w:r>
              <w:rPr>
                <w:szCs w:val="23"/>
              </w:rPr>
              <w:t>, Visit Sweden, biträdd av medarbetare från Visit Sweden, lämnade information och svarade på frågor om den kreativa kampanjen och Sverigebilden.</w:t>
            </w:r>
            <w:r>
              <w:rPr>
                <w:szCs w:val="23"/>
              </w:rPr>
              <w:br/>
            </w:r>
          </w:p>
        </w:tc>
      </w:tr>
      <w:tr w:rsidR="001925F5" w:rsidRPr="0012669A" w14:paraId="2582743E" w14:textId="77777777" w:rsidTr="00D7630C">
        <w:trPr>
          <w:trHeight w:val="950"/>
        </w:trPr>
        <w:tc>
          <w:tcPr>
            <w:tcW w:w="567" w:type="dxa"/>
          </w:tcPr>
          <w:p w14:paraId="12C1AAEB" w14:textId="6AB79733" w:rsidR="001925F5" w:rsidRDefault="001925F5" w:rsidP="00DC0D46">
            <w:pPr>
              <w:tabs>
                <w:tab w:val="left" w:pos="1701"/>
              </w:tabs>
              <w:rPr>
                <w:b/>
                <w:snapToGrid w:val="0"/>
              </w:rPr>
            </w:pPr>
            <w:r>
              <w:rPr>
                <w:b/>
                <w:snapToGrid w:val="0"/>
              </w:rPr>
              <w:t>§ 6</w:t>
            </w:r>
          </w:p>
        </w:tc>
        <w:tc>
          <w:tcPr>
            <w:tcW w:w="7162" w:type="dxa"/>
          </w:tcPr>
          <w:p w14:paraId="7E80383F" w14:textId="77777777" w:rsidR="001925F5" w:rsidRDefault="001925F5" w:rsidP="0090760E">
            <w:pPr>
              <w:widowControl w:val="0"/>
              <w:tabs>
                <w:tab w:val="left" w:pos="1701"/>
              </w:tabs>
              <w:rPr>
                <w:b/>
                <w:bCs/>
                <w:szCs w:val="23"/>
              </w:rPr>
            </w:pPr>
            <w:r>
              <w:rPr>
                <w:b/>
                <w:bCs/>
                <w:szCs w:val="23"/>
              </w:rPr>
              <w:t>E</w:t>
            </w:r>
            <w:r w:rsidRPr="00CC6B9B">
              <w:rPr>
                <w:b/>
                <w:bCs/>
                <w:szCs w:val="23"/>
              </w:rPr>
              <w:t>n europe</w:t>
            </w:r>
            <w:r>
              <w:rPr>
                <w:b/>
                <w:bCs/>
                <w:szCs w:val="23"/>
              </w:rPr>
              <w:t>is</w:t>
            </w:r>
            <w:r w:rsidRPr="00CC6B9B">
              <w:rPr>
                <w:b/>
                <w:bCs/>
                <w:szCs w:val="23"/>
              </w:rPr>
              <w:t>k strategi för ekonomisk säkerhet</w:t>
            </w:r>
          </w:p>
          <w:p w14:paraId="06940831" w14:textId="46D16F7C" w:rsidR="001925F5" w:rsidRPr="001925F5" w:rsidRDefault="001925F5" w:rsidP="001925F5">
            <w:pPr>
              <w:widowControl w:val="0"/>
              <w:tabs>
                <w:tab w:val="left" w:pos="1701"/>
              </w:tabs>
              <w:rPr>
                <w:szCs w:val="23"/>
              </w:rPr>
            </w:pPr>
            <w:r>
              <w:rPr>
                <w:b/>
                <w:bCs/>
                <w:szCs w:val="23"/>
              </w:rPr>
              <w:br/>
            </w:r>
            <w:r w:rsidRPr="00C2275E">
              <w:rPr>
                <w:bCs/>
              </w:rPr>
              <w:t xml:space="preserve">Utskottet överlade med </w:t>
            </w:r>
            <w:r>
              <w:rPr>
                <w:bCs/>
              </w:rPr>
              <w:t>statsrådet Johan Forssell, biträdd</w:t>
            </w:r>
            <w:r w:rsidRPr="00C2275E">
              <w:rPr>
                <w:bCs/>
              </w:rPr>
              <w:t xml:space="preserve"> av medarbetare från </w:t>
            </w:r>
            <w:r>
              <w:rPr>
                <w:bCs/>
              </w:rPr>
              <w:t>Utrikesdepartementet</w:t>
            </w:r>
            <w:r w:rsidRPr="00C2275E">
              <w:rPr>
                <w:bCs/>
              </w:rPr>
              <w:t>.</w:t>
            </w:r>
          </w:p>
          <w:p w14:paraId="780AEA95" w14:textId="77777777" w:rsidR="001925F5" w:rsidRPr="00C2275E" w:rsidRDefault="001925F5" w:rsidP="001925F5">
            <w:pPr>
              <w:tabs>
                <w:tab w:val="left" w:pos="1701"/>
              </w:tabs>
              <w:rPr>
                <w:bCs/>
              </w:rPr>
            </w:pPr>
          </w:p>
          <w:p w14:paraId="1919FF75" w14:textId="62D9E76E" w:rsidR="001925F5" w:rsidRDefault="001925F5" w:rsidP="002D522B">
            <w:pPr>
              <w:widowControl w:val="0"/>
              <w:tabs>
                <w:tab w:val="left" w:pos="1701"/>
              </w:tabs>
              <w:rPr>
                <w:bCs/>
              </w:rPr>
            </w:pPr>
            <w:r w:rsidRPr="00C2275E">
              <w:rPr>
                <w:bCs/>
              </w:rPr>
              <w:lastRenderedPageBreak/>
              <w:t xml:space="preserve">Underlaget utgjordes av </w:t>
            </w:r>
            <w:r>
              <w:rPr>
                <w:bCs/>
              </w:rPr>
              <w:t xml:space="preserve">faktapromemoria </w:t>
            </w:r>
            <w:r w:rsidRPr="00717206">
              <w:rPr>
                <w:bCs/>
              </w:rPr>
              <w:t>202</w:t>
            </w:r>
            <w:r>
              <w:rPr>
                <w:bCs/>
              </w:rPr>
              <w:t>2</w:t>
            </w:r>
            <w:r w:rsidRPr="00717206">
              <w:rPr>
                <w:bCs/>
              </w:rPr>
              <w:t>/</w:t>
            </w:r>
            <w:proofErr w:type="gramStart"/>
            <w:r w:rsidRPr="00717206">
              <w:rPr>
                <w:bCs/>
              </w:rPr>
              <w:t>2</w:t>
            </w:r>
            <w:r>
              <w:rPr>
                <w:bCs/>
              </w:rPr>
              <w:t>3</w:t>
            </w:r>
            <w:r w:rsidRPr="00717206">
              <w:rPr>
                <w:bCs/>
              </w:rPr>
              <w:t>:FPM</w:t>
            </w:r>
            <w:proofErr w:type="gramEnd"/>
            <w:r w:rsidRPr="00717206">
              <w:rPr>
                <w:bCs/>
              </w:rPr>
              <w:t>11</w:t>
            </w:r>
            <w:r>
              <w:rPr>
                <w:bCs/>
              </w:rPr>
              <w:t>5</w:t>
            </w:r>
            <w:r w:rsidR="002D522B">
              <w:rPr>
                <w:bCs/>
              </w:rPr>
              <w:t xml:space="preserve"> </w:t>
            </w:r>
            <w:r w:rsidR="002D522B" w:rsidRPr="002D522B">
              <w:rPr>
                <w:bCs/>
              </w:rPr>
              <w:t>En europeisk strategi för ekonomisk</w:t>
            </w:r>
            <w:r w:rsidR="002D522B">
              <w:rPr>
                <w:bCs/>
              </w:rPr>
              <w:t xml:space="preserve"> </w:t>
            </w:r>
            <w:r w:rsidR="002D522B" w:rsidRPr="002D522B">
              <w:rPr>
                <w:bCs/>
              </w:rPr>
              <w:t>säkerhet</w:t>
            </w:r>
            <w:r w:rsidR="002D522B">
              <w:rPr>
                <w:bCs/>
              </w:rPr>
              <w:t>.</w:t>
            </w:r>
          </w:p>
          <w:p w14:paraId="5C9048BE" w14:textId="77777777" w:rsidR="00E2595C" w:rsidRDefault="00E2595C" w:rsidP="002D522B">
            <w:pPr>
              <w:widowControl w:val="0"/>
              <w:tabs>
                <w:tab w:val="left" w:pos="1701"/>
              </w:tabs>
              <w:rPr>
                <w:bCs/>
              </w:rPr>
            </w:pPr>
          </w:p>
          <w:p w14:paraId="1569DC36" w14:textId="5E1559B7" w:rsidR="001925F5" w:rsidRDefault="001925F5" w:rsidP="001925F5">
            <w:pPr>
              <w:tabs>
                <w:tab w:val="left" w:pos="1701"/>
              </w:tabs>
              <w:rPr>
                <w:bCs/>
              </w:rPr>
            </w:pPr>
            <w:r w:rsidRPr="00C2275E">
              <w:rPr>
                <w:bCs/>
              </w:rPr>
              <w:t xml:space="preserve">Statsrådet redogjorde för regeringens ståndpunkt i enlighet med </w:t>
            </w:r>
            <w:r>
              <w:rPr>
                <w:bCs/>
              </w:rPr>
              <w:t>fakta</w:t>
            </w:r>
            <w:r w:rsidRPr="00C2275E">
              <w:rPr>
                <w:bCs/>
              </w:rPr>
              <w:t>promemorian:</w:t>
            </w:r>
          </w:p>
          <w:p w14:paraId="62AAEB7A" w14:textId="52189A09" w:rsidR="001925F5" w:rsidRDefault="001925F5" w:rsidP="001925F5">
            <w:pPr>
              <w:tabs>
                <w:tab w:val="left" w:pos="1701"/>
              </w:tabs>
              <w:rPr>
                <w:bCs/>
              </w:rPr>
            </w:pPr>
          </w:p>
          <w:p w14:paraId="381EBD51" w14:textId="6E62D45F" w:rsidR="001925F5" w:rsidRDefault="001925F5" w:rsidP="001925F5">
            <w:pPr>
              <w:tabs>
                <w:tab w:val="left" w:pos="1701"/>
              </w:tabs>
              <w:ind w:left="428"/>
              <w:rPr>
                <w:bCs/>
              </w:rPr>
            </w:pPr>
            <w:r w:rsidRPr="001925F5">
              <w:rPr>
                <w:bCs/>
              </w:rPr>
              <w:t>Regeringen välkomnar en balanserad europeisk ansats om hur EU på ett bättre sätt kan skydda gemensamma värderingar och intressen och stärka vår säkerhet, samtidigt som vi upprätthåller ambitionen att stärka Europas långsiktiga konkurrenskraft och produktivitet. Negativa effekter för den inre marknaden och de globala institutionerna, inklusive för öppenhet och frihandel, som Sveriges välstånd är beroende av måste undvikas eller så långt som möjligt begränsas. I det avseendet välkomnar regeringen att kommissionen prioriterar att fördjupa den inre marknaden och att diversifiera import-</w:t>
            </w:r>
            <w:r w:rsidR="00E2595C">
              <w:rPr>
                <w:bCs/>
              </w:rPr>
              <w:t xml:space="preserve"> </w:t>
            </w:r>
            <w:r w:rsidRPr="001925F5">
              <w:rPr>
                <w:bCs/>
              </w:rPr>
              <w:t>och exportmarknaderna genom öppenhet och samarbete. En central utgångspunkt för en europeisk strategi om ekonomisk säkerhet är ett närmare samarbete med globala partners.</w:t>
            </w:r>
          </w:p>
          <w:p w14:paraId="00831EA5" w14:textId="77777777" w:rsidR="001925F5" w:rsidRPr="001925F5" w:rsidRDefault="001925F5" w:rsidP="001925F5">
            <w:pPr>
              <w:tabs>
                <w:tab w:val="left" w:pos="1701"/>
              </w:tabs>
              <w:ind w:left="428"/>
              <w:rPr>
                <w:bCs/>
              </w:rPr>
            </w:pPr>
          </w:p>
          <w:p w14:paraId="0E519CFA" w14:textId="413B5DE8" w:rsidR="001925F5" w:rsidRDefault="001925F5" w:rsidP="001925F5">
            <w:pPr>
              <w:tabs>
                <w:tab w:val="left" w:pos="1701"/>
              </w:tabs>
              <w:ind w:left="428"/>
              <w:rPr>
                <w:bCs/>
              </w:rPr>
            </w:pPr>
            <w:r w:rsidRPr="001925F5">
              <w:rPr>
                <w:bCs/>
              </w:rPr>
              <w:t xml:space="preserve">Regeringen välkomnar strategins ansats att först genomföra en kartläggning av risker som omfattar </w:t>
            </w:r>
            <w:proofErr w:type="spellStart"/>
            <w:r w:rsidRPr="001925F5">
              <w:rPr>
                <w:bCs/>
              </w:rPr>
              <w:t>resiliensen</w:t>
            </w:r>
            <w:proofErr w:type="spellEnd"/>
            <w:r w:rsidRPr="001925F5">
              <w:rPr>
                <w:bCs/>
              </w:rPr>
              <w:t xml:space="preserve"> i leveranskedjor, fysisk säkerhet och cybersäkerhet för kritisk infrastruktur, tekniksäkerhet och teknikläckage, samt risker att tredjeländer använder ekonomiska beroenden eller ekonomiskt tvång som vapen. Regeringen välkomnar också att eventuella åtgärder som vidtas ska utgå från principer om proportionalitet och precision. Regeringen anser att en balanserad politik om ekonomisk säkerhet ska baseras på en grundlig analys av nuvarande och framtida hot och risker samt hur befintliga verktyg och marknadsmekanismer kan användas för att hantera sådana utmaningar. Först därefter kan nya verktyg övervägas.</w:t>
            </w:r>
          </w:p>
          <w:p w14:paraId="1D8E6F71" w14:textId="77777777" w:rsidR="001925F5" w:rsidRPr="001925F5" w:rsidRDefault="001925F5" w:rsidP="001925F5">
            <w:pPr>
              <w:tabs>
                <w:tab w:val="left" w:pos="1701"/>
              </w:tabs>
              <w:ind w:left="428"/>
              <w:rPr>
                <w:bCs/>
              </w:rPr>
            </w:pPr>
          </w:p>
          <w:p w14:paraId="6BFFE069" w14:textId="7C55FF0A" w:rsidR="001925F5" w:rsidRDefault="001925F5" w:rsidP="001925F5">
            <w:pPr>
              <w:tabs>
                <w:tab w:val="left" w:pos="1701"/>
              </w:tabs>
              <w:ind w:left="428"/>
              <w:rPr>
                <w:bCs/>
              </w:rPr>
            </w:pPr>
            <w:r w:rsidRPr="001925F5">
              <w:rPr>
                <w:bCs/>
              </w:rPr>
              <w:t>Nya finansiella instrument som skulle innebära EU-gemensam upplåning eller budgetförstärkning från medlemsstaterna bör inte övervägas. Mer flexibel användning av och omprioritering inom existerande instrument kan accepteras, för välmotiverade och avgränsade ändamål. Sverige har en mycket budgetrestriktiv linje, vilket bland annat innebär att budgetramens omfattning bör förbli oförändrad och att nya initiativ, åtaganden eller ambitionshöjningar bör finansieras genom omprioriteringar i den fleråriga budgetramen.</w:t>
            </w:r>
          </w:p>
          <w:p w14:paraId="0A261D4B" w14:textId="77777777" w:rsidR="001925F5" w:rsidRPr="001925F5" w:rsidRDefault="001925F5" w:rsidP="001925F5">
            <w:pPr>
              <w:tabs>
                <w:tab w:val="left" w:pos="1701"/>
              </w:tabs>
              <w:ind w:left="428"/>
              <w:rPr>
                <w:bCs/>
              </w:rPr>
            </w:pPr>
          </w:p>
          <w:p w14:paraId="525101D2" w14:textId="733E870E" w:rsidR="001925F5" w:rsidRDefault="001925F5" w:rsidP="001925F5">
            <w:pPr>
              <w:tabs>
                <w:tab w:val="left" w:pos="1701"/>
              </w:tabs>
              <w:ind w:left="428"/>
              <w:rPr>
                <w:bCs/>
              </w:rPr>
            </w:pPr>
            <w:r w:rsidRPr="001925F5">
              <w:rPr>
                <w:bCs/>
              </w:rPr>
              <w:t>Den nationella kompetensen på säkerhetsområdet måste respekteras.</w:t>
            </w:r>
          </w:p>
          <w:p w14:paraId="40D028DC" w14:textId="77777777" w:rsidR="001925F5" w:rsidRPr="001925F5" w:rsidRDefault="001925F5" w:rsidP="001925F5">
            <w:pPr>
              <w:tabs>
                <w:tab w:val="left" w:pos="1701"/>
              </w:tabs>
              <w:ind w:left="428"/>
              <w:rPr>
                <w:bCs/>
              </w:rPr>
            </w:pPr>
          </w:p>
          <w:p w14:paraId="69FAE1E3" w14:textId="11F4AB0E" w:rsidR="001925F5" w:rsidRDefault="001925F5" w:rsidP="002D522B">
            <w:pPr>
              <w:tabs>
                <w:tab w:val="left" w:pos="1701"/>
              </w:tabs>
              <w:ind w:left="428"/>
              <w:rPr>
                <w:bCs/>
              </w:rPr>
            </w:pPr>
            <w:r w:rsidRPr="001925F5">
              <w:rPr>
                <w:bCs/>
              </w:rPr>
              <w:t>En ökad handel tillsammans med en diversifiering av handelspartners kan allmänt sett antas vara ett kostnadseffektivt sätt att öka EU:s ekonomiska säkerhet. Handelsrestriktioner måste därför vara mycket begränsade i omfattning. Vid införande av eventuella handelsrestriktioner för att upprätthålla säkerhet behöver de långsiktiga riskerna med att hindra investeringar inom EU, handel och teknikimport från tredje land tas med i bedömningen. Detta då sådana åtgärder kan hämma den inre marknaden, forskning, utveckling, innovation och företagens konkurrenskraft. Behovet och lämpligheten av sådana åtgärder måste därför fortsatt analyseras noga</w:t>
            </w:r>
            <w:r>
              <w:rPr>
                <w:bCs/>
              </w:rPr>
              <w:t xml:space="preserve"> </w:t>
            </w:r>
            <w:r w:rsidRPr="001925F5">
              <w:rPr>
                <w:bCs/>
              </w:rPr>
              <w:t xml:space="preserve">innan vidare steg kan övervägas. Om </w:t>
            </w:r>
            <w:r w:rsidRPr="001925F5">
              <w:rPr>
                <w:bCs/>
              </w:rPr>
              <w:lastRenderedPageBreak/>
              <w:t xml:space="preserve">handelsrestriktioner övervägs måste </w:t>
            </w:r>
            <w:proofErr w:type="spellStart"/>
            <w:proofErr w:type="gramStart"/>
            <w:r w:rsidRPr="001925F5">
              <w:rPr>
                <w:bCs/>
              </w:rPr>
              <w:t>de,vara</w:t>
            </w:r>
            <w:proofErr w:type="spellEnd"/>
            <w:proofErr w:type="gramEnd"/>
            <w:r w:rsidRPr="001925F5">
              <w:rPr>
                <w:bCs/>
              </w:rPr>
              <w:t xml:space="preserve"> välmotiverade, proportionerliga och inte vara protektionistiska.</w:t>
            </w:r>
          </w:p>
          <w:p w14:paraId="7B6F069E" w14:textId="77777777" w:rsidR="001925F5" w:rsidRPr="001925F5" w:rsidRDefault="001925F5" w:rsidP="001925F5">
            <w:pPr>
              <w:tabs>
                <w:tab w:val="left" w:pos="1701"/>
              </w:tabs>
              <w:ind w:left="428"/>
              <w:rPr>
                <w:bCs/>
              </w:rPr>
            </w:pPr>
          </w:p>
          <w:p w14:paraId="58B8A92A" w14:textId="6D5DD6CE" w:rsidR="001925F5" w:rsidRDefault="001925F5" w:rsidP="001925F5">
            <w:pPr>
              <w:tabs>
                <w:tab w:val="left" w:pos="1701"/>
              </w:tabs>
              <w:ind w:left="428"/>
              <w:rPr>
                <w:bCs/>
              </w:rPr>
            </w:pPr>
            <w:r w:rsidRPr="001925F5">
              <w:rPr>
                <w:bCs/>
              </w:rPr>
              <w:t>Behovet och lämpligheten av att reglera granskning av utgående investeringar måste analyseras noga och övervägas med stor försiktighet. Eventuella åtgärder bör baseras på en grundlig risk-och konsekvensanalys, och en eventuell reglering utformas för att inte skapa oproportionerliga investeringshinder som hämmar den inre marknaden, forskning, utveckling, innovation eller företagens konkurrenskraft. Effekter för den gröna och digitala omställningen måste också beaktas.</w:t>
            </w:r>
          </w:p>
          <w:p w14:paraId="44067CF8" w14:textId="77777777" w:rsidR="001925F5" w:rsidRPr="001925F5" w:rsidRDefault="001925F5" w:rsidP="001925F5">
            <w:pPr>
              <w:tabs>
                <w:tab w:val="left" w:pos="1701"/>
              </w:tabs>
              <w:ind w:left="428"/>
              <w:rPr>
                <w:bCs/>
              </w:rPr>
            </w:pPr>
          </w:p>
          <w:p w14:paraId="1FB61265" w14:textId="39CEFE42" w:rsidR="001925F5" w:rsidRDefault="001925F5" w:rsidP="001925F5">
            <w:pPr>
              <w:tabs>
                <w:tab w:val="left" w:pos="1701"/>
              </w:tabs>
              <w:ind w:left="428"/>
              <w:rPr>
                <w:bCs/>
              </w:rPr>
            </w:pPr>
            <w:r w:rsidRPr="001925F5">
              <w:rPr>
                <w:bCs/>
              </w:rPr>
              <w:t>I tider av ökat ömsesidigt beroende bör Sverige och EU i första hand sträva efter så globala och enhetliga regler som möjligt. Det internationellt etablerade exportkontrollregelverket, där kontrollistor över produkter med dubbla användningsområden (PDA) utarbetas i de multilaterala exportkontrollregimerna har tjänat EU väl, och bör fortsatt utgöra grunden för EU:s kontrollista för PDA. Export</w:t>
            </w:r>
            <w:r w:rsidR="00E2595C">
              <w:rPr>
                <w:bCs/>
              </w:rPr>
              <w:t>-</w:t>
            </w:r>
            <w:r w:rsidRPr="001925F5">
              <w:rPr>
                <w:bCs/>
              </w:rPr>
              <w:t>kontrollregimerna tjänar våra säkerhetspolitiska ickespridningsmål och främjar samtidigt frihandel, konkurrenskraft, lika villkor och ett gynnsamt klimat för innovationer. Förslag för att förändra EU:s PDA-regelverk behöver analyseras noggrant i förhållande till det existerande, nyligen reviderade, regelverket, för att fortsatt värna öppenhet och gynnsamma förutsättningar för forskning och innovation samt utrikes-</w:t>
            </w:r>
            <w:r w:rsidR="00E2595C">
              <w:rPr>
                <w:bCs/>
              </w:rPr>
              <w:t xml:space="preserve"> </w:t>
            </w:r>
            <w:r w:rsidRPr="001925F5">
              <w:rPr>
                <w:bCs/>
              </w:rPr>
              <w:t xml:space="preserve">och säkerhetspolitiska intressen. Genomförande av exportkontroll är och bör förbli en nationell kompetens. Samordning enligt gällande </w:t>
            </w:r>
            <w:proofErr w:type="spellStart"/>
            <w:r w:rsidRPr="001925F5">
              <w:rPr>
                <w:bCs/>
              </w:rPr>
              <w:t>EU-regelverk</w:t>
            </w:r>
            <w:proofErr w:type="spellEnd"/>
            <w:r w:rsidRPr="001925F5">
              <w:rPr>
                <w:bCs/>
              </w:rPr>
              <w:t xml:space="preserve"> av medlemsstaternas nationella exportkontrollåtgärder är eftersträvansvärd eftersom det bidrar till lika konkurrensvillkor för industrin, men utrymme måste även fortsättningsvis lämnas åt medlemsstaterna att göra sina egna säkerhetspolitiska bedömningar. </w:t>
            </w:r>
          </w:p>
          <w:p w14:paraId="578DC822" w14:textId="77777777" w:rsidR="001925F5" w:rsidRDefault="001925F5" w:rsidP="001925F5">
            <w:pPr>
              <w:tabs>
                <w:tab w:val="left" w:pos="1701"/>
              </w:tabs>
              <w:ind w:left="428"/>
              <w:rPr>
                <w:bCs/>
              </w:rPr>
            </w:pPr>
          </w:p>
          <w:p w14:paraId="3F3E9915" w14:textId="1C3C1772" w:rsidR="001925F5" w:rsidRDefault="001925F5" w:rsidP="001925F5">
            <w:pPr>
              <w:tabs>
                <w:tab w:val="left" w:pos="1701"/>
              </w:tabs>
              <w:ind w:left="428"/>
              <w:rPr>
                <w:bCs/>
              </w:rPr>
            </w:pPr>
            <w:r w:rsidRPr="001925F5">
              <w:rPr>
                <w:bCs/>
              </w:rPr>
              <w:t>Internationellt forskningssamarbete är i många fall avgörande för excellent forskning och innovation. Men i en alltmer osäker och polariserad värld finns geopolitiska utmaningar där öppenhet och samarbete riskerar att utnyttjas av främmande makt. Öppenhet bör utgöra grunden i internationellt forskningssamarbete, samtidigt som det behöver finnas en medvetenhet om behovet av att skydda nationella intressen, kunskap och teknik och möjlighet att agera därvidlag.</w:t>
            </w:r>
          </w:p>
          <w:p w14:paraId="485C3F63" w14:textId="15F8A40A" w:rsidR="00BC014F" w:rsidRDefault="00BC014F" w:rsidP="001925F5">
            <w:pPr>
              <w:tabs>
                <w:tab w:val="left" w:pos="1701"/>
              </w:tabs>
              <w:ind w:left="428"/>
              <w:rPr>
                <w:bCs/>
              </w:rPr>
            </w:pPr>
          </w:p>
          <w:p w14:paraId="39DA0D59" w14:textId="77777777" w:rsidR="00E2595C" w:rsidRDefault="00BC014F" w:rsidP="00E2595C">
            <w:pPr>
              <w:tabs>
                <w:tab w:val="left" w:pos="1701"/>
              </w:tabs>
              <w:ind w:left="428" w:hanging="283"/>
              <w:rPr>
                <w:bCs/>
              </w:rPr>
            </w:pPr>
            <w:r w:rsidRPr="00BC014F">
              <w:rPr>
                <w:bCs/>
              </w:rPr>
              <w:t>Ordföranden konstaterade att det fanns stöd för regeringens</w:t>
            </w:r>
          </w:p>
          <w:p w14:paraId="1B09D0C5" w14:textId="0B1B856B" w:rsidR="00BC014F" w:rsidRPr="00BC014F" w:rsidRDefault="00BC014F" w:rsidP="00E2595C">
            <w:pPr>
              <w:tabs>
                <w:tab w:val="left" w:pos="1701"/>
              </w:tabs>
              <w:ind w:left="428" w:hanging="283"/>
              <w:rPr>
                <w:bCs/>
              </w:rPr>
            </w:pPr>
            <w:r w:rsidRPr="00BC014F">
              <w:rPr>
                <w:bCs/>
              </w:rPr>
              <w:t xml:space="preserve">ståndpunkt. </w:t>
            </w:r>
          </w:p>
          <w:p w14:paraId="2AC6BE62" w14:textId="3CE34D44" w:rsidR="001925F5" w:rsidRDefault="001925F5" w:rsidP="0090760E">
            <w:pPr>
              <w:widowControl w:val="0"/>
              <w:tabs>
                <w:tab w:val="left" w:pos="1701"/>
              </w:tabs>
              <w:rPr>
                <w:b/>
                <w:bCs/>
                <w:szCs w:val="23"/>
              </w:rPr>
            </w:pPr>
          </w:p>
        </w:tc>
      </w:tr>
      <w:tr w:rsidR="001925F5" w:rsidRPr="0012669A" w14:paraId="631DB9E5" w14:textId="77777777" w:rsidTr="00D7630C">
        <w:trPr>
          <w:trHeight w:val="950"/>
        </w:trPr>
        <w:tc>
          <w:tcPr>
            <w:tcW w:w="567" w:type="dxa"/>
          </w:tcPr>
          <w:p w14:paraId="6150425F" w14:textId="40A21C3B" w:rsidR="001925F5" w:rsidRDefault="001925F5" w:rsidP="00DC0D46">
            <w:pPr>
              <w:tabs>
                <w:tab w:val="left" w:pos="1701"/>
              </w:tabs>
              <w:rPr>
                <w:b/>
                <w:snapToGrid w:val="0"/>
              </w:rPr>
            </w:pPr>
            <w:r>
              <w:rPr>
                <w:b/>
                <w:snapToGrid w:val="0"/>
              </w:rPr>
              <w:lastRenderedPageBreak/>
              <w:t>§ 7</w:t>
            </w:r>
          </w:p>
        </w:tc>
        <w:tc>
          <w:tcPr>
            <w:tcW w:w="7162" w:type="dxa"/>
          </w:tcPr>
          <w:p w14:paraId="7E3457FC" w14:textId="465AE34E" w:rsidR="001925F5" w:rsidRDefault="001925F5" w:rsidP="0090760E">
            <w:pPr>
              <w:widowControl w:val="0"/>
              <w:tabs>
                <w:tab w:val="left" w:pos="1701"/>
              </w:tabs>
              <w:rPr>
                <w:b/>
                <w:bCs/>
                <w:szCs w:val="23"/>
              </w:rPr>
            </w:pPr>
            <w:r w:rsidRPr="00837209">
              <w:rPr>
                <w:b/>
                <w:bCs/>
                <w:szCs w:val="23"/>
              </w:rPr>
              <w:t>Utfall allmänna motionstiden 202</w:t>
            </w:r>
            <w:r w:rsidR="00E2595C">
              <w:rPr>
                <w:b/>
                <w:bCs/>
                <w:szCs w:val="23"/>
              </w:rPr>
              <w:t>3</w:t>
            </w:r>
            <w:r w:rsidRPr="00837209">
              <w:rPr>
                <w:b/>
                <w:bCs/>
                <w:szCs w:val="23"/>
              </w:rPr>
              <w:t>/2</w:t>
            </w:r>
            <w:r w:rsidR="00E2595C">
              <w:rPr>
                <w:b/>
                <w:bCs/>
                <w:szCs w:val="23"/>
              </w:rPr>
              <w:t>4</w:t>
            </w:r>
          </w:p>
          <w:p w14:paraId="2758FAAC" w14:textId="77777777" w:rsidR="001925F5" w:rsidRDefault="001925F5" w:rsidP="0090760E">
            <w:pPr>
              <w:widowControl w:val="0"/>
              <w:tabs>
                <w:tab w:val="left" w:pos="1701"/>
              </w:tabs>
              <w:rPr>
                <w:b/>
                <w:bCs/>
                <w:szCs w:val="23"/>
              </w:rPr>
            </w:pPr>
          </w:p>
          <w:p w14:paraId="5F0F257B" w14:textId="08B4ABE1" w:rsidR="001925F5" w:rsidRDefault="001925F5" w:rsidP="0090760E">
            <w:pPr>
              <w:widowControl w:val="0"/>
              <w:tabs>
                <w:tab w:val="left" w:pos="1701"/>
              </w:tabs>
              <w:rPr>
                <w:b/>
                <w:bCs/>
                <w:szCs w:val="23"/>
              </w:rPr>
            </w:pPr>
            <w:r>
              <w:t>Kanslichefen informerade</w:t>
            </w:r>
            <w:r w:rsidRPr="00D31C7E">
              <w:t xml:space="preserve"> om utfallet från den allmänna motionstiden 202</w:t>
            </w:r>
            <w:r w:rsidR="00E2595C">
              <w:t>3</w:t>
            </w:r>
            <w:r w:rsidRPr="00D31C7E">
              <w:t>/2</w:t>
            </w:r>
            <w:r w:rsidR="00E2595C">
              <w:t>4</w:t>
            </w:r>
            <w:r w:rsidRPr="00D31C7E">
              <w:t>.</w:t>
            </w:r>
            <w:r>
              <w:br/>
            </w:r>
          </w:p>
        </w:tc>
      </w:tr>
      <w:tr w:rsidR="00DA4267" w:rsidRPr="0012669A" w14:paraId="0DE91465" w14:textId="77777777" w:rsidTr="00D7630C">
        <w:trPr>
          <w:trHeight w:val="950"/>
        </w:trPr>
        <w:tc>
          <w:tcPr>
            <w:tcW w:w="567" w:type="dxa"/>
          </w:tcPr>
          <w:p w14:paraId="78B4A0BB" w14:textId="6C2DCB21" w:rsidR="00DA4267" w:rsidRDefault="00DA4267" w:rsidP="00DC0D46">
            <w:pPr>
              <w:tabs>
                <w:tab w:val="left" w:pos="1701"/>
              </w:tabs>
              <w:rPr>
                <w:b/>
                <w:snapToGrid w:val="0"/>
              </w:rPr>
            </w:pPr>
            <w:r>
              <w:rPr>
                <w:b/>
                <w:snapToGrid w:val="0"/>
              </w:rPr>
              <w:t xml:space="preserve">§ </w:t>
            </w:r>
            <w:r w:rsidR="009C36EC">
              <w:rPr>
                <w:b/>
                <w:snapToGrid w:val="0"/>
              </w:rPr>
              <w:t>8</w:t>
            </w:r>
          </w:p>
        </w:tc>
        <w:tc>
          <w:tcPr>
            <w:tcW w:w="7162" w:type="dxa"/>
          </w:tcPr>
          <w:p w14:paraId="304ADD60" w14:textId="405F8E89" w:rsidR="00DA4267" w:rsidRDefault="00DA4267" w:rsidP="00BA0945">
            <w:pPr>
              <w:spacing w:after="200" w:line="280" w:lineRule="exact"/>
              <w:rPr>
                <w:b/>
                <w:szCs w:val="23"/>
              </w:rPr>
            </w:pPr>
            <w:r>
              <w:rPr>
                <w:b/>
                <w:szCs w:val="23"/>
              </w:rPr>
              <w:t>Inkomna skrivelser</w:t>
            </w:r>
          </w:p>
          <w:p w14:paraId="44871979" w14:textId="31FD846D" w:rsidR="001925F5" w:rsidRPr="001925F5" w:rsidRDefault="00DA4267" w:rsidP="00BA0945">
            <w:pPr>
              <w:spacing w:after="200" w:line="280" w:lineRule="exact"/>
            </w:pPr>
            <w:r>
              <w:t xml:space="preserve">Inkomna skrivelser anmäldes (dnr </w:t>
            </w:r>
            <w:proofErr w:type="gramStart"/>
            <w:r>
              <w:t>2</w:t>
            </w:r>
            <w:r w:rsidR="001925F5">
              <w:t>70</w:t>
            </w:r>
            <w:r>
              <w:t>-2023</w:t>
            </w:r>
            <w:proofErr w:type="gramEnd"/>
            <w:r>
              <w:t>/24 och 203</w:t>
            </w:r>
            <w:r w:rsidR="001925F5">
              <w:t>0</w:t>
            </w:r>
            <w:r>
              <w:t>-2022/23)</w:t>
            </w:r>
            <w:r w:rsidR="001925F5">
              <w:t>.</w:t>
            </w:r>
          </w:p>
        </w:tc>
      </w:tr>
      <w:tr w:rsidR="00E2595C" w:rsidRPr="0012669A" w14:paraId="4C2CA3EB" w14:textId="77777777" w:rsidTr="00D7630C">
        <w:trPr>
          <w:trHeight w:val="950"/>
        </w:trPr>
        <w:tc>
          <w:tcPr>
            <w:tcW w:w="567" w:type="dxa"/>
          </w:tcPr>
          <w:p w14:paraId="67A87CA3" w14:textId="415EC39C" w:rsidR="00E2595C" w:rsidRDefault="00E2595C" w:rsidP="00DC0D46">
            <w:pPr>
              <w:tabs>
                <w:tab w:val="left" w:pos="1701"/>
              </w:tabs>
              <w:rPr>
                <w:b/>
                <w:snapToGrid w:val="0"/>
              </w:rPr>
            </w:pPr>
            <w:r>
              <w:rPr>
                <w:b/>
                <w:snapToGrid w:val="0"/>
              </w:rPr>
              <w:lastRenderedPageBreak/>
              <w:t>§ 9</w:t>
            </w:r>
          </w:p>
        </w:tc>
        <w:tc>
          <w:tcPr>
            <w:tcW w:w="7162" w:type="dxa"/>
          </w:tcPr>
          <w:p w14:paraId="73F350F7" w14:textId="77777777" w:rsidR="00E2595C" w:rsidRDefault="00E2595C" w:rsidP="00A74A3A">
            <w:pPr>
              <w:widowControl w:val="0"/>
              <w:tabs>
                <w:tab w:val="left" w:pos="1701"/>
              </w:tabs>
              <w:rPr>
                <w:b/>
              </w:rPr>
            </w:pPr>
            <w:r>
              <w:rPr>
                <w:b/>
              </w:rPr>
              <w:t>Övriga frågor</w:t>
            </w:r>
          </w:p>
          <w:p w14:paraId="423B685A" w14:textId="77777777" w:rsidR="00E2595C" w:rsidRDefault="00E2595C" w:rsidP="00A74A3A">
            <w:pPr>
              <w:widowControl w:val="0"/>
              <w:tabs>
                <w:tab w:val="left" w:pos="1701"/>
              </w:tabs>
              <w:rPr>
                <w:b/>
              </w:rPr>
            </w:pPr>
          </w:p>
          <w:p w14:paraId="068C1EC4" w14:textId="1DA4C1B0" w:rsidR="00E2595C" w:rsidRDefault="00E2595C" w:rsidP="00A74A3A">
            <w:pPr>
              <w:widowControl w:val="0"/>
              <w:tabs>
                <w:tab w:val="left" w:pos="1701"/>
              </w:tabs>
              <w:rPr>
                <w:bCs/>
              </w:rPr>
            </w:pPr>
            <w:r w:rsidRPr="00E2595C">
              <w:rPr>
                <w:bCs/>
              </w:rPr>
              <w:t xml:space="preserve">Utskottet beslutade att </w:t>
            </w:r>
            <w:r>
              <w:rPr>
                <w:bCs/>
              </w:rPr>
              <w:t>bjuda in relevanta myndigheter för information om arbetet med skydd av kritisk energiinfrastruktur.</w:t>
            </w:r>
          </w:p>
          <w:p w14:paraId="45C25B12" w14:textId="4BED6330" w:rsidR="00E2595C" w:rsidRPr="00E2595C" w:rsidRDefault="00E2595C" w:rsidP="00A74A3A">
            <w:pPr>
              <w:widowControl w:val="0"/>
              <w:tabs>
                <w:tab w:val="left" w:pos="1701"/>
              </w:tabs>
              <w:rPr>
                <w:bCs/>
              </w:rPr>
            </w:pPr>
          </w:p>
        </w:tc>
      </w:tr>
      <w:tr w:rsidR="00A74A3A" w:rsidRPr="0012669A" w14:paraId="33046147" w14:textId="77777777" w:rsidTr="00D7630C">
        <w:trPr>
          <w:trHeight w:val="950"/>
        </w:trPr>
        <w:tc>
          <w:tcPr>
            <w:tcW w:w="567" w:type="dxa"/>
          </w:tcPr>
          <w:p w14:paraId="226051D7" w14:textId="3A2EDD19" w:rsidR="00A74A3A" w:rsidRDefault="00A74A3A" w:rsidP="00DC0D46">
            <w:pPr>
              <w:tabs>
                <w:tab w:val="left" w:pos="1701"/>
              </w:tabs>
              <w:rPr>
                <w:b/>
                <w:snapToGrid w:val="0"/>
              </w:rPr>
            </w:pPr>
            <w:r>
              <w:rPr>
                <w:b/>
                <w:snapToGrid w:val="0"/>
              </w:rPr>
              <w:t xml:space="preserve">§ </w:t>
            </w:r>
            <w:r w:rsidR="00E2595C">
              <w:rPr>
                <w:b/>
                <w:snapToGrid w:val="0"/>
              </w:rPr>
              <w:t>10</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291DB59B" w14:textId="63437760" w:rsidR="00A74A3A" w:rsidRDefault="00A74A3A" w:rsidP="00A74A3A">
            <w:pPr>
              <w:widowControl w:val="0"/>
              <w:tabs>
                <w:tab w:val="left" w:pos="1701"/>
              </w:tabs>
              <w:rPr>
                <w:bCs/>
              </w:rPr>
            </w:pPr>
            <w:r w:rsidRPr="00F42793">
              <w:rPr>
                <w:bCs/>
              </w:rPr>
              <w:t xml:space="preserve">Nästa sammanträde äger rum </w:t>
            </w:r>
            <w:r w:rsidR="00BA0945">
              <w:rPr>
                <w:bCs/>
              </w:rPr>
              <w:t>t</w:t>
            </w:r>
            <w:r w:rsidR="00DA4267">
              <w:rPr>
                <w:bCs/>
              </w:rPr>
              <w:t>ors</w:t>
            </w:r>
            <w:r w:rsidR="00E1552E" w:rsidRPr="00E1552E">
              <w:rPr>
                <w:bCs/>
              </w:rPr>
              <w:t xml:space="preserve">dagen den </w:t>
            </w:r>
            <w:r w:rsidR="00E2595C">
              <w:rPr>
                <w:bCs/>
              </w:rPr>
              <w:t>26 november</w:t>
            </w:r>
            <w:r w:rsidR="00E1552E" w:rsidRPr="00E1552E">
              <w:rPr>
                <w:bCs/>
              </w:rPr>
              <w:t xml:space="preserve"> 2023 kl. 1</w:t>
            </w:r>
            <w:r w:rsidR="00DA4267">
              <w:rPr>
                <w:bCs/>
              </w:rPr>
              <w:t>0</w:t>
            </w:r>
            <w:r w:rsidR="00E1552E" w:rsidRPr="00E1552E">
              <w:rPr>
                <w:bCs/>
              </w:rPr>
              <w:t>.00</w:t>
            </w:r>
            <w:r w:rsidR="00E2595C">
              <w:rPr>
                <w:bCs/>
              </w:rPr>
              <w:t>.</w:t>
            </w:r>
          </w:p>
          <w:p w14:paraId="50FA8902" w14:textId="3666F7EE" w:rsidR="00BA0945" w:rsidRDefault="00BA0945" w:rsidP="00A74A3A">
            <w:pPr>
              <w:widowControl w:val="0"/>
              <w:tabs>
                <w:tab w:val="left" w:pos="1701"/>
              </w:tabs>
              <w:rPr>
                <w:bCs/>
              </w:rPr>
            </w:pPr>
          </w:p>
          <w:p w14:paraId="64307BA5" w14:textId="6122B411" w:rsidR="00BA0945" w:rsidRPr="0077189E" w:rsidRDefault="00BA0945" w:rsidP="00A74A3A">
            <w:pPr>
              <w:widowControl w:val="0"/>
              <w:tabs>
                <w:tab w:val="left" w:pos="1701"/>
              </w:tabs>
              <w:rPr>
                <w:bCs/>
              </w:rPr>
            </w:pPr>
          </w:p>
        </w:tc>
      </w:tr>
      <w:tr w:rsidR="00DC0D46" w:rsidRPr="0012669A" w14:paraId="448A3638" w14:textId="77777777" w:rsidTr="00D7630C">
        <w:tc>
          <w:tcPr>
            <w:tcW w:w="7729" w:type="dxa"/>
            <w:gridSpan w:val="2"/>
          </w:tcPr>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44E0A703" w14:textId="77777777" w:rsidR="00DC0D46" w:rsidRPr="0012669A" w:rsidRDefault="00DC0D46" w:rsidP="00DC0D46">
            <w:pPr>
              <w:tabs>
                <w:tab w:val="left" w:pos="1701"/>
              </w:tabs>
            </w:pPr>
          </w:p>
          <w:p w14:paraId="79740975" w14:textId="786CF859" w:rsidR="00DC0D46" w:rsidRPr="0012669A" w:rsidRDefault="00DC0D46" w:rsidP="00DC0D46">
            <w:pPr>
              <w:tabs>
                <w:tab w:val="left" w:pos="1701"/>
              </w:tabs>
            </w:pPr>
            <w:r w:rsidRPr="0012669A">
              <w:t xml:space="preserve">Justeras den </w:t>
            </w:r>
            <w:r w:rsidR="00E2595C">
              <w:t>26 november</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0AD59608" w:rsidR="00297ABD" w:rsidRPr="00355D1B" w:rsidRDefault="00297ABD" w:rsidP="00DC0D46">
            <w:pPr>
              <w:tabs>
                <w:tab w:val="left" w:pos="1701"/>
              </w:tabs>
            </w:pPr>
          </w:p>
        </w:tc>
      </w:tr>
    </w:tbl>
    <w:p w14:paraId="1C4A8EDD" w14:textId="48355340" w:rsidR="00916459" w:rsidRDefault="00916459">
      <w:bookmarkStart w:id="0" w:name="_Hlk97030853"/>
    </w:p>
    <w:p w14:paraId="40C7A919" w14:textId="77777777" w:rsidR="00916459" w:rsidRDefault="00916459">
      <w:r>
        <w:br w:type="page"/>
      </w:r>
    </w:p>
    <w:tbl>
      <w:tblPr>
        <w:tblW w:w="88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426"/>
        <w:gridCol w:w="425"/>
        <w:gridCol w:w="425"/>
        <w:gridCol w:w="425"/>
        <w:gridCol w:w="426"/>
        <w:gridCol w:w="282"/>
        <w:gridCol w:w="285"/>
        <w:gridCol w:w="302"/>
        <w:gridCol w:w="265"/>
        <w:gridCol w:w="19"/>
        <w:gridCol w:w="443"/>
        <w:gridCol w:w="388"/>
        <w:gridCol w:w="37"/>
        <w:gridCol w:w="426"/>
        <w:gridCol w:w="529"/>
        <w:gridCol w:w="19"/>
      </w:tblGrid>
      <w:tr w:rsidR="00B8320F" w14:paraId="66CEFB4D" w14:textId="77777777" w:rsidTr="009C36EC">
        <w:trPr>
          <w:gridAfter w:val="1"/>
          <w:wAfter w:w="19" w:type="dxa"/>
        </w:trPr>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bookmarkStart w:id="1" w:name="_Hlk146185070"/>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6"/>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5BE412A7" w:rsidR="00B8320F" w:rsidRDefault="00B8320F" w:rsidP="00FD0762">
            <w:pPr>
              <w:tabs>
                <w:tab w:val="left" w:pos="1701"/>
              </w:tabs>
            </w:pPr>
            <w:r>
              <w:rPr>
                <w:sz w:val="20"/>
              </w:rPr>
              <w:t>202</w:t>
            </w:r>
            <w:r w:rsidR="0090760E">
              <w:rPr>
                <w:sz w:val="20"/>
              </w:rPr>
              <w:t>3</w:t>
            </w:r>
            <w:r>
              <w:rPr>
                <w:sz w:val="20"/>
              </w:rPr>
              <w:t>/2</w:t>
            </w:r>
            <w:r w:rsidR="0090760E">
              <w:rPr>
                <w:sz w:val="20"/>
              </w:rPr>
              <w:t>4</w:t>
            </w:r>
            <w:r>
              <w:rPr>
                <w:sz w:val="20"/>
              </w:rPr>
              <w:t>:</w:t>
            </w:r>
            <w:r w:rsidR="001925F5">
              <w:rPr>
                <w:sz w:val="20"/>
              </w:rPr>
              <w:t>6</w:t>
            </w:r>
          </w:p>
        </w:tc>
      </w:tr>
      <w:tr w:rsidR="00B8320F" w14:paraId="0DF86746" w14:textId="77777777" w:rsidTr="009C36EC">
        <w:trPr>
          <w:gridAfter w:val="1"/>
          <w:wAfter w:w="19" w:type="dxa"/>
        </w:trPr>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078068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r w:rsidR="00BA0945">
              <w:rPr>
                <w:sz w:val="22"/>
                <w:szCs w:val="22"/>
              </w:rPr>
              <w:t>–</w:t>
            </w:r>
            <w:r w:rsidR="00E2595C">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1C0AE3F6"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3–4</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40243D8F"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5–10</w:t>
            </w:r>
          </w:p>
        </w:tc>
        <w:tc>
          <w:tcPr>
            <w:tcW w:w="567" w:type="dxa"/>
            <w:gridSpan w:val="2"/>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5D4DCCF5"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68D80F55"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495A7356"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46657B92" w:rsidR="00B8320F" w:rsidRPr="00772FEE"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43D12E35" w:rsidR="00B8320F" w:rsidRPr="00772FEE"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2E0782A9" w:rsidR="00B8320F" w:rsidRPr="00772FEE"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0993E38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3D4E3D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2C4BAA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2"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2"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gridSpan w:val="2"/>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50FFF4F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30E80B2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7C219F4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378E2072"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4AE68A89"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712C4DC1"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627F8489"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095D7719"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4BAFE670"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510C74C7"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61AEBEF0"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3628444F"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018178D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183D44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483AF10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65E8DD8B"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07DFFA9F"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04D75BC5"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318802E0"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369E5BC9"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54E85754"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49E31BFF"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7434066F"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706B0548"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9DFB4AC" w14:textId="4686B611" w:rsidR="00B8320F" w:rsidRDefault="0064466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Anna af Sillén (M)</w:t>
            </w:r>
          </w:p>
        </w:tc>
        <w:tc>
          <w:tcPr>
            <w:tcW w:w="398" w:type="dxa"/>
            <w:tcBorders>
              <w:top w:val="single" w:sz="6" w:space="0" w:color="auto"/>
              <w:left w:val="single" w:sz="6" w:space="0" w:color="auto"/>
              <w:bottom w:val="single" w:sz="6" w:space="0" w:color="auto"/>
              <w:right w:val="single" w:sz="6" w:space="0" w:color="auto"/>
            </w:tcBorders>
          </w:tcPr>
          <w:p w14:paraId="162330C2" w14:textId="28B5F090"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0AE7B70E"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54B69E34"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66DA7F81"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766648C2"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0089B777"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28CCD4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247B49D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5EBA19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675A64BB"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4D022EEA"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3E020BD3"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307B8F8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67CEAB56"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6F8C75FD"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11D75738"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7E8FE465"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7A977107"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3E383F2" w14:textId="1DD39101" w:rsidR="0062608C" w:rsidRDefault="00BA0945" w:rsidP="00FD0762">
            <w:pPr>
              <w:tabs>
                <w:tab w:val="left" w:pos="1985"/>
              </w:tabs>
              <w:rPr>
                <w:snapToGrid w:val="0"/>
                <w:color w:val="000000"/>
                <w:sz w:val="20"/>
              </w:rPr>
            </w:pPr>
            <w:r>
              <w:rPr>
                <w:snapToGrid w:val="0"/>
                <w:color w:val="000000"/>
                <w:sz w:val="20"/>
              </w:rPr>
              <w:t>Johnny Svedin</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0D39A76F" w:rsidR="0062608C"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7139F4F1" w:rsidR="0062608C"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1ED81F24" w:rsidR="0062608C"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77D9079E"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5776C44D"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642F7CD2"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5F1D078" w14:textId="5AC61FFC"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2A40DF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5C061E60" w:rsidR="009F7E47" w:rsidRPr="00F8082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6B1D73F" w14:textId="02559678" w:rsidR="00B8320F" w:rsidRPr="00F8082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EE1583" w14:textId="0CD46ED7" w:rsidR="00B8320F" w:rsidRPr="00F8082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2" w:type="dxa"/>
            <w:tcBorders>
              <w:top w:val="single" w:sz="6" w:space="0" w:color="auto"/>
              <w:left w:val="single" w:sz="6" w:space="0" w:color="auto"/>
              <w:bottom w:val="single" w:sz="6" w:space="0" w:color="auto"/>
              <w:right w:val="single" w:sz="6" w:space="0" w:color="auto"/>
            </w:tcBorders>
          </w:tcPr>
          <w:p w14:paraId="2092DA06" w14:textId="4FA9A05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5" w:type="dxa"/>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2"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gridSpan w:val="2"/>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3E98E3D6" w14:textId="530C979F" w:rsidR="00B8320F" w:rsidRDefault="00B72DB6" w:rsidP="00FD0762">
            <w:pPr>
              <w:tabs>
                <w:tab w:val="left" w:pos="1985"/>
              </w:tabs>
              <w:rPr>
                <w:snapToGrid w:val="0"/>
                <w:color w:val="000000"/>
                <w:sz w:val="20"/>
              </w:rPr>
            </w:pPr>
            <w:r w:rsidRPr="00B72DB6">
              <w:rPr>
                <w:snapToGrid w:val="0"/>
                <w:color w:val="000000"/>
                <w:sz w:val="20"/>
              </w:rPr>
              <w:t>Fredrik Ahlstedt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72DB6" w14:paraId="09927080"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6C0F9A1" w14:textId="57F43F55" w:rsidR="00B72DB6" w:rsidRDefault="00DA5A31" w:rsidP="00FD0762">
            <w:pPr>
              <w:tabs>
                <w:tab w:val="left" w:pos="1985"/>
              </w:tabs>
              <w:rPr>
                <w:snapToGrid w:val="0"/>
                <w:color w:val="000000"/>
                <w:sz w:val="20"/>
                <w:lang w:val="en-US"/>
              </w:rPr>
            </w:pPr>
            <w:r w:rsidRPr="00DA5A31">
              <w:rPr>
                <w:snapToGrid w:val="0"/>
                <w:color w:val="000000"/>
                <w:sz w:val="20"/>
                <w:lang w:val="en-US"/>
              </w:rPr>
              <w:t>Charlotte Quensel</w:t>
            </w:r>
            <w:r>
              <w:rPr>
                <w:snapToGrid w:val="0"/>
                <w:color w:val="000000"/>
                <w:sz w:val="20"/>
                <w:lang w:val="en-US"/>
              </w:rPr>
              <w:t xml:space="preserve"> </w:t>
            </w:r>
            <w:r w:rsidR="00B72DB6">
              <w:rPr>
                <w:snapToGrid w:val="0"/>
                <w:color w:val="000000"/>
                <w:sz w:val="20"/>
                <w:lang w:val="en-US"/>
              </w:rPr>
              <w:t>(SD)</w:t>
            </w:r>
          </w:p>
        </w:tc>
        <w:tc>
          <w:tcPr>
            <w:tcW w:w="398" w:type="dxa"/>
            <w:tcBorders>
              <w:top w:val="single" w:sz="6" w:space="0" w:color="auto"/>
              <w:left w:val="single" w:sz="6" w:space="0" w:color="auto"/>
              <w:bottom w:val="single" w:sz="6" w:space="0" w:color="auto"/>
              <w:right w:val="single" w:sz="6" w:space="0" w:color="auto"/>
            </w:tcBorders>
          </w:tcPr>
          <w:p w14:paraId="64359E2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8014A5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48E7F7D"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2F28BA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DE3E213"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2A64E864"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7C3416F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756235B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53B3464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1F9C16C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42232D0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A836A17"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7E89DA8E"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6601F883"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4A79C7E" w14:textId="29B263C8"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Ann-Sofie Lifvenhage (M)</w:t>
            </w:r>
          </w:p>
        </w:tc>
        <w:tc>
          <w:tcPr>
            <w:tcW w:w="398" w:type="dxa"/>
            <w:tcBorders>
              <w:top w:val="single" w:sz="6" w:space="0" w:color="auto"/>
              <w:left w:val="single" w:sz="6" w:space="0" w:color="auto"/>
              <w:bottom w:val="single" w:sz="6" w:space="0" w:color="auto"/>
              <w:right w:val="single" w:sz="6" w:space="0" w:color="auto"/>
            </w:tcBorders>
          </w:tcPr>
          <w:p w14:paraId="5D2B84FC" w14:textId="3162C1E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71C82AF4"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287A1A90"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4CACECD2"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2724C9EE"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6F59DD27"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3E5009ED" w:rsidR="00B8320F" w:rsidRDefault="00E259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6E8403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5DC50C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0A920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09689DC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6AA606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0D78B43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9EB056B" w14:textId="039F04EA" w:rsidR="00B8320F" w:rsidRDefault="00B72DB6" w:rsidP="00FD0762">
            <w:pPr>
              <w:rPr>
                <w:sz w:val="20"/>
              </w:rPr>
            </w:pPr>
            <w:r>
              <w:rPr>
                <w:sz w:val="20"/>
              </w:rPr>
              <w:t xml:space="preserve">Saila </w:t>
            </w:r>
            <w:r w:rsidRPr="00B72DB6">
              <w:rPr>
                <w:sz w:val="20"/>
              </w:rPr>
              <w:t>Quicklund</w:t>
            </w:r>
            <w:r>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1A2648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3FB83D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43EFE8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2DC399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1970BE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28A7D30B"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148AB754"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9C36EC">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9C36EC">
        <w:trPr>
          <w:gridAfter w:val="1"/>
          <w:wAfter w:w="19" w:type="dxa"/>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7"/>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9C36EC">
        <w:trPr>
          <w:gridAfter w:val="1"/>
          <w:wAfter w:w="19" w:type="dxa"/>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7"/>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6D3CF4"/>
    <w:sectPr w:rsidR="00B8320F" w:rsidSect="00C55010">
      <w:pgSz w:w="11906" w:h="16838"/>
      <w:pgMar w:top="794" w:right="119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2DEA" w14:textId="77777777" w:rsidR="002A6F34" w:rsidRDefault="002A6F34" w:rsidP="002130F1">
      <w:r>
        <w:separator/>
      </w:r>
    </w:p>
  </w:endnote>
  <w:endnote w:type="continuationSeparator" w:id="0">
    <w:p w14:paraId="4B1797C7" w14:textId="77777777" w:rsidR="002A6F34" w:rsidRDefault="002A6F3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EA01" w14:textId="77777777" w:rsidR="002A6F34" w:rsidRDefault="002A6F34" w:rsidP="002130F1">
      <w:r>
        <w:separator/>
      </w:r>
    </w:p>
  </w:footnote>
  <w:footnote w:type="continuationSeparator" w:id="0">
    <w:p w14:paraId="1A8AD1E9" w14:textId="77777777" w:rsidR="002A6F34" w:rsidRDefault="002A6F3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4D73"/>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00C5"/>
    <w:rsid w:val="001D1340"/>
    <w:rsid w:val="001D18B0"/>
    <w:rsid w:val="001D227C"/>
    <w:rsid w:val="001D2797"/>
    <w:rsid w:val="001D3075"/>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F34"/>
    <w:rsid w:val="002A7966"/>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52D94"/>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4DD9"/>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06C"/>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878"/>
    <w:rsid w:val="008B45DF"/>
    <w:rsid w:val="008B556E"/>
    <w:rsid w:val="008B5DC5"/>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742"/>
    <w:rsid w:val="00BB48B9"/>
    <w:rsid w:val="00BB6D9F"/>
    <w:rsid w:val="00BB70C5"/>
    <w:rsid w:val="00BC014F"/>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87EC7"/>
    <w:rsid w:val="00C9305C"/>
    <w:rsid w:val="00C94F91"/>
    <w:rsid w:val="00C9538D"/>
    <w:rsid w:val="00C96555"/>
    <w:rsid w:val="00C97083"/>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3DDC"/>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126"/>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7BEF"/>
    <w:rsid w:val="00FE7E2D"/>
    <w:rsid w:val="00FE7ED5"/>
    <w:rsid w:val="00FF0198"/>
    <w:rsid w:val="00FF04EE"/>
    <w:rsid w:val="00FF0520"/>
    <w:rsid w:val="00FF16FC"/>
    <w:rsid w:val="00FF17DE"/>
    <w:rsid w:val="00FF29CE"/>
    <w:rsid w:val="00FF2D44"/>
    <w:rsid w:val="00FF355E"/>
    <w:rsid w:val="00FF3A01"/>
    <w:rsid w:val="00FF4284"/>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5FB"/>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7962</Characters>
  <Application>Microsoft Office Word</Application>
  <DocSecurity>0</DocSecurity>
  <Lines>1137</Lines>
  <Paragraphs>216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2023-10-24T09:35:00Z</cp:lastPrinted>
  <dcterms:created xsi:type="dcterms:W3CDTF">2023-11-07T12:50:00Z</dcterms:created>
  <dcterms:modified xsi:type="dcterms:W3CDTF">2023-11-07T12:50:00Z</dcterms:modified>
</cp:coreProperties>
</file>