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57A08587"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481E6F">
        <w:rPr>
          <w:b/>
          <w:bCs/>
          <w:u w:val="single"/>
        </w:rPr>
        <w:t xml:space="preserve">14 december </w:t>
      </w:r>
      <w:r w:rsidR="008941C8" w:rsidRPr="00F36B44">
        <w:rPr>
          <w:b/>
          <w:bCs/>
          <w:u w:val="single"/>
        </w:rPr>
        <w:t>202</w:t>
      </w:r>
      <w:r w:rsidR="00153AF5" w:rsidRPr="00F36B44">
        <w:rPr>
          <w:b/>
          <w:bCs/>
          <w:u w:val="single"/>
        </w:rPr>
        <w:t>1</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77777777" w:rsidR="00F36B44" w:rsidRDefault="00F36B44" w:rsidP="00F36B44">
      <w:pPr>
        <w:pStyle w:val="Rubrik"/>
        <w:spacing w:after="280"/>
        <w:rPr>
          <w:u w:val="single"/>
        </w:rPr>
      </w:pPr>
    </w:p>
    <w:p w14:paraId="115B9397" w14:textId="78CAAA14" w:rsidR="00267BD4" w:rsidRDefault="00F36B44" w:rsidP="00267BD4">
      <w:pPr>
        <w:pStyle w:val="Rubrik"/>
        <w:spacing w:after="280"/>
        <w:rPr>
          <w:u w:val="single"/>
        </w:rPr>
      </w:pPr>
      <w:r w:rsidRPr="00A93242">
        <w:rPr>
          <w:u w:val="single"/>
        </w:rPr>
        <w:t>Icke lagstiftande verksamhet</w:t>
      </w:r>
    </w:p>
    <w:p w14:paraId="11EBC78A" w14:textId="77777777" w:rsidR="00E64688" w:rsidRPr="00E64688" w:rsidRDefault="00E64688" w:rsidP="00E64688">
      <w:pPr>
        <w:pStyle w:val="Brdtext"/>
      </w:pPr>
    </w:p>
    <w:p w14:paraId="1A7ADAA3" w14:textId="669C1D89" w:rsidR="00267BD4" w:rsidRPr="00AB2903" w:rsidRDefault="008E004B" w:rsidP="00AB2903">
      <w:pPr>
        <w:pStyle w:val="Rubrik1"/>
        <w:rPr>
          <w:b/>
          <w:bCs/>
        </w:rPr>
      </w:pPr>
      <w:bookmarkStart w:id="1" w:name="_Hlk81922427"/>
      <w:r>
        <w:rPr>
          <w:b/>
          <w:bCs/>
        </w:rPr>
        <w:t>Slutsatser om utvidgning</w:t>
      </w:r>
      <w:r w:rsidR="008E6E5D">
        <w:rPr>
          <w:b/>
          <w:bCs/>
        </w:rPr>
        <w:t>en och s</w:t>
      </w:r>
      <w:r>
        <w:rPr>
          <w:b/>
          <w:bCs/>
        </w:rPr>
        <w:t>tabiliserings- och associeringsprocess</w:t>
      </w:r>
      <w:r w:rsidR="00E00F66">
        <w:rPr>
          <w:b/>
          <w:bCs/>
        </w:rPr>
        <w:t>en</w:t>
      </w:r>
      <w:r>
        <w:rPr>
          <w:b/>
          <w:bCs/>
        </w:rPr>
        <w:t xml:space="preserve"> </w:t>
      </w:r>
    </w:p>
    <w:p w14:paraId="7622632C" w14:textId="49A9D9E2" w:rsidR="00267BD4" w:rsidRPr="00267BD4" w:rsidRDefault="008E004B"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 xml:space="preserve">Beslutspunkt </w:t>
      </w:r>
    </w:p>
    <w:p w14:paraId="0B7BE09D" w14:textId="77777777" w:rsidR="00151D2E" w:rsidRPr="0083220F" w:rsidRDefault="00151D2E" w:rsidP="00151D2E">
      <w:pPr>
        <w:pStyle w:val="Brdtext"/>
        <w:rPr>
          <w:b/>
          <w:bCs/>
        </w:rPr>
      </w:pPr>
      <w:r w:rsidRPr="0083220F">
        <w:rPr>
          <w:b/>
          <w:bCs/>
        </w:rPr>
        <w:t>Förslagets innehåll</w:t>
      </w:r>
    </w:p>
    <w:p w14:paraId="2A6499EA" w14:textId="77777777" w:rsidR="00151D2E" w:rsidRDefault="00151D2E" w:rsidP="00151D2E">
      <w:pPr>
        <w:pStyle w:val="Brdtext"/>
      </w:pPr>
      <w:bookmarkStart w:id="2" w:name="_Hlk68730311"/>
      <w:r w:rsidRPr="00C625DF">
        <w:t xml:space="preserve">Allmänna rådet </w:t>
      </w:r>
      <w:r>
        <w:t xml:space="preserve">förväntas anta slutsatser om </w:t>
      </w:r>
      <w:r w:rsidRPr="0055338F">
        <w:t>utvidgningen och stabiliserings- och associeringsprocessen</w:t>
      </w:r>
      <w:bookmarkEnd w:id="2"/>
      <w:r>
        <w:t>.</w:t>
      </w:r>
    </w:p>
    <w:p w14:paraId="7071664B" w14:textId="77777777" w:rsidR="00151D2E" w:rsidRPr="004C68A5" w:rsidRDefault="00151D2E" w:rsidP="00151D2E">
      <w:pPr>
        <w:pStyle w:val="Brdtext"/>
      </w:pPr>
      <w:r w:rsidRPr="00503F92">
        <w:rPr>
          <w:b/>
          <w:bCs/>
        </w:rPr>
        <w:t>Förslag till svensk ståndpunkt</w:t>
      </w:r>
      <w:r w:rsidRPr="00106C77">
        <w:t xml:space="preserve">: </w:t>
      </w:r>
    </w:p>
    <w:p w14:paraId="2671169D" w14:textId="47E63A36" w:rsidR="00151D2E" w:rsidRPr="004C68A5" w:rsidRDefault="00151D2E" w:rsidP="006E689A">
      <w:r>
        <w:t>Regeringen stödjer att rådsslutsatser antas. Antagande av rådsslutsatser signalerar enighet om utvidgningen och associerings- och stabiliseringsprocessen, och sänder viktiga budskap till de länder som kandiderar till EU-medlemskap eller utgör potentiella kandidatländer.  Det är v</w:t>
      </w:r>
      <w:r w:rsidRPr="00AE38DE">
        <w:t>iktigt att EU-närmandet sker utifrån kandidatländernas egna meriter och framsteg.</w:t>
      </w:r>
      <w:r>
        <w:t xml:space="preserve"> Därför måste l</w:t>
      </w:r>
      <w:r w:rsidRPr="00D76D81">
        <w:t>änderna fortsätta sina reformansträngningar</w:t>
      </w:r>
      <w:r>
        <w:t>, i</w:t>
      </w:r>
      <w:r w:rsidRPr="00D76D81">
        <w:t xml:space="preserve">nte </w:t>
      </w:r>
      <w:r w:rsidRPr="00D76D81">
        <w:lastRenderedPageBreak/>
        <w:t>minst för att stärka rättsstaten och för att bekämpa korruption och organiserad brottslighet.</w:t>
      </w:r>
      <w:r w:rsidRPr="00C22BA6">
        <w:rPr>
          <w:rFonts w:eastAsia="Times New Roman"/>
        </w:rPr>
        <w:t xml:space="preserve"> </w:t>
      </w:r>
      <w:r>
        <w:rPr>
          <w:rFonts w:eastAsia="Times New Roman"/>
        </w:rPr>
        <w:t>Vad gäller enskilda länder som berörs av utvidgningsfrågan gäller tidigare avstämda positioner. </w:t>
      </w:r>
    </w:p>
    <w:p w14:paraId="5B7D4D90" w14:textId="77777777" w:rsidR="00151D2E" w:rsidRPr="0083220F" w:rsidRDefault="00151D2E" w:rsidP="00151D2E">
      <w:pPr>
        <w:pStyle w:val="Brdtext"/>
        <w:keepNext/>
        <w:rPr>
          <w:b/>
          <w:bCs/>
        </w:rPr>
      </w:pPr>
      <w:r w:rsidRPr="0083220F">
        <w:rPr>
          <w:b/>
          <w:bCs/>
        </w:rPr>
        <w:t xml:space="preserve">Datum för tidigare behandling i riksdagen </w:t>
      </w:r>
    </w:p>
    <w:p w14:paraId="711586EB" w14:textId="501B16D1" w:rsidR="00151D2E" w:rsidRDefault="00151D2E" w:rsidP="00151D2E">
      <w:pPr>
        <w:pStyle w:val="Brdtext"/>
      </w:pPr>
      <w:r>
        <w:t xml:space="preserve">EU:s utvidgning behandlades senast vid EU-nämndens sammanträde den 19 november 2021, inför mötet i allmänna rådet den 23 november. Därtill behandlades västra Balkan vid EU-nämndens sammanträde den 12 november 2021, inför rådet för utrikesfrågor den 15 november, samt vid EU-nämndens sammanträde den 5 oktober inför EU:s toppmöte med länderna på västra Balkan den 6 oktober. </w:t>
      </w:r>
    </w:p>
    <w:p w14:paraId="3A4733A8" w14:textId="77777777" w:rsidR="00E64688" w:rsidRDefault="00E64688" w:rsidP="00151D2E">
      <w:pPr>
        <w:pStyle w:val="Brdtext"/>
      </w:pPr>
    </w:p>
    <w:p w14:paraId="2139AB84" w14:textId="77718DF3" w:rsidR="00AB33F4" w:rsidRDefault="008E004B" w:rsidP="00AB2903">
      <w:pPr>
        <w:pStyle w:val="Rubrik1"/>
        <w:rPr>
          <w:b/>
          <w:bCs/>
        </w:rPr>
      </w:pPr>
      <w:bookmarkStart w:id="3" w:name="_Hlk70589369"/>
      <w:bookmarkEnd w:id="1"/>
      <w:r>
        <w:rPr>
          <w:b/>
          <w:bCs/>
        </w:rPr>
        <w:t xml:space="preserve">Förberedelser </w:t>
      </w:r>
      <w:r w:rsidR="008E6E5D">
        <w:rPr>
          <w:b/>
          <w:bCs/>
        </w:rPr>
        <w:t>inför</w:t>
      </w:r>
      <w:r>
        <w:rPr>
          <w:b/>
          <w:bCs/>
        </w:rPr>
        <w:t xml:space="preserve"> Europeiska rådet</w:t>
      </w:r>
      <w:r w:rsidR="008E6E5D">
        <w:rPr>
          <w:b/>
          <w:bCs/>
        </w:rPr>
        <w:t xml:space="preserve"> </w:t>
      </w:r>
      <w:r>
        <w:rPr>
          <w:b/>
          <w:bCs/>
        </w:rPr>
        <w:t>den 16–17 december 2021</w:t>
      </w:r>
      <w:r w:rsidR="002A5C84">
        <w:rPr>
          <w:b/>
          <w:bCs/>
        </w:rPr>
        <w:t>: slutsatser</w:t>
      </w:r>
      <w:r w:rsidR="00C15931">
        <w:rPr>
          <w:b/>
          <w:bCs/>
        </w:rPr>
        <w:t>.</w:t>
      </w:r>
    </w:p>
    <w:p w14:paraId="4D3DC219" w14:textId="3D9E207A" w:rsidR="00AB33F4" w:rsidRDefault="008E004B" w:rsidP="00AB33F4">
      <w:pPr>
        <w:pStyle w:val="Brdtext"/>
        <w:rPr>
          <w:i/>
          <w:iCs/>
        </w:rPr>
      </w:pPr>
      <w:r>
        <w:rPr>
          <w:i/>
          <w:iCs/>
        </w:rPr>
        <w:t xml:space="preserve">Diskussionspunkt </w:t>
      </w:r>
    </w:p>
    <w:p w14:paraId="09E421F8" w14:textId="4BE5C5C2"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4600C201" w14:textId="7718E758" w:rsidR="00A076E1" w:rsidRDefault="00A076E1" w:rsidP="00A076E1">
      <w:pPr>
        <w:pStyle w:val="Brdtext"/>
      </w:pPr>
      <w:r>
        <w:t xml:space="preserve">Rådet ska förbereda Europeiska rådets möte den 16 – 17 december med utgångspunkt från ett utkast till slutsatser. Dessa har ännu inte delgivits medlemsstaterna. En preliminär dagordning till Europeiska rådets möte har delgivits nämnden. På dagordningen står covid-19, </w:t>
      </w:r>
      <w:r w:rsidR="00616809">
        <w:t>krisberedskap</w:t>
      </w:r>
      <w:r>
        <w:t xml:space="preserve"> och resiliens, energipriser, säkerhet och försvar och utrikes frågor.</w:t>
      </w:r>
      <w:r w:rsidR="003E1EA7">
        <w:t xml:space="preserve"> Med tanke på utvecklingen vid gränsen till Belarus kan det inte uteslutas frågor om externa aspekter </w:t>
      </w:r>
      <w:r w:rsidR="00EB6730">
        <w:t xml:space="preserve">av </w:t>
      </w:r>
      <w:r w:rsidR="003E1EA7">
        <w:t xml:space="preserve">migration </w:t>
      </w:r>
      <w:r w:rsidR="004B2A8F">
        <w:t xml:space="preserve">också </w:t>
      </w:r>
      <w:r w:rsidR="003E1EA7">
        <w:t xml:space="preserve">kan </w:t>
      </w:r>
      <w:r w:rsidR="004B2A8F">
        <w:t xml:space="preserve">komma att </w:t>
      </w:r>
      <w:r w:rsidR="003E1EA7">
        <w:t xml:space="preserve">behandlas. </w:t>
      </w:r>
    </w:p>
    <w:p w14:paraId="38B0DC9C" w14:textId="421DDD9F" w:rsidR="00A076E1" w:rsidRDefault="00A076E1" w:rsidP="00A076E1">
      <w:pPr>
        <w:pStyle w:val="Brdtext"/>
      </w:pPr>
      <w:r>
        <w:t>Europeiska rådet förväntas med utgångspunkt från den försämrade epidemiologiska situationen, den nya virusvarianten och den pågående vaccineringen diskutera fortsatta samordningsinsatser inom EU</w:t>
      </w:r>
      <w:r w:rsidR="007F534D">
        <w:t xml:space="preserve">. Det gäller bl.a. </w:t>
      </w:r>
      <w:r>
        <w:t>hur vaccination</w:t>
      </w:r>
      <w:r w:rsidR="007F534D">
        <w:t>sgraden kan höjas</w:t>
      </w:r>
      <w:r w:rsidR="005B5D92">
        <w:t xml:space="preserve">, </w:t>
      </w:r>
      <w:r w:rsidR="004D3564">
        <w:t xml:space="preserve">hur </w:t>
      </w:r>
      <w:r w:rsidR="007F534D">
        <w:t xml:space="preserve">genomförandet av reserekommendationer </w:t>
      </w:r>
      <w:r w:rsidR="004D3564">
        <w:t xml:space="preserve">kan </w:t>
      </w:r>
      <w:r w:rsidR="007F534D">
        <w:t>samordnas</w:t>
      </w:r>
      <w:r w:rsidR="005B5D92">
        <w:t xml:space="preserve"> och </w:t>
      </w:r>
      <w:r w:rsidR="007F534D">
        <w:t xml:space="preserve">hur </w:t>
      </w:r>
      <w:r>
        <w:t xml:space="preserve">internationell solidaritet </w:t>
      </w:r>
      <w:r w:rsidR="005B5D92">
        <w:t xml:space="preserve">gällande </w:t>
      </w:r>
      <w:r>
        <w:t>vaccindelning</w:t>
      </w:r>
      <w:r w:rsidR="007F534D">
        <w:t xml:space="preserve"> </w:t>
      </w:r>
      <w:r w:rsidR="004D3564">
        <w:t xml:space="preserve">kan </w:t>
      </w:r>
      <w:r w:rsidR="007F534D">
        <w:t>främjas</w:t>
      </w:r>
      <w:r>
        <w:t xml:space="preserve">. </w:t>
      </w:r>
    </w:p>
    <w:p w14:paraId="2D768850" w14:textId="5C70DBF9" w:rsidR="007F534D" w:rsidRDefault="007F534D" w:rsidP="00A076E1">
      <w:pPr>
        <w:pStyle w:val="Brdtext"/>
      </w:pPr>
      <w:r>
        <w:t xml:space="preserve">Europeiska rådet ska följa upp arbetet med förbättrad beredskap och motståndskraft mot framtida kriser. Vidare ska Europeiska rådet åter behandla energipriserna inom EU </w:t>
      </w:r>
      <w:r w:rsidR="00616809">
        <w:t xml:space="preserve">bl.a. </w:t>
      </w:r>
      <w:r>
        <w:t xml:space="preserve">med utgångspunkt från </w:t>
      </w:r>
      <w:r w:rsidR="00920A9E">
        <w:t xml:space="preserve">två </w:t>
      </w:r>
      <w:r>
        <w:t xml:space="preserve">rapporter </w:t>
      </w:r>
      <w:r w:rsidR="00616809">
        <w:lastRenderedPageBreak/>
        <w:t xml:space="preserve">från EU:s byrå för samarbete mellan energitillsynsmyndigheter (ACER) </w:t>
      </w:r>
      <w:r w:rsidR="00920A9E">
        <w:t xml:space="preserve">respektive </w:t>
      </w:r>
      <w:r w:rsidR="00616809">
        <w:t xml:space="preserve">Europeiska värdepappers- och marknadsmyndigheten (ESMA). </w:t>
      </w:r>
    </w:p>
    <w:p w14:paraId="2F67EE6C" w14:textId="31B6EB40" w:rsidR="008E004B" w:rsidRPr="00AB33F4" w:rsidRDefault="00DE0BB3" w:rsidP="005B5D92">
      <w:pPr>
        <w:pStyle w:val="Brdtext"/>
      </w:pPr>
      <w:r>
        <w:t xml:space="preserve">Stats- och regeringscheferna </w:t>
      </w:r>
      <w:r w:rsidR="0087726D">
        <w:t>förväntas</w:t>
      </w:r>
      <w:r>
        <w:t xml:space="preserve"> ha en orienterande diskussion om säkerhet och försvar med utgångspunkt från förslaget till en </w:t>
      </w:r>
      <w:r w:rsidR="00E64688">
        <w:t>så kallad s</w:t>
      </w:r>
      <w:r>
        <w:t xml:space="preserve">trategisk kompass och en kommande gemensam deklaration om samarbetet mellan EU och Nato. Avslutningsvis </w:t>
      </w:r>
      <w:r w:rsidR="005B5D92">
        <w:t xml:space="preserve">ska </w:t>
      </w:r>
      <w:r w:rsidR="0087726D">
        <w:t xml:space="preserve">situationen vid </w:t>
      </w:r>
      <w:r w:rsidR="005B5D92">
        <w:t xml:space="preserve">EU:s gräns till Belarus att behandlas och det kommande toppmötet mellan EU och den Afrikanska unionen förberedas. </w:t>
      </w:r>
      <w:r w:rsidR="008E004B" w:rsidRPr="00AB33F4">
        <w:t xml:space="preserve">  </w:t>
      </w:r>
    </w:p>
    <w:p w14:paraId="50087153" w14:textId="202B246A" w:rsidR="00AB33F4" w:rsidRDefault="00AB33F4" w:rsidP="00AB33F4">
      <w:pPr>
        <w:pStyle w:val="Rubrik2utannumrering"/>
        <w:rPr>
          <w:rFonts w:ascii="Garamond" w:hAnsi="Garamond"/>
          <w:sz w:val="25"/>
          <w:szCs w:val="25"/>
        </w:rPr>
      </w:pPr>
      <w:r w:rsidRPr="00A8124F">
        <w:rPr>
          <w:rFonts w:ascii="Garamond" w:hAnsi="Garamond"/>
          <w:sz w:val="25"/>
          <w:szCs w:val="25"/>
        </w:rPr>
        <w:t>Förslag till svensk ståndpunkt</w:t>
      </w:r>
    </w:p>
    <w:p w14:paraId="0D4D7663" w14:textId="293AF515" w:rsidR="00653648" w:rsidRDefault="00653648" w:rsidP="00653648">
      <w:pPr>
        <w:pStyle w:val="Brdtext"/>
        <w:rPr>
          <w:color w:val="000000"/>
          <w:szCs w:val="24"/>
        </w:rPr>
      </w:pPr>
      <w:r>
        <w:t xml:space="preserve">Regeringen ser positivt på det arbete som gjorts inom EU för att påskynda utveckling, tillverkning, och distribution av vaccin mot covid-19. Det är viktigt att samordningen inom EU </w:t>
      </w:r>
      <w:r w:rsidR="001F1DE3">
        <w:t xml:space="preserve">fortsätter </w:t>
      </w:r>
      <w:r>
        <w:t xml:space="preserve">när det gäller reserestriktioner liksom att kommissionen motverkar omotiverade hinder på den inre marknaden. Regeringen välkomnar </w:t>
      </w:r>
      <w:r w:rsidRPr="00075020">
        <w:rPr>
          <w:color w:val="000000"/>
          <w:szCs w:val="24"/>
        </w:rPr>
        <w:t xml:space="preserve">EU-samarbetet om vidareförmedling av överskottsdoser och </w:t>
      </w:r>
      <w:r>
        <w:rPr>
          <w:color w:val="000000"/>
          <w:szCs w:val="24"/>
        </w:rPr>
        <w:t xml:space="preserve">anser att </w:t>
      </w:r>
      <w:r w:rsidRPr="00075020">
        <w:rPr>
          <w:color w:val="000000"/>
          <w:szCs w:val="24"/>
        </w:rPr>
        <w:t xml:space="preserve">den i så hög utsträckning som möjligt </w:t>
      </w:r>
      <w:r>
        <w:rPr>
          <w:color w:val="000000"/>
          <w:szCs w:val="24"/>
        </w:rPr>
        <w:t xml:space="preserve">ska ske </w:t>
      </w:r>
      <w:r w:rsidRPr="00075020">
        <w:rPr>
          <w:color w:val="000000"/>
          <w:szCs w:val="24"/>
        </w:rPr>
        <w:t xml:space="preserve">genom multilaterala plattformar. </w:t>
      </w:r>
    </w:p>
    <w:p w14:paraId="1171AEE8" w14:textId="55D8E0FF" w:rsidR="004A501C" w:rsidRDefault="004A501C" w:rsidP="004A501C">
      <w:pPr>
        <w:pStyle w:val="Brdtext"/>
      </w:pPr>
      <w:r>
        <w:t>Regeringen välkomnar diskussionen om hur EU:s beredskap, insatskapacitet och motståndskraft mot kommande kriser kan förbättras</w:t>
      </w:r>
      <w:r w:rsidR="00920A9E">
        <w:t xml:space="preserve"> och b</w:t>
      </w:r>
      <w:r>
        <w:t>etonar i sammanhanget att handel är en förutsättning för resiliens och vikten av öppenhet</w:t>
      </w:r>
      <w:r w:rsidR="001F1DE3">
        <w:t>,</w:t>
      </w:r>
      <w:r>
        <w:t xml:space="preserve"> vilket särskilt behöver belysas i ljuset av pandemin.</w:t>
      </w:r>
    </w:p>
    <w:p w14:paraId="004B5B03" w14:textId="43222D3C" w:rsidR="00653648" w:rsidRDefault="00653648" w:rsidP="00653648">
      <w:pPr>
        <w:pStyle w:val="Brdtext"/>
      </w:pPr>
      <w:r>
        <w:t xml:space="preserve">Regeringen </w:t>
      </w:r>
      <w:r w:rsidR="00920A9E">
        <w:t xml:space="preserve">anser att </w:t>
      </w:r>
      <w:r>
        <w:t xml:space="preserve">Europeiska rådets behandling av energipriserna </w:t>
      </w:r>
      <w:r w:rsidR="00920A9E">
        <w:t xml:space="preserve">behöver vara väl </w:t>
      </w:r>
      <w:r>
        <w:t xml:space="preserve">förberedd och separeras </w:t>
      </w:r>
      <w:r w:rsidRPr="00AE2863">
        <w:t xml:space="preserve">från diskussionen om </w:t>
      </w:r>
      <w:r>
        <w:t xml:space="preserve">EU:s </w:t>
      </w:r>
      <w:r w:rsidRPr="00AE2863">
        <w:t xml:space="preserve">klimatarbete. </w:t>
      </w:r>
      <w:r>
        <w:t xml:space="preserve">Regeringen välkomnar </w:t>
      </w:r>
      <w:r w:rsidR="00920A9E">
        <w:t>därför rapporterna</w:t>
      </w:r>
      <w:r w:rsidRPr="00AE2863">
        <w:t xml:space="preserve"> </w:t>
      </w:r>
      <w:r>
        <w:t xml:space="preserve">från ACER och ESMA som indikerar att </w:t>
      </w:r>
      <w:r w:rsidRPr="00E21733">
        <w:t xml:space="preserve">ETS-systemet </w:t>
      </w:r>
      <w:r>
        <w:t xml:space="preserve">endast haft en begränsad </w:t>
      </w:r>
      <w:r w:rsidRPr="00E21733">
        <w:t>påverkan på energipriserna och att ETS-marknaden fungerar som förväntat.</w:t>
      </w:r>
      <w:r>
        <w:t xml:space="preserve"> Regeringen menar</w:t>
      </w:r>
      <w:r w:rsidR="00803D98">
        <w:t xml:space="preserve"> därför</w:t>
      </w:r>
      <w:r>
        <w:t xml:space="preserve"> att större ingrepp i utformningen av EU:s elmarknad inte är motiverad.</w:t>
      </w:r>
    </w:p>
    <w:p w14:paraId="669381CC" w14:textId="69523A63" w:rsidR="00830179" w:rsidRDefault="00830179" w:rsidP="00803D98">
      <w:pPr>
        <w:rPr>
          <w:rFonts w:cs="Arial"/>
        </w:rPr>
      </w:pPr>
      <w:r>
        <w:t>Rådande säkerhetspolitiska omvärldsläge understryker behovet av ett starkt EU som främjar fred och säkerhet i vår del av världen och globalt. Regeringen stödjer därför en tydligare strategisk inriktning för europeiskt säkerhets- och försvarssamarbete genom utvecklingen av en så kallad strategisk kompass</w:t>
      </w:r>
      <w:r w:rsidR="00A95302">
        <w:t xml:space="preserve">. </w:t>
      </w:r>
      <w:r w:rsidR="00927961" w:rsidRPr="00927961">
        <w:t>Men det är viktigt att grundprincipen om att medlemsstaterna ansvarar för sina egna militära förmågor fortsatt upprätthålls</w:t>
      </w:r>
      <w:r w:rsidR="00927961">
        <w:t xml:space="preserve">. </w:t>
      </w:r>
      <w:r w:rsidR="00A95302">
        <w:t>R</w:t>
      </w:r>
      <w:r w:rsidR="00803D98" w:rsidRPr="00927961">
        <w:t xml:space="preserve">egeringen </w:t>
      </w:r>
      <w:r w:rsidR="00803D98">
        <w:rPr>
          <w:rFonts w:cs="Arial"/>
        </w:rPr>
        <w:t>välkomnar att Europeiska rådet g</w:t>
      </w:r>
      <w:r w:rsidR="00653648" w:rsidRPr="005009A3">
        <w:rPr>
          <w:rFonts w:cs="Arial"/>
        </w:rPr>
        <w:t xml:space="preserve">es möjlighet att </w:t>
      </w:r>
      <w:r>
        <w:rPr>
          <w:rFonts w:cs="Arial"/>
        </w:rPr>
        <w:t xml:space="preserve">ge </w:t>
      </w:r>
      <w:r>
        <w:rPr>
          <w:rFonts w:cs="Arial"/>
        </w:rPr>
        <w:lastRenderedPageBreak/>
        <w:t>vägledning om det fortsatta arbetet. Regeringen</w:t>
      </w:r>
      <w:r w:rsidR="00803D98">
        <w:rPr>
          <w:rFonts w:cs="Arial"/>
        </w:rPr>
        <w:t xml:space="preserve"> stödjer att </w:t>
      </w:r>
      <w:r w:rsidR="00653648" w:rsidRPr="005009A3">
        <w:rPr>
          <w:rFonts w:cs="Arial"/>
        </w:rPr>
        <w:t xml:space="preserve">en ny EU-Natodeklaration </w:t>
      </w:r>
      <w:r w:rsidR="00803D98">
        <w:rPr>
          <w:rFonts w:cs="Arial"/>
        </w:rPr>
        <w:t xml:space="preserve">utarbetas </w:t>
      </w:r>
      <w:r w:rsidR="00653648" w:rsidRPr="005009A3">
        <w:rPr>
          <w:rFonts w:cs="Arial"/>
        </w:rPr>
        <w:t xml:space="preserve">innan årets slut. </w:t>
      </w:r>
    </w:p>
    <w:p w14:paraId="28F1CE20" w14:textId="11E4BED9" w:rsidR="00653648" w:rsidRDefault="00E21C9C" w:rsidP="00653648">
      <w:pPr>
        <w:pStyle w:val="Brdtext"/>
      </w:pPr>
      <w:r>
        <w:t xml:space="preserve">Avseende det kommande toppmötet mellan EU och Afrikanska unionen betonar regeringen vikten av goda förberedelser, tidig </w:t>
      </w:r>
      <w:r w:rsidR="00653648" w:rsidRPr="00AE2863">
        <w:t xml:space="preserve">förankring av </w:t>
      </w:r>
      <w:r w:rsidR="00653648">
        <w:t>EU</w:t>
      </w:r>
      <w:r>
        <w:t xml:space="preserve">:s prioriteringar som bör omfatta </w:t>
      </w:r>
      <w:r w:rsidR="00653648">
        <w:t>handel, mänskliga rättigheter och migrat</w:t>
      </w:r>
      <w:r w:rsidR="00653648" w:rsidRPr="00AE2863">
        <w:t>i</w:t>
      </w:r>
      <w:r w:rsidR="00653648">
        <w:t>o</w:t>
      </w:r>
      <w:r w:rsidR="00653648" w:rsidRPr="00AE2863">
        <w:t xml:space="preserve">n </w:t>
      </w:r>
      <w:r>
        <w:t xml:space="preserve">samt betydelsen av </w:t>
      </w:r>
      <w:r w:rsidRPr="00AE2863">
        <w:t>gemensamt ägarskap</w:t>
      </w:r>
      <w:r w:rsidR="00653648" w:rsidRPr="00AE2863">
        <w:t>.</w:t>
      </w:r>
      <w:r w:rsidR="00653648">
        <w:t xml:space="preserve"> </w:t>
      </w:r>
    </w:p>
    <w:p w14:paraId="4B0653C6" w14:textId="2779822F" w:rsidR="00A95302" w:rsidRPr="000F4CC0" w:rsidRDefault="00A95302" w:rsidP="006E689A">
      <w:r>
        <w:t xml:space="preserve">Regeringen ser </w:t>
      </w:r>
      <w:r w:rsidRPr="000F4CC0">
        <w:t xml:space="preserve">allvarligt på Belarus agerande </w:t>
      </w:r>
      <w:r>
        <w:t xml:space="preserve">och </w:t>
      </w:r>
      <w:r w:rsidR="0096182B">
        <w:t xml:space="preserve">understryker att </w:t>
      </w:r>
      <w:r>
        <w:t xml:space="preserve">situationen </w:t>
      </w:r>
      <w:r w:rsidRPr="000F4CC0">
        <w:t>vid EU:s yttre gräns är en gemensam angelägenhet</w:t>
      </w:r>
      <w:r>
        <w:t xml:space="preserve"> för EU. Regeringen betonar vikten av att s</w:t>
      </w:r>
      <w:r w:rsidRPr="000F4CC0">
        <w:t xml:space="preserve">olidariska och samordnade åtgärder, vägledda av EU:s grundläggande värden och respekt för mänskliga rättigheter, </w:t>
      </w:r>
      <w:r w:rsidR="001F1DE3">
        <w:t xml:space="preserve">även fortsättningsvis </w:t>
      </w:r>
      <w:r w:rsidRPr="000F4CC0">
        <w:t xml:space="preserve">bör vara grunden för agerande. </w:t>
      </w:r>
    </w:p>
    <w:p w14:paraId="4B9CECA5" w14:textId="398F37B4" w:rsidR="00AB33F4" w:rsidRDefault="00AB33F4" w:rsidP="00AB33F4">
      <w:pPr>
        <w:pStyle w:val="Brdtext"/>
        <w:rPr>
          <w:b/>
          <w:bCs/>
        </w:rPr>
      </w:pPr>
      <w:r w:rsidRPr="003A669B">
        <w:rPr>
          <w:b/>
          <w:bCs/>
        </w:rPr>
        <w:t>Datum för tidigare behandling i riksdagen</w:t>
      </w:r>
    </w:p>
    <w:p w14:paraId="4658C2FE" w14:textId="703501A8" w:rsidR="002E46C2" w:rsidRDefault="002E46C2" w:rsidP="002E46C2">
      <w:pPr>
        <w:pStyle w:val="Brdtext"/>
        <w:numPr>
          <w:ilvl w:val="0"/>
          <w:numId w:val="20"/>
        </w:numPr>
        <w:rPr>
          <w:b/>
          <w:bCs/>
        </w:rPr>
      </w:pPr>
    </w:p>
    <w:p w14:paraId="6A949C6E" w14:textId="6BEBE5A7" w:rsidR="00AB33F4" w:rsidRDefault="004813A0" w:rsidP="00AB2903">
      <w:pPr>
        <w:pStyle w:val="Rubrik1"/>
        <w:rPr>
          <w:b/>
          <w:bCs/>
        </w:rPr>
      </w:pPr>
      <w:r>
        <w:rPr>
          <w:b/>
          <w:bCs/>
        </w:rPr>
        <w:t xml:space="preserve">Konferensen om Europas framtid </w:t>
      </w:r>
    </w:p>
    <w:p w14:paraId="686D41C3" w14:textId="230BB9CA" w:rsidR="00AB33F4" w:rsidRDefault="004813A0" w:rsidP="00AB33F4">
      <w:pPr>
        <w:pStyle w:val="Brdtext"/>
        <w:rPr>
          <w:i/>
          <w:iCs/>
        </w:rPr>
      </w:pPr>
      <w:r>
        <w:rPr>
          <w:i/>
          <w:iCs/>
        </w:rPr>
        <w:t xml:space="preserve">Informationspunkt </w:t>
      </w:r>
    </w:p>
    <w:p w14:paraId="5481A336" w14:textId="58D90A8D"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3ADF812E" w14:textId="77777777" w:rsidR="00927961" w:rsidRPr="007E588A" w:rsidRDefault="00927961" w:rsidP="00927961">
      <w:pPr>
        <w:pStyle w:val="Brdtext"/>
      </w:pPr>
      <w:r w:rsidRPr="007E588A">
        <w:t xml:space="preserve">Vid rådets möte förväntas det slovenska ordförandeskapet informera om den kommande plenarförsamlingen som har skjutits fram från december till januari på grund av pandemiläget. Ett möte i konferensens exekutiva styrelse ägde rum den 4 december där man landade i såväl detta beslut som hur de kommande medborgarpanelerna ska organiseras. Plenarförsamlingen i januari väntas behandla utgången av medborgarpanelerna 1 och 2. Medborgarpanel 1 har fokus på </w:t>
      </w:r>
      <w:r w:rsidRPr="007E588A">
        <w:rPr>
          <w:i/>
          <w:iCs/>
        </w:rPr>
        <w:t>En starkare ekonomi, social rättvisa och sysselsättning</w:t>
      </w:r>
      <w:r w:rsidRPr="007E588A">
        <w:t xml:space="preserve">; </w:t>
      </w:r>
      <w:r w:rsidRPr="007E588A">
        <w:rPr>
          <w:i/>
          <w:iCs/>
        </w:rPr>
        <w:t>Utbildning, ungdomsfrågor, kultur och idrott</w:t>
      </w:r>
      <w:r w:rsidRPr="007E588A">
        <w:t xml:space="preserve"> samt </w:t>
      </w:r>
      <w:r w:rsidRPr="007E588A">
        <w:rPr>
          <w:i/>
          <w:iCs/>
        </w:rPr>
        <w:t xml:space="preserve">Digital omställning </w:t>
      </w:r>
      <w:r w:rsidRPr="007E588A">
        <w:t xml:space="preserve">och har också skjutits upp till nästa år. Medborgarpanel 2 fokuserar på för </w:t>
      </w:r>
      <w:r w:rsidRPr="007E588A">
        <w:rPr>
          <w:i/>
          <w:iCs/>
        </w:rPr>
        <w:t>Demokratin i EU, Värderingar, rättigheter, rättsstatsprincipen</w:t>
      </w:r>
      <w:r w:rsidRPr="007E588A">
        <w:t xml:space="preserve"> och </w:t>
      </w:r>
      <w:r w:rsidRPr="007E588A">
        <w:rPr>
          <w:i/>
          <w:iCs/>
        </w:rPr>
        <w:t xml:space="preserve">Säkerhet </w:t>
      </w:r>
      <w:r w:rsidRPr="007E588A">
        <w:t>och äger rum den 10–12 december i hybrid format</w:t>
      </w:r>
      <w:r w:rsidRPr="007E588A">
        <w:rPr>
          <w:i/>
          <w:iCs/>
        </w:rPr>
        <w:t xml:space="preserve">. </w:t>
      </w:r>
      <w:r w:rsidRPr="007E588A">
        <w:t>Givet utvecklingen har Frankrike, som inkommande ordförandeland, aviserat möjligheten att förlänga Konferensen så att den avslutas i juni 2022 i stället för i mars 2022 som tidigare planerat.</w:t>
      </w:r>
    </w:p>
    <w:p w14:paraId="2B6B95B5" w14:textId="77777777" w:rsidR="00927961" w:rsidRPr="007E588A" w:rsidRDefault="00927961" w:rsidP="00927961">
      <w:pPr>
        <w:rPr>
          <w:rFonts w:ascii="Garamond" w:hAnsi="Garamond"/>
        </w:rPr>
      </w:pPr>
    </w:p>
    <w:p w14:paraId="595B0BFB" w14:textId="084457BA" w:rsidR="00927961" w:rsidRDefault="00927961" w:rsidP="00927961">
      <w:pPr>
        <w:pStyle w:val="Brdtext"/>
      </w:pPr>
      <w:r w:rsidRPr="007E588A">
        <w:lastRenderedPageBreak/>
        <w:t>Styrelsen beslutade även att</w:t>
      </w:r>
      <w:r>
        <w:t xml:space="preserve"> </w:t>
      </w:r>
      <w:r w:rsidRPr="007E588A">
        <w:t>Arbetsgrupperna ska kunna sammanträda i hybridformat under tiden fram till nästa plenarförsamling. Den 9 november hade ordförandena i framtidskonferensens arbetsgrupper ett möte med syfte att diskutera arbetsgruppernas upplägg. Sverige deltog i mötet i egenskap av blivande ordförande i arbetsgruppen för EU i världen, där Frankrike för närvarande är ordförande. Efter mötet har en not presenterats som syftar till att göra arbetsgrupperna med samspelta och där större hänsyn tas till medborgarnas roll.</w:t>
      </w:r>
      <w:r>
        <w:t xml:space="preserve"> </w:t>
      </w:r>
    </w:p>
    <w:p w14:paraId="68EE5533" w14:textId="5660FDD7" w:rsidR="00AB33F4" w:rsidRDefault="00AB33F4" w:rsidP="00AB33F4">
      <w:pPr>
        <w:pStyle w:val="Brdtext"/>
        <w:rPr>
          <w:b/>
          <w:bCs/>
        </w:rPr>
      </w:pPr>
      <w:r w:rsidRPr="003A669B">
        <w:rPr>
          <w:b/>
          <w:bCs/>
        </w:rPr>
        <w:t>Datum för tidigare behandling i riksdagen</w:t>
      </w:r>
    </w:p>
    <w:p w14:paraId="11EAB7E8" w14:textId="77777777" w:rsidR="004F70FC" w:rsidRPr="004F70FC" w:rsidRDefault="004F70FC" w:rsidP="004F70FC">
      <w:pPr>
        <w:rPr>
          <w:rFonts w:ascii="Garamond" w:hAnsi="Garamond"/>
        </w:rPr>
      </w:pPr>
      <w:r w:rsidRPr="004F70FC">
        <w:rPr>
          <w:rFonts w:ascii="Garamond" w:hAnsi="Garamond"/>
        </w:rPr>
        <w:t>Riksdagen har informerats om framtidskonferensen den 29 april 2019 genom faktapromemoria 2019/20: FPM17.</w:t>
      </w:r>
    </w:p>
    <w:p w14:paraId="749E0962" w14:textId="77777777" w:rsidR="004F70FC" w:rsidRPr="004F70FC" w:rsidRDefault="004F70FC" w:rsidP="004F70FC">
      <w:pPr>
        <w:rPr>
          <w:rFonts w:ascii="Garamond" w:hAnsi="Garamond"/>
        </w:rPr>
      </w:pPr>
      <w:r w:rsidRPr="004F70FC">
        <w:rPr>
          <w:rFonts w:ascii="Garamond" w:hAnsi="Garamond"/>
        </w:rPr>
        <w:t>Samråd om konferensen skedde i EU-nämnden den 11 december 2019 inför behandling som en övrig fråga på Europeiska rådets dagordning den 24 januari 2020 och den 25 maj 2020 inför behandling som diskussionspunkt i Allmänna rådet. EU-nämnden informerades om konferensen även den 9 oktober 2020, den 18 januari 2021, den 19 februari 2021, den 19 mars 2021, den 16 april 2021, den 7 maj 2021 och den 18 juni inför behandling som informationspunkt i Allmänna rådet. Samråd om konferensen skedde i EU-nämnden den 17 september och den 15 oktober inför behandling som diskussionspunkt i Allmänna rådet den 21 september respektive den 19 oktober 2021. Skriftligt samråd av den gemensamma deklarationen skedde med EU nämnden den 5 mars 2021.</w:t>
      </w:r>
    </w:p>
    <w:p w14:paraId="4B6F9028" w14:textId="6482CF77" w:rsidR="004F70FC" w:rsidRPr="004F70FC" w:rsidRDefault="004F70FC" w:rsidP="004F70FC">
      <w:pPr>
        <w:rPr>
          <w:rFonts w:ascii="Garamond" w:hAnsi="Garamond"/>
        </w:rPr>
      </w:pPr>
      <w:r w:rsidRPr="004F70FC">
        <w:rPr>
          <w:rFonts w:ascii="Garamond" w:hAnsi="Garamond"/>
        </w:rPr>
        <w:t>Överläggning om konferensen skedde i utrikesutskottet den 23 januari 2020 samt information gavs den 17 september 2020 och den 13 april 2021. Konstitutionsutskottet informerades om konferensen den 21 januari 2021</w:t>
      </w:r>
      <w:r>
        <w:rPr>
          <w:rFonts w:ascii="Garamond" w:hAnsi="Garamond"/>
        </w:rPr>
        <w:t>.</w:t>
      </w:r>
    </w:p>
    <w:p w14:paraId="136B0D07" w14:textId="3DF9F890" w:rsidR="007576D1" w:rsidRDefault="007576D1" w:rsidP="007576D1">
      <w:pPr>
        <w:pStyle w:val="Brdtext"/>
      </w:pPr>
    </w:p>
    <w:p w14:paraId="2B61082F" w14:textId="79222834" w:rsidR="00AB33F4" w:rsidRPr="004813A0" w:rsidRDefault="00AB33F4" w:rsidP="004813A0">
      <w:pPr>
        <w:pStyle w:val="Rubrik1"/>
        <w:rPr>
          <w:b/>
          <w:bCs/>
        </w:rPr>
      </w:pPr>
      <w:r w:rsidRPr="00AB33F4">
        <w:rPr>
          <w:rFonts w:ascii="Garamond" w:eastAsiaTheme="minorHAnsi" w:hAnsi="Garamond" w:cstheme="minorHAnsi"/>
          <w:b/>
          <w:bCs/>
          <w:color w:val="000000"/>
          <w:sz w:val="27"/>
          <w:szCs w:val="27"/>
        </w:rPr>
        <w:t> </w:t>
      </w:r>
      <w:r w:rsidR="004813A0" w:rsidRPr="00BE590C">
        <w:rPr>
          <w:b/>
          <w:bCs/>
        </w:rPr>
        <w:t>Rättsstat</w:t>
      </w:r>
      <w:r w:rsidR="004813A0">
        <w:rPr>
          <w:b/>
          <w:bCs/>
        </w:rPr>
        <w:t>s</w:t>
      </w:r>
      <w:r w:rsidR="002A5C84">
        <w:rPr>
          <w:b/>
          <w:bCs/>
        </w:rPr>
        <w:t>läget i Polen</w:t>
      </w:r>
      <w:r w:rsidR="00F32256">
        <w:rPr>
          <w:b/>
          <w:bCs/>
        </w:rPr>
        <w:t xml:space="preserve"> – m</w:t>
      </w:r>
      <w:r w:rsidR="002A5C84">
        <w:rPr>
          <w:b/>
          <w:bCs/>
        </w:rPr>
        <w:t xml:space="preserve">otiverat förslag enlig </w:t>
      </w:r>
      <w:r w:rsidR="004813A0">
        <w:rPr>
          <w:b/>
          <w:bCs/>
        </w:rPr>
        <w:t>artikel 7</w:t>
      </w:r>
      <w:r w:rsidR="002A5C84">
        <w:rPr>
          <w:b/>
          <w:bCs/>
        </w:rPr>
        <w:t>.1 i EU-fördraget</w:t>
      </w:r>
      <w:r w:rsidR="00F32256">
        <w:rPr>
          <w:b/>
          <w:bCs/>
        </w:rPr>
        <w:t xml:space="preserve">. </w:t>
      </w:r>
    </w:p>
    <w:p w14:paraId="4A755F02" w14:textId="035581F7" w:rsidR="00AB33F4" w:rsidRDefault="002E46C2" w:rsidP="00AB33F4">
      <w:pPr>
        <w:pStyle w:val="Brdtext"/>
        <w:rPr>
          <w:i/>
          <w:iCs/>
        </w:rPr>
      </w:pPr>
      <w:r>
        <w:rPr>
          <w:i/>
          <w:iCs/>
        </w:rPr>
        <w:t>Informationspunkt</w:t>
      </w:r>
    </w:p>
    <w:p w14:paraId="7A2C09B4" w14:textId="1AB79AA2"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5A440B03" w14:textId="77777777" w:rsidR="00841822" w:rsidRDefault="00841822" w:rsidP="001206B8">
      <w:r>
        <w:rPr>
          <w:rFonts w:ascii="Garamond" w:hAnsi="Garamond"/>
        </w:rPr>
        <w:t xml:space="preserve">Kommissionen valde att aktivera artikel 7.1 i EU-fördraget gentemot Polen genom ett motiverat förslag den 20 december 2017. I det motiverade </w:t>
      </w:r>
      <w:r>
        <w:rPr>
          <w:rFonts w:ascii="Garamond" w:hAnsi="Garamond"/>
        </w:rPr>
        <w:lastRenderedPageBreak/>
        <w:t xml:space="preserve">förslaget redogör kommissionen för sina farhågor avseende rättsstatens principer i Polen. Hittills har fyra utfrågningar hållits i rådet med Polen, den senaste i juni 2021. Vid kommande rådsmöte förväntas kommissionen informera om den senaste utvecklingen på rättsstatsområdet i Polen. </w:t>
      </w:r>
    </w:p>
    <w:p w14:paraId="0B61D48A" w14:textId="629D190B" w:rsidR="004813A0" w:rsidRDefault="00AB33F4" w:rsidP="004813A0">
      <w:pPr>
        <w:pStyle w:val="Brdtext"/>
        <w:rPr>
          <w:b/>
          <w:bCs/>
        </w:rPr>
      </w:pPr>
      <w:r w:rsidRPr="003A669B">
        <w:rPr>
          <w:b/>
          <w:bCs/>
        </w:rPr>
        <w:t>Datum för tidigare behandling i riksdagen</w:t>
      </w:r>
    </w:p>
    <w:p w14:paraId="00733D7B" w14:textId="707CB9D7" w:rsidR="00841822" w:rsidRDefault="00841822" w:rsidP="00A076E1">
      <w:pPr>
        <w:rPr>
          <w:rFonts w:ascii="Garamond" w:hAnsi="Garamond"/>
        </w:rPr>
      </w:pPr>
      <w:r>
        <w:rPr>
          <w:rFonts w:ascii="Garamond" w:hAnsi="Garamond"/>
        </w:rPr>
        <w:t>Frågan om rättsstatsprincipen i Polen behandlas senast i EU-nämnden den 18 juni 2021 inför Allmänna rådet den 22 juni 2021 (utfrågning)</w:t>
      </w:r>
      <w:r w:rsidR="002A5C84">
        <w:rPr>
          <w:rFonts w:ascii="Garamond" w:hAnsi="Garamond"/>
        </w:rPr>
        <w:t xml:space="preserve">. </w:t>
      </w:r>
    </w:p>
    <w:p w14:paraId="7BF26A9B" w14:textId="77777777" w:rsidR="002A5C84" w:rsidRDefault="002A5C84" w:rsidP="00A076E1">
      <w:pPr>
        <w:rPr>
          <w:sz w:val="19"/>
          <w:szCs w:val="19"/>
        </w:rPr>
      </w:pPr>
    </w:p>
    <w:p w14:paraId="49265B7E" w14:textId="322E1EAD" w:rsidR="004813A0" w:rsidRPr="004813A0" w:rsidRDefault="004813A0" w:rsidP="004813A0">
      <w:pPr>
        <w:pStyle w:val="Rubrik1"/>
        <w:rPr>
          <w:rFonts w:eastAsiaTheme="minorHAnsi" w:cstheme="majorHAnsi"/>
          <w:b/>
          <w:bCs/>
          <w:color w:val="000000"/>
          <w:szCs w:val="24"/>
        </w:rPr>
      </w:pPr>
      <w:r w:rsidRPr="004813A0">
        <w:rPr>
          <w:rFonts w:eastAsiaTheme="minorHAnsi" w:cstheme="majorHAnsi"/>
          <w:b/>
          <w:bCs/>
          <w:color w:val="000000"/>
          <w:szCs w:val="24"/>
        </w:rPr>
        <w:t>Unionens värden i Ungern</w:t>
      </w:r>
      <w:r w:rsidR="00F32256">
        <w:rPr>
          <w:rFonts w:eastAsiaTheme="minorHAnsi" w:cstheme="majorHAnsi"/>
          <w:b/>
          <w:bCs/>
          <w:color w:val="000000"/>
          <w:szCs w:val="24"/>
        </w:rPr>
        <w:t xml:space="preserve"> – motiverat förslag e</w:t>
      </w:r>
      <w:r w:rsidR="002A5C84">
        <w:rPr>
          <w:rFonts w:eastAsiaTheme="minorHAnsi" w:cstheme="majorHAnsi"/>
          <w:b/>
          <w:bCs/>
          <w:color w:val="000000"/>
          <w:szCs w:val="24"/>
        </w:rPr>
        <w:t xml:space="preserve">nligt </w:t>
      </w:r>
      <w:r w:rsidRPr="004813A0">
        <w:rPr>
          <w:rFonts w:eastAsiaTheme="minorHAnsi" w:cstheme="majorHAnsi"/>
          <w:b/>
          <w:bCs/>
          <w:color w:val="000000"/>
          <w:szCs w:val="24"/>
        </w:rPr>
        <w:t>artikel 7</w:t>
      </w:r>
      <w:r w:rsidR="002A5C84">
        <w:rPr>
          <w:rFonts w:eastAsiaTheme="minorHAnsi" w:cstheme="majorHAnsi"/>
          <w:b/>
          <w:bCs/>
          <w:color w:val="000000"/>
          <w:szCs w:val="24"/>
        </w:rPr>
        <w:t>.</w:t>
      </w:r>
      <w:r w:rsidRPr="004813A0">
        <w:rPr>
          <w:rFonts w:eastAsiaTheme="minorHAnsi" w:cstheme="majorHAnsi"/>
          <w:b/>
          <w:bCs/>
          <w:color w:val="000000"/>
          <w:szCs w:val="24"/>
        </w:rPr>
        <w:t>1</w:t>
      </w:r>
      <w:r w:rsidR="002A5C84">
        <w:rPr>
          <w:rFonts w:eastAsiaTheme="minorHAnsi" w:cstheme="majorHAnsi"/>
          <w:b/>
          <w:bCs/>
          <w:color w:val="000000"/>
          <w:szCs w:val="24"/>
        </w:rPr>
        <w:t xml:space="preserve"> i EU-fördraget</w:t>
      </w:r>
      <w:r w:rsidR="00F32256">
        <w:rPr>
          <w:rFonts w:eastAsiaTheme="minorHAnsi" w:cstheme="majorHAnsi"/>
          <w:b/>
          <w:bCs/>
          <w:color w:val="000000"/>
          <w:szCs w:val="24"/>
        </w:rPr>
        <w:t>.</w:t>
      </w:r>
      <w:r w:rsidRPr="004813A0">
        <w:rPr>
          <w:rFonts w:eastAsiaTheme="minorHAnsi" w:cstheme="majorHAnsi"/>
          <w:b/>
          <w:bCs/>
          <w:color w:val="000000"/>
          <w:szCs w:val="24"/>
        </w:rPr>
        <w:t xml:space="preserve">   </w:t>
      </w:r>
    </w:p>
    <w:p w14:paraId="334E3C1D" w14:textId="627093CC" w:rsidR="00267BD4" w:rsidRPr="00A8124F" w:rsidRDefault="004813A0" w:rsidP="00A8124F">
      <w:pPr>
        <w:pStyle w:val="Rubrik2utannumrering"/>
        <w:rPr>
          <w:rFonts w:ascii="Garamond" w:hAnsi="Garamond"/>
          <w:b w:val="0"/>
          <w:bCs/>
          <w:i/>
          <w:iCs/>
          <w:sz w:val="25"/>
          <w:szCs w:val="25"/>
        </w:rPr>
      </w:pPr>
      <w:r>
        <w:rPr>
          <w:rFonts w:ascii="Garamond" w:hAnsi="Garamond"/>
          <w:b w:val="0"/>
          <w:bCs/>
          <w:i/>
          <w:iCs/>
          <w:sz w:val="25"/>
          <w:szCs w:val="25"/>
        </w:rPr>
        <w:t xml:space="preserve">Informationspunkt </w:t>
      </w:r>
    </w:p>
    <w:p w14:paraId="0A5FE1E5" w14:textId="7225BCDA"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35052516" w14:textId="77777777" w:rsidR="00841822" w:rsidRDefault="00841822" w:rsidP="001206B8">
      <w:r>
        <w:rPr>
          <w:rFonts w:ascii="Garamond" w:hAnsi="Garamond"/>
        </w:rPr>
        <w:t xml:space="preserve">Den 12 september 2018 röstade Europaparlamentet för ett motiverat förslag till rådet att aktivera artikel 7.1 mot Ungern. Europaparlamentet menar att det finns en klar risk att Ungern åsidosätter EU:s grundläggande värden. Hittills har tre utfrågningar hållits i rådet med Ungern, den senaste i juni 2021. Vid kommande rådsmöte förväntas kommissionen informera om den senaste utvecklingen när det gäller respekten för unionens värden i Ungern. </w:t>
      </w:r>
    </w:p>
    <w:p w14:paraId="01EDBC30" w14:textId="7853954D" w:rsidR="00AA336E" w:rsidRDefault="00AA336E" w:rsidP="00841822">
      <w:pPr>
        <w:pStyle w:val="Brdtext"/>
        <w:spacing w:after="80"/>
        <w:rPr>
          <w:b/>
          <w:bCs/>
        </w:rPr>
      </w:pPr>
      <w:r w:rsidRPr="003A669B">
        <w:rPr>
          <w:b/>
          <w:bCs/>
        </w:rPr>
        <w:t>Datum för tidigare behandling i riksdagen</w:t>
      </w:r>
    </w:p>
    <w:p w14:paraId="07B397DF" w14:textId="363522A3" w:rsidR="00366A94" w:rsidRDefault="00841822" w:rsidP="00E64688">
      <w:pPr>
        <w:rPr>
          <w:rFonts w:ascii="Garamond" w:hAnsi="Garamond"/>
        </w:rPr>
      </w:pPr>
      <w:r>
        <w:rPr>
          <w:rFonts w:ascii="Garamond" w:hAnsi="Garamond"/>
        </w:rPr>
        <w:t>Frågan om unionens värden i Ungern behandlas senast i EU-nämnden den 18 juni 2021 inför Allmänna rådet den 22 juni 2021 (utfrågning).</w:t>
      </w:r>
    </w:p>
    <w:p w14:paraId="2F7E9CA2" w14:textId="77777777" w:rsidR="00E64688" w:rsidRDefault="00E64688" w:rsidP="00E64688">
      <w:pPr>
        <w:rPr>
          <w:rFonts w:ascii="Garamond" w:hAnsi="Garamond"/>
        </w:rPr>
      </w:pPr>
    </w:p>
    <w:bookmarkEnd w:id="3"/>
    <w:p w14:paraId="747BB0C2" w14:textId="6CB97FCD" w:rsidR="004813A0" w:rsidRDefault="004813A0" w:rsidP="00093C04">
      <w:pPr>
        <w:pStyle w:val="Rubrik1"/>
        <w:rPr>
          <w:b/>
          <w:bCs/>
        </w:rPr>
      </w:pPr>
      <w:r>
        <w:rPr>
          <w:b/>
          <w:bCs/>
        </w:rPr>
        <w:t>Rapport från E</w:t>
      </w:r>
      <w:r w:rsidR="002A5C84">
        <w:rPr>
          <w:b/>
          <w:bCs/>
        </w:rPr>
        <w:t>uropeiska unionens b</w:t>
      </w:r>
      <w:r>
        <w:rPr>
          <w:b/>
          <w:bCs/>
        </w:rPr>
        <w:t>yrå för grundläggande rättigheter</w:t>
      </w:r>
      <w:r w:rsidR="002A5C84">
        <w:rPr>
          <w:b/>
          <w:bCs/>
        </w:rPr>
        <w:t>. (</w:t>
      </w:r>
      <w:r>
        <w:rPr>
          <w:b/>
          <w:bCs/>
        </w:rPr>
        <w:t xml:space="preserve">Antisemitism: översikt </w:t>
      </w:r>
      <w:r w:rsidR="002A5C84">
        <w:rPr>
          <w:b/>
          <w:bCs/>
        </w:rPr>
        <w:t xml:space="preserve">av </w:t>
      </w:r>
      <w:r>
        <w:rPr>
          <w:b/>
          <w:bCs/>
        </w:rPr>
        <w:t xml:space="preserve">antisemitiska incidenter </w:t>
      </w:r>
      <w:r w:rsidR="002A5C84">
        <w:rPr>
          <w:b/>
          <w:bCs/>
        </w:rPr>
        <w:t>som dokumenterats i Europeiska unionen</w:t>
      </w:r>
      <w:r>
        <w:rPr>
          <w:b/>
          <w:bCs/>
        </w:rPr>
        <w:t xml:space="preserve"> 2010–2020.</w:t>
      </w:r>
      <w:r w:rsidR="002A5C84">
        <w:rPr>
          <w:b/>
          <w:bCs/>
        </w:rPr>
        <w:t>)</w:t>
      </w:r>
      <w:r>
        <w:rPr>
          <w:b/>
          <w:bCs/>
        </w:rPr>
        <w:t xml:space="preserve"> </w:t>
      </w:r>
    </w:p>
    <w:p w14:paraId="22EC8F70" w14:textId="4B7701C1" w:rsidR="004813A0" w:rsidRDefault="004813A0" w:rsidP="004813A0">
      <w:pPr>
        <w:pStyle w:val="Brdtext"/>
        <w:rPr>
          <w:i/>
          <w:iCs/>
        </w:rPr>
      </w:pPr>
      <w:r w:rsidRPr="004813A0">
        <w:rPr>
          <w:i/>
          <w:iCs/>
        </w:rPr>
        <w:t xml:space="preserve">Informationspunkt. </w:t>
      </w:r>
    </w:p>
    <w:p w14:paraId="0A3B601F" w14:textId="44D07E2D" w:rsidR="004813A0" w:rsidRDefault="004813A0" w:rsidP="004813A0">
      <w:pPr>
        <w:pStyle w:val="Rubrik2utannumrering"/>
        <w:rPr>
          <w:rFonts w:ascii="Garamond" w:hAnsi="Garamond"/>
          <w:sz w:val="25"/>
          <w:szCs w:val="25"/>
        </w:rPr>
      </w:pPr>
      <w:r w:rsidRPr="00A8124F">
        <w:rPr>
          <w:rFonts w:ascii="Garamond" w:hAnsi="Garamond"/>
          <w:sz w:val="25"/>
          <w:szCs w:val="25"/>
        </w:rPr>
        <w:t>Förslagets innehåll</w:t>
      </w:r>
    </w:p>
    <w:p w14:paraId="5DC6E219" w14:textId="29C20FE9" w:rsidR="00854AC4" w:rsidRPr="00854AC4" w:rsidRDefault="00854AC4" w:rsidP="00854AC4">
      <w:pPr>
        <w:rPr>
          <w:rFonts w:ascii="Garamond" w:hAnsi="Garamond"/>
        </w:rPr>
      </w:pPr>
      <w:bookmarkStart w:id="4" w:name="_Hlk89265985"/>
      <w:r>
        <w:rPr>
          <w:rFonts w:ascii="Garamond" w:hAnsi="Garamond"/>
        </w:rPr>
        <w:t xml:space="preserve">Rådet kommer </w:t>
      </w:r>
      <w:r w:rsidR="00BF2CEC">
        <w:rPr>
          <w:rFonts w:ascii="Garamond" w:hAnsi="Garamond"/>
        </w:rPr>
        <w:t xml:space="preserve">att </w:t>
      </w:r>
      <w:r>
        <w:rPr>
          <w:rFonts w:ascii="Garamond" w:hAnsi="Garamond"/>
        </w:rPr>
        <w:t xml:space="preserve">informeras om en rapport från </w:t>
      </w:r>
      <w:r w:rsidRPr="00854AC4">
        <w:rPr>
          <w:rFonts w:ascii="Garamond" w:hAnsi="Garamond"/>
        </w:rPr>
        <w:t xml:space="preserve">EU:s byrå för grundläggande rättigheters </w:t>
      </w:r>
      <w:r>
        <w:rPr>
          <w:rFonts w:ascii="Garamond" w:hAnsi="Garamond"/>
        </w:rPr>
        <w:t xml:space="preserve">som innehåller en </w:t>
      </w:r>
      <w:r w:rsidRPr="00854AC4">
        <w:rPr>
          <w:rFonts w:ascii="Garamond" w:hAnsi="Garamond"/>
        </w:rPr>
        <w:t xml:space="preserve">sammanställning av data och </w:t>
      </w:r>
      <w:r w:rsidRPr="00854AC4">
        <w:rPr>
          <w:rFonts w:ascii="Garamond" w:hAnsi="Garamond"/>
        </w:rPr>
        <w:lastRenderedPageBreak/>
        <w:t xml:space="preserve">indikatorer </w:t>
      </w:r>
      <w:r>
        <w:rPr>
          <w:rFonts w:ascii="Garamond" w:hAnsi="Garamond"/>
        </w:rPr>
        <w:t xml:space="preserve">avseende </w:t>
      </w:r>
      <w:r w:rsidRPr="00854AC4">
        <w:rPr>
          <w:rFonts w:ascii="Garamond" w:hAnsi="Garamond"/>
        </w:rPr>
        <w:t>rapporterade antisemitiska incidenter i EU 2010–2020. Rapporten</w:t>
      </w:r>
      <w:r>
        <w:rPr>
          <w:rFonts w:ascii="Garamond" w:hAnsi="Garamond"/>
        </w:rPr>
        <w:t xml:space="preserve"> som </w:t>
      </w:r>
      <w:r w:rsidRPr="00854AC4">
        <w:rPr>
          <w:rFonts w:ascii="Garamond" w:hAnsi="Garamond"/>
        </w:rPr>
        <w:t xml:space="preserve">utarbetas årligen har nu </w:t>
      </w:r>
      <w:r>
        <w:rPr>
          <w:rFonts w:ascii="Garamond" w:hAnsi="Garamond"/>
        </w:rPr>
        <w:t xml:space="preserve">bl.a. </w:t>
      </w:r>
      <w:r w:rsidRPr="00854AC4">
        <w:rPr>
          <w:rFonts w:ascii="Garamond" w:hAnsi="Garamond"/>
        </w:rPr>
        <w:t>uppdaterat tidsserien med aktuella data för 2020.</w:t>
      </w:r>
    </w:p>
    <w:bookmarkEnd w:id="4"/>
    <w:p w14:paraId="054BD693" w14:textId="7FFB235D" w:rsidR="004813A0" w:rsidRDefault="004813A0" w:rsidP="004813A0">
      <w:pPr>
        <w:pStyle w:val="Brdtext"/>
        <w:rPr>
          <w:b/>
          <w:bCs/>
        </w:rPr>
      </w:pPr>
      <w:r w:rsidRPr="003A669B">
        <w:rPr>
          <w:b/>
          <w:bCs/>
        </w:rPr>
        <w:t>Datum för tidigare behandling i riksdagen</w:t>
      </w:r>
    </w:p>
    <w:p w14:paraId="349B17F8" w14:textId="725C9CC1" w:rsidR="004813A0" w:rsidRPr="004813A0" w:rsidRDefault="004813A0" w:rsidP="004E7927">
      <w:pPr>
        <w:pStyle w:val="Brdtext"/>
        <w:numPr>
          <w:ilvl w:val="0"/>
          <w:numId w:val="20"/>
        </w:numPr>
      </w:pPr>
    </w:p>
    <w:p w14:paraId="297C98BC" w14:textId="2114C26B" w:rsidR="004813A0" w:rsidRDefault="004813A0" w:rsidP="00093C04">
      <w:pPr>
        <w:pStyle w:val="Rubrik1"/>
        <w:rPr>
          <w:b/>
          <w:bCs/>
        </w:rPr>
      </w:pPr>
      <w:r>
        <w:rPr>
          <w:b/>
          <w:bCs/>
        </w:rPr>
        <w:t xml:space="preserve">Den europeiska planeringsterminen 2022 – färdplan. </w:t>
      </w:r>
    </w:p>
    <w:p w14:paraId="1CB57B11" w14:textId="3C77F2C6" w:rsidR="004813A0" w:rsidRPr="004813A0" w:rsidRDefault="004813A0" w:rsidP="004813A0">
      <w:pPr>
        <w:pStyle w:val="Brdtext"/>
        <w:rPr>
          <w:i/>
          <w:iCs/>
        </w:rPr>
      </w:pPr>
      <w:r w:rsidRPr="004813A0">
        <w:rPr>
          <w:i/>
          <w:iCs/>
        </w:rPr>
        <w:t xml:space="preserve">Informationspunkt. </w:t>
      </w:r>
    </w:p>
    <w:p w14:paraId="09087B68" w14:textId="433F85A3" w:rsidR="00CB1A24" w:rsidRDefault="00CB1A24" w:rsidP="00CB1A24">
      <w:pPr>
        <w:pStyle w:val="Rubrik2utannumrering"/>
        <w:rPr>
          <w:rFonts w:ascii="Garamond" w:hAnsi="Garamond"/>
          <w:sz w:val="25"/>
          <w:szCs w:val="25"/>
        </w:rPr>
      </w:pPr>
      <w:r w:rsidRPr="00A8124F">
        <w:rPr>
          <w:rFonts w:ascii="Garamond" w:hAnsi="Garamond"/>
          <w:sz w:val="25"/>
          <w:szCs w:val="25"/>
        </w:rPr>
        <w:t>Förslagets innehåll</w:t>
      </w:r>
    </w:p>
    <w:p w14:paraId="2CCACBAD" w14:textId="5BB396E6" w:rsidR="008F7CCB" w:rsidRDefault="008F7CCB" w:rsidP="008F7CCB">
      <w:pPr>
        <w:rPr>
          <w:rFonts w:ascii="Garamond" w:hAnsi="Garamond"/>
        </w:rPr>
      </w:pPr>
      <w:r w:rsidRPr="00B6223C">
        <w:rPr>
          <w:rFonts w:ascii="Garamond" w:hAnsi="Garamond"/>
        </w:rPr>
        <w:t xml:space="preserve">Det nuvarande </w:t>
      </w:r>
      <w:r>
        <w:rPr>
          <w:rFonts w:ascii="Garamond" w:hAnsi="Garamond"/>
        </w:rPr>
        <w:t>slovenska</w:t>
      </w:r>
      <w:r w:rsidRPr="00B6223C">
        <w:rPr>
          <w:rFonts w:ascii="Garamond" w:hAnsi="Garamond"/>
        </w:rPr>
        <w:t xml:space="preserve"> och </w:t>
      </w:r>
      <w:r>
        <w:rPr>
          <w:rFonts w:ascii="Garamond" w:hAnsi="Garamond"/>
        </w:rPr>
        <w:t xml:space="preserve">det </w:t>
      </w:r>
      <w:r w:rsidRPr="00B6223C">
        <w:rPr>
          <w:rFonts w:ascii="Garamond" w:hAnsi="Garamond"/>
        </w:rPr>
        <w:t xml:space="preserve">inkommande </w:t>
      </w:r>
      <w:r>
        <w:rPr>
          <w:rFonts w:ascii="Garamond" w:hAnsi="Garamond"/>
        </w:rPr>
        <w:t>franska</w:t>
      </w:r>
      <w:r w:rsidRPr="00B6223C">
        <w:rPr>
          <w:rFonts w:ascii="Garamond" w:hAnsi="Garamond"/>
        </w:rPr>
        <w:t xml:space="preserve"> ordförandeskapet förväntas presentera en planeringsöversikt (färdplan) för den europeiska </w:t>
      </w:r>
      <w:r w:rsidR="00CD33C2">
        <w:rPr>
          <w:rFonts w:ascii="Garamond" w:hAnsi="Garamond"/>
        </w:rPr>
        <w:t>planerings</w:t>
      </w:r>
      <w:r w:rsidRPr="00B6223C">
        <w:rPr>
          <w:rFonts w:ascii="Garamond" w:hAnsi="Garamond"/>
        </w:rPr>
        <w:t>terminen 202</w:t>
      </w:r>
      <w:r>
        <w:rPr>
          <w:rFonts w:ascii="Garamond" w:hAnsi="Garamond"/>
        </w:rPr>
        <w:t xml:space="preserve">2. Efter att terminen delvis ställts om för att följa upp återhämtningen från sviterna av pandemin ska den för 2022 till stor del återgå till sitt bredare fokus på uppföljning av medlemsstaternas ekonomiska och sociala politik. </w:t>
      </w:r>
    </w:p>
    <w:p w14:paraId="05DDB8A8" w14:textId="77777777" w:rsidR="008F7CCB" w:rsidRPr="00B6223C" w:rsidRDefault="008F7CCB" w:rsidP="008F7CCB">
      <w:pPr>
        <w:rPr>
          <w:rFonts w:ascii="Garamond" w:hAnsi="Garamond"/>
        </w:rPr>
      </w:pPr>
      <w:r w:rsidRPr="00B6223C">
        <w:rPr>
          <w:rFonts w:ascii="Garamond" w:hAnsi="Garamond"/>
        </w:rPr>
        <w:t>Den europeiska terminen är det ramverk inom EU som syftar till att öka samstämmigheten i rapporteringen och granskningen av medlemsstaternas åtgärder</w:t>
      </w:r>
      <w:r>
        <w:rPr>
          <w:rFonts w:ascii="Garamond" w:hAnsi="Garamond"/>
        </w:rPr>
        <w:t xml:space="preserve"> inom ramen för ekonomisk, sysselsättnings- och socialpolitik genom</w:t>
      </w:r>
      <w:r w:rsidRPr="00B6223C">
        <w:rPr>
          <w:rFonts w:ascii="Garamond" w:hAnsi="Garamond"/>
        </w:rPr>
        <w:t xml:space="preserve"> stabilitets- och tillväxtpakten</w:t>
      </w:r>
      <w:r>
        <w:rPr>
          <w:rFonts w:ascii="Garamond" w:hAnsi="Garamond"/>
        </w:rPr>
        <w:t>,</w:t>
      </w:r>
      <w:r w:rsidRPr="00B6223C">
        <w:rPr>
          <w:rFonts w:ascii="Garamond" w:hAnsi="Garamond"/>
        </w:rPr>
        <w:t xml:space="preserve"> förfarandet för övervakning av makroekonomiska obalanser</w:t>
      </w:r>
      <w:r w:rsidRPr="00400282">
        <w:rPr>
          <w:rFonts w:ascii="Garamond" w:hAnsi="Garamond"/>
        </w:rPr>
        <w:t xml:space="preserve"> </w:t>
      </w:r>
      <w:r>
        <w:rPr>
          <w:rFonts w:ascii="Garamond" w:hAnsi="Garamond"/>
        </w:rPr>
        <w:t>samt de nya EU-målen på det sociala området</w:t>
      </w:r>
      <w:r w:rsidRPr="00B6223C">
        <w:rPr>
          <w:rFonts w:ascii="Garamond" w:hAnsi="Garamond"/>
        </w:rPr>
        <w:t xml:space="preserve">. </w:t>
      </w:r>
    </w:p>
    <w:p w14:paraId="49BE6A36" w14:textId="77777777" w:rsidR="00CB1A24" w:rsidRDefault="00CB1A24" w:rsidP="00CB1A24">
      <w:pPr>
        <w:pStyle w:val="Brdtext"/>
        <w:rPr>
          <w:b/>
          <w:bCs/>
        </w:rPr>
      </w:pPr>
      <w:r w:rsidRPr="003A669B">
        <w:rPr>
          <w:b/>
          <w:bCs/>
        </w:rPr>
        <w:t>Datum för tidigare behandling i riksdagen</w:t>
      </w:r>
    </w:p>
    <w:p w14:paraId="1F052877" w14:textId="3F12A3B1" w:rsidR="00E64688" w:rsidRPr="004813A0" w:rsidRDefault="00097A2C" w:rsidP="00097A2C">
      <w:pPr>
        <w:pStyle w:val="Brdtext"/>
      </w:pPr>
      <w:r>
        <w:rPr>
          <w:rFonts w:ascii="Garamond" w:hAnsi="Garamond" w:cs="Garamond"/>
        </w:rPr>
        <w:t xml:space="preserve">Den europeiska </w:t>
      </w:r>
      <w:r w:rsidR="0011530F">
        <w:rPr>
          <w:rFonts w:ascii="Garamond" w:hAnsi="Garamond" w:cs="Garamond"/>
        </w:rPr>
        <w:t>planerings</w:t>
      </w:r>
      <w:r>
        <w:rPr>
          <w:rFonts w:ascii="Garamond" w:hAnsi="Garamond" w:cs="Garamond"/>
        </w:rPr>
        <w:t xml:space="preserve">terminen diskuteras regelbundet inom rådet. Samråd med EU-nämnden om europeiska </w:t>
      </w:r>
      <w:r w:rsidR="0011530F">
        <w:rPr>
          <w:rFonts w:ascii="Garamond" w:hAnsi="Garamond" w:cs="Garamond"/>
        </w:rPr>
        <w:t>planerings</w:t>
      </w:r>
      <w:r>
        <w:rPr>
          <w:rFonts w:ascii="Garamond" w:hAnsi="Garamond" w:cs="Garamond"/>
        </w:rPr>
        <w:t xml:space="preserve">terminen 2022 ägde rum den 3 december inför Epscorådets möte den </w:t>
      </w:r>
      <w:r w:rsidR="0011530F">
        <w:rPr>
          <w:rFonts w:ascii="Garamond" w:hAnsi="Garamond" w:cs="Garamond"/>
        </w:rPr>
        <w:t>6–7</w:t>
      </w:r>
      <w:r>
        <w:rPr>
          <w:rFonts w:ascii="Garamond" w:hAnsi="Garamond" w:cs="Garamond"/>
        </w:rPr>
        <w:t xml:space="preserve"> december och Ekofinrådets möte den 7 december. </w:t>
      </w:r>
    </w:p>
    <w:p w14:paraId="1EAF2643" w14:textId="77777777" w:rsidR="00E64688" w:rsidRDefault="00E64688">
      <w:pPr>
        <w:rPr>
          <w:rFonts w:asciiTheme="majorHAnsi" w:eastAsiaTheme="majorEastAsia" w:hAnsiTheme="majorHAnsi" w:cstheme="majorBidi"/>
          <w:b/>
          <w:bCs/>
          <w:sz w:val="24"/>
          <w:szCs w:val="32"/>
        </w:rPr>
      </w:pPr>
      <w:r>
        <w:rPr>
          <w:b/>
          <w:bCs/>
        </w:rPr>
        <w:br w:type="page"/>
      </w:r>
    </w:p>
    <w:p w14:paraId="3B96E331" w14:textId="2583A14D" w:rsidR="00603028" w:rsidRDefault="00D73973" w:rsidP="00093C04">
      <w:pPr>
        <w:pStyle w:val="Rubrik1"/>
        <w:rPr>
          <w:b/>
          <w:bCs/>
        </w:rPr>
      </w:pPr>
      <w:r>
        <w:rPr>
          <w:b/>
          <w:bCs/>
        </w:rPr>
        <w:lastRenderedPageBreak/>
        <w:t xml:space="preserve">Lagstiftningsplanering: </w:t>
      </w:r>
      <w:r w:rsidR="00CB1A24">
        <w:rPr>
          <w:b/>
          <w:bCs/>
        </w:rPr>
        <w:t xml:space="preserve">Gemensam </w:t>
      </w:r>
      <w:r w:rsidR="008843BA">
        <w:rPr>
          <w:b/>
          <w:bCs/>
        </w:rPr>
        <w:t>förklaring</w:t>
      </w:r>
      <w:r w:rsidR="00CB1A24">
        <w:rPr>
          <w:b/>
          <w:bCs/>
        </w:rPr>
        <w:t xml:space="preserve"> om EU:s lagstiftningsprioriteringar </w:t>
      </w:r>
      <w:r w:rsidR="008843BA">
        <w:rPr>
          <w:b/>
          <w:bCs/>
        </w:rPr>
        <w:t xml:space="preserve">för 2022. </w:t>
      </w:r>
    </w:p>
    <w:p w14:paraId="451283CA" w14:textId="167A1761" w:rsidR="00093C04" w:rsidRDefault="00CB1A24" w:rsidP="00093C04">
      <w:pPr>
        <w:autoSpaceDE w:val="0"/>
        <w:autoSpaceDN w:val="0"/>
        <w:spacing w:before="320" w:after="80"/>
        <w:rPr>
          <w:i/>
          <w:iCs/>
        </w:rPr>
      </w:pPr>
      <w:r>
        <w:rPr>
          <w:i/>
          <w:iCs/>
        </w:rPr>
        <w:t xml:space="preserve">Beslutspunkt </w:t>
      </w:r>
    </w:p>
    <w:p w14:paraId="5AEECACD" w14:textId="77777777" w:rsidR="00CB1A24" w:rsidRDefault="00CB1A24" w:rsidP="00CB1A24">
      <w:pPr>
        <w:pStyle w:val="Rubrik2utannumrering"/>
        <w:rPr>
          <w:rFonts w:ascii="Garamond" w:hAnsi="Garamond"/>
          <w:sz w:val="25"/>
          <w:szCs w:val="25"/>
        </w:rPr>
      </w:pPr>
      <w:r w:rsidRPr="00A8124F">
        <w:rPr>
          <w:rFonts w:ascii="Garamond" w:hAnsi="Garamond"/>
          <w:sz w:val="25"/>
          <w:szCs w:val="25"/>
        </w:rPr>
        <w:t>Förslagets innehåll</w:t>
      </w:r>
    </w:p>
    <w:p w14:paraId="64DF9B15" w14:textId="5FD691E5" w:rsidR="00CB1A24" w:rsidRPr="00AB0651" w:rsidRDefault="003D5C45" w:rsidP="003D5C45">
      <w:pPr>
        <w:pStyle w:val="Brdtext"/>
        <w:rPr>
          <w:rFonts w:ascii="Garamond-Bold" w:hAnsi="Garamond-Bold"/>
          <w:b/>
          <w:bCs/>
        </w:rPr>
      </w:pPr>
      <w:r>
        <w:rPr>
          <w:rStyle w:val="normaltextrun1"/>
          <w:rFonts w:ascii="Garamond" w:hAnsi="Garamond"/>
        </w:rPr>
        <w:t>Genom det interinstitutionella avtalet (IIA) har rådet och Europaparlamentet fått en ökad möjlighet till insyn i lagstiftsplaneringen. Vid mötet väntas rådet välkomna den gemensamma förklaringen för 2022. Dokumentet har förhandlats fram av ordförandeskapet, Europaparlamentet och kommissionen.</w:t>
      </w:r>
    </w:p>
    <w:p w14:paraId="0D0DDDAD" w14:textId="77777777" w:rsidR="00093C04" w:rsidRPr="003D5C45" w:rsidRDefault="00093C04" w:rsidP="003D5C45">
      <w:pPr>
        <w:pStyle w:val="Rubrik2utannumrering"/>
        <w:rPr>
          <w:rFonts w:ascii="Garamond" w:hAnsi="Garamond"/>
          <w:sz w:val="25"/>
          <w:szCs w:val="25"/>
        </w:rPr>
      </w:pPr>
      <w:r w:rsidRPr="003D5C45">
        <w:rPr>
          <w:rFonts w:ascii="Garamond" w:hAnsi="Garamond"/>
          <w:sz w:val="25"/>
          <w:szCs w:val="25"/>
        </w:rPr>
        <w:t>Förslag till svensk ståndpunkt</w:t>
      </w:r>
    </w:p>
    <w:p w14:paraId="6104F0DE" w14:textId="77777777" w:rsidR="003D5C45" w:rsidRDefault="003D5C45" w:rsidP="003D5C45">
      <w:pPr>
        <w:pStyle w:val="Brdtext"/>
      </w:pPr>
      <w:r>
        <w:rPr>
          <w:rStyle w:val="normaltextrun1"/>
          <w:rFonts w:ascii="Garamond" w:hAnsi="Garamond"/>
        </w:rPr>
        <w:t xml:space="preserve">Regeringen har ännu inte tagit del av den gemensamma förklaringen för 2022. </w:t>
      </w:r>
    </w:p>
    <w:p w14:paraId="116E9807" w14:textId="24D0DA50" w:rsidR="00093C04" w:rsidRDefault="00093C04" w:rsidP="008F7CCB">
      <w:pPr>
        <w:pStyle w:val="Rubrik2utannumrering"/>
        <w:rPr>
          <w:rFonts w:ascii="Garamond" w:hAnsi="Garamond"/>
          <w:sz w:val="25"/>
          <w:szCs w:val="25"/>
        </w:rPr>
      </w:pPr>
      <w:r w:rsidRPr="008F7CCB">
        <w:rPr>
          <w:rFonts w:ascii="Garamond" w:hAnsi="Garamond"/>
          <w:sz w:val="25"/>
          <w:szCs w:val="25"/>
        </w:rPr>
        <w:t>Datum för tidigare behandling i riksdagen</w:t>
      </w:r>
    </w:p>
    <w:p w14:paraId="68D2C046" w14:textId="5179FE3C" w:rsidR="004C2AE3" w:rsidRDefault="008F7CCB" w:rsidP="008F7CCB">
      <w:pPr>
        <w:spacing w:before="280" w:after="0"/>
      </w:pPr>
      <w:r>
        <w:rPr>
          <w:rStyle w:val="normaltextrun1"/>
          <w:rFonts w:ascii="Garamond" w:hAnsi="Garamond"/>
        </w:rPr>
        <w:t>Lagstiftningsplaneringen har tidigare behandlats i EU-nämnden den 19 november inför mötet i Allmänna rådet den 23 november 2021 då kommissionens arbetsprogram för 2022 presenterades</w:t>
      </w:r>
      <w:r w:rsidR="00E64688">
        <w:rPr>
          <w:rStyle w:val="normaltextrun1"/>
          <w:rFonts w:ascii="Garamond" w:hAnsi="Garamond"/>
        </w:rPr>
        <w:t xml:space="preserve">. </w:t>
      </w:r>
    </w:p>
    <w:p w14:paraId="52E8F460" w14:textId="77777777" w:rsidR="00093C04" w:rsidRPr="00093C04" w:rsidRDefault="00093C04" w:rsidP="00093C04">
      <w:pPr>
        <w:pStyle w:val="Brdtext"/>
      </w:pPr>
    </w:p>
    <w:p w14:paraId="5F6DFCBB" w14:textId="7245ADC3" w:rsidR="00CB1A24" w:rsidRDefault="00CB1A24" w:rsidP="00A02391">
      <w:pPr>
        <w:pStyle w:val="Rubrik1"/>
        <w:ind w:left="141"/>
        <w:rPr>
          <w:b/>
          <w:bCs/>
        </w:rPr>
      </w:pPr>
      <w:r>
        <w:rPr>
          <w:b/>
          <w:bCs/>
        </w:rPr>
        <w:t xml:space="preserve">Rådets 18-månadersprogram </w:t>
      </w:r>
    </w:p>
    <w:p w14:paraId="76280633" w14:textId="1B125289" w:rsidR="00CB1A24" w:rsidRDefault="00CB1A24" w:rsidP="00CB1A24">
      <w:pPr>
        <w:pStyle w:val="Brdtext"/>
        <w:rPr>
          <w:i/>
          <w:iCs/>
        </w:rPr>
      </w:pPr>
      <w:r w:rsidRPr="00CB1A24">
        <w:rPr>
          <w:i/>
          <w:iCs/>
        </w:rPr>
        <w:t xml:space="preserve">Beslutspunkt </w:t>
      </w:r>
    </w:p>
    <w:p w14:paraId="37AD8419" w14:textId="77777777" w:rsidR="00CB1A24" w:rsidRDefault="00CB1A24" w:rsidP="00CB1A24">
      <w:pPr>
        <w:pStyle w:val="Rubrik2utannumrering"/>
        <w:rPr>
          <w:rFonts w:ascii="Garamond" w:hAnsi="Garamond"/>
          <w:sz w:val="25"/>
          <w:szCs w:val="25"/>
        </w:rPr>
      </w:pPr>
      <w:r w:rsidRPr="00A8124F">
        <w:rPr>
          <w:rFonts w:ascii="Garamond" w:hAnsi="Garamond"/>
          <w:sz w:val="25"/>
          <w:szCs w:val="25"/>
        </w:rPr>
        <w:t>Förslagets innehåll</w:t>
      </w:r>
    </w:p>
    <w:p w14:paraId="16B18E6C" w14:textId="3DC3C646" w:rsidR="00CB1A24" w:rsidRPr="002571F7" w:rsidRDefault="002571F7" w:rsidP="002571F7">
      <w:pPr>
        <w:spacing w:before="280" w:after="0"/>
      </w:pPr>
      <w:r>
        <w:t xml:space="preserve">Ordförandeskapet i rådet roterar var sjätte månad och de tre medlemsländer som innehar ordförandeskapet i anslutning till varandra </w:t>
      </w:r>
      <w:r w:rsidRPr="002571F7">
        <w:t>har ett nära samarbete</w:t>
      </w:r>
      <w:r w:rsidR="00ED55B8">
        <w:t xml:space="preserve"> och </w:t>
      </w:r>
      <w:r w:rsidRPr="002571F7">
        <w:t>utarbetar ett gemensamt program med ämnen och frågor som rådet ska ta upp under en 18-månadersperiod. Med detta 18-månadersprogram som grund utarbetar vart och ett av de tre länderna sitt eget mer utförliga 6-månadersprogram.</w:t>
      </w:r>
      <w:r>
        <w:t xml:space="preserve"> Frankrike, Tjeckien och Sverige har som inkommande ordförandeländer samarbetat för att ta fram ett gemensamt </w:t>
      </w:r>
      <w:r w:rsidR="00BA5222">
        <w:t xml:space="preserve">och övergripande </w:t>
      </w:r>
      <w:r>
        <w:t xml:space="preserve">program för rådets arbete för perioden 1 januari 2022 till 30 juni 2023. </w:t>
      </w:r>
      <w:r w:rsidR="00E32561">
        <w:t xml:space="preserve">I </w:t>
      </w:r>
      <w:r>
        <w:t xml:space="preserve">enlighet med rådets arbetsordning </w:t>
      </w:r>
      <w:r w:rsidR="00E32561">
        <w:t xml:space="preserve">ska programmet presenteras på Allmänna rådet som </w:t>
      </w:r>
      <w:r>
        <w:t>förväntas ställa sig bakom</w:t>
      </w:r>
      <w:r w:rsidR="00E32561">
        <w:t xml:space="preserve"> detta</w:t>
      </w:r>
      <w:r>
        <w:t xml:space="preserve">. Ingen diskussion förväntas på rådsmötet. </w:t>
      </w:r>
    </w:p>
    <w:p w14:paraId="19DAB3FD" w14:textId="1AB9BF1E" w:rsidR="00CB1A24" w:rsidRDefault="00CB1A24" w:rsidP="00CB1A24">
      <w:pPr>
        <w:spacing w:before="280" w:after="0"/>
        <w:rPr>
          <w:rFonts w:ascii="Garamond" w:hAnsi="Garamond"/>
          <w:b/>
          <w:bCs/>
        </w:rPr>
      </w:pPr>
      <w:r w:rsidRPr="00C86D2F">
        <w:rPr>
          <w:rFonts w:ascii="Garamond" w:hAnsi="Garamond"/>
          <w:b/>
          <w:bCs/>
        </w:rPr>
        <w:lastRenderedPageBreak/>
        <w:t xml:space="preserve">Förslag till </w:t>
      </w:r>
      <w:r>
        <w:rPr>
          <w:rFonts w:ascii="Garamond" w:hAnsi="Garamond"/>
          <w:b/>
          <w:bCs/>
        </w:rPr>
        <w:t>s</w:t>
      </w:r>
      <w:r w:rsidRPr="00C86D2F">
        <w:rPr>
          <w:rFonts w:ascii="Garamond" w:hAnsi="Garamond"/>
          <w:b/>
          <w:bCs/>
        </w:rPr>
        <w:t xml:space="preserve">vensk </w:t>
      </w:r>
      <w:r>
        <w:rPr>
          <w:rFonts w:ascii="Garamond" w:hAnsi="Garamond"/>
          <w:b/>
          <w:bCs/>
        </w:rPr>
        <w:t>s</w:t>
      </w:r>
      <w:r w:rsidRPr="00C86D2F">
        <w:rPr>
          <w:rFonts w:ascii="Garamond" w:hAnsi="Garamond"/>
          <w:b/>
          <w:bCs/>
        </w:rPr>
        <w:t>tåndpunkt</w:t>
      </w:r>
    </w:p>
    <w:p w14:paraId="62E5AC00" w14:textId="69547C33" w:rsidR="002571F7" w:rsidRDefault="002571F7" w:rsidP="00CB1A24">
      <w:pPr>
        <w:spacing w:before="280" w:after="0"/>
        <w:rPr>
          <w:rFonts w:ascii="Garamond" w:hAnsi="Garamond"/>
          <w:b/>
          <w:bCs/>
        </w:rPr>
      </w:pPr>
      <w:r>
        <w:t>Regeringen kan ställa sig bakom det gemensamma 18-månadersprogrammet.</w:t>
      </w:r>
    </w:p>
    <w:p w14:paraId="4F0C22C0" w14:textId="200E46BF" w:rsidR="00CB1A24" w:rsidRDefault="00CB1A24" w:rsidP="00CB1A24">
      <w:pPr>
        <w:spacing w:before="280" w:after="0"/>
        <w:rPr>
          <w:rFonts w:ascii="Garamond-Bold" w:hAnsi="Garamond-Bold"/>
          <w:b/>
          <w:bCs/>
        </w:rPr>
      </w:pPr>
      <w:r>
        <w:rPr>
          <w:rFonts w:ascii="Garamond-Bold" w:hAnsi="Garamond-Bold"/>
          <w:b/>
          <w:bCs/>
        </w:rPr>
        <w:t>Datum för tidigare behandling i riksdagen</w:t>
      </w:r>
    </w:p>
    <w:p w14:paraId="5EBCDC49" w14:textId="37D8B6D4" w:rsidR="00BA5222" w:rsidRPr="00BA5222" w:rsidRDefault="00BA5222" w:rsidP="00CB1A24">
      <w:pPr>
        <w:spacing w:before="280" w:after="0"/>
        <w:rPr>
          <w:rFonts w:ascii="Garamond-Bold" w:hAnsi="Garamond-Bold"/>
        </w:rPr>
      </w:pPr>
      <w:r w:rsidRPr="00BA5222">
        <w:rPr>
          <w:rFonts w:ascii="Garamond-Bold" w:hAnsi="Garamond-Bold"/>
        </w:rPr>
        <w:t>Utrikesutskotte</w:t>
      </w:r>
      <w:r>
        <w:rPr>
          <w:rFonts w:ascii="Garamond-Bold" w:hAnsi="Garamond-Bold"/>
        </w:rPr>
        <w:t>t</w:t>
      </w:r>
      <w:r w:rsidRPr="00BA5222">
        <w:rPr>
          <w:rFonts w:ascii="Garamond-Bold" w:hAnsi="Garamond-Bold"/>
        </w:rPr>
        <w:t xml:space="preserve"> </w:t>
      </w:r>
      <w:r>
        <w:rPr>
          <w:rFonts w:ascii="Garamond-Bold" w:hAnsi="Garamond-Bold"/>
        </w:rPr>
        <w:t xml:space="preserve">har </w:t>
      </w:r>
      <w:r w:rsidRPr="00BA5222">
        <w:rPr>
          <w:rFonts w:ascii="Garamond-Bold" w:hAnsi="Garamond-Bold"/>
        </w:rPr>
        <w:t xml:space="preserve">informerats </w:t>
      </w:r>
      <w:r>
        <w:rPr>
          <w:rFonts w:ascii="Garamond-Bold" w:hAnsi="Garamond-Bold"/>
        </w:rPr>
        <w:t xml:space="preserve">i april, oktober och november om arbetet med 18-månadersprogrammet. </w:t>
      </w:r>
    </w:p>
    <w:p w14:paraId="1F9DF5B2" w14:textId="77777777" w:rsidR="00CB1A24" w:rsidRDefault="00CB1A24" w:rsidP="00CB1A24">
      <w:pPr>
        <w:pStyle w:val="Liststycke"/>
        <w:spacing w:before="280" w:after="0"/>
      </w:pPr>
    </w:p>
    <w:p w14:paraId="71FFB7C3" w14:textId="1D22E9BF" w:rsidR="00A02391" w:rsidRPr="00A02391" w:rsidRDefault="00A02391" w:rsidP="00A02391">
      <w:pPr>
        <w:pStyle w:val="Rubrik1"/>
        <w:ind w:left="141"/>
        <w:rPr>
          <w:b/>
          <w:bCs/>
        </w:rPr>
      </w:pPr>
      <w:r w:rsidRPr="00A02391">
        <w:rPr>
          <w:b/>
          <w:bCs/>
        </w:rPr>
        <w:t xml:space="preserve">Övriga frågor </w:t>
      </w:r>
    </w:p>
    <w:p w14:paraId="3C46C941" w14:textId="7E32DF67" w:rsidR="00A02391" w:rsidRPr="00A02391" w:rsidRDefault="00A02391" w:rsidP="00A02391">
      <w:pPr>
        <w:pStyle w:val="Liststycke"/>
        <w:numPr>
          <w:ilvl w:val="0"/>
          <w:numId w:val="16"/>
        </w:numPr>
        <w:autoSpaceDE w:val="0"/>
        <w:autoSpaceDN w:val="0"/>
        <w:spacing w:before="320" w:after="80"/>
        <w:rPr>
          <w:rFonts w:ascii="Garamond-Bold" w:hAnsi="Garamond-Bold"/>
          <w:b/>
          <w:bCs/>
        </w:rPr>
      </w:pPr>
    </w:p>
    <w:bookmarkEnd w:id="0"/>
    <w:p w14:paraId="01622A10" w14:textId="322496DB" w:rsidR="00A54A6F" w:rsidRPr="00A54A6F" w:rsidRDefault="00A54A6F" w:rsidP="00603028">
      <w:pPr>
        <w:pStyle w:val="Brdtext"/>
      </w:pPr>
    </w:p>
    <w:sectPr w:rsidR="00A54A6F" w:rsidRPr="00A54A6F" w:rsidSect="00A93242">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41B0C" w14:textId="77777777" w:rsidR="00E14D1C" w:rsidRDefault="00E14D1C" w:rsidP="00A87A54">
      <w:pPr>
        <w:spacing w:after="0" w:line="240" w:lineRule="auto"/>
      </w:pPr>
      <w:r>
        <w:separator/>
      </w:r>
    </w:p>
  </w:endnote>
  <w:endnote w:type="continuationSeparator" w:id="0">
    <w:p w14:paraId="6E140082" w14:textId="77777777" w:rsidR="00E14D1C" w:rsidRDefault="00E14D1C" w:rsidP="00A87A54">
      <w:pPr>
        <w:spacing w:after="0" w:line="240" w:lineRule="auto"/>
      </w:pPr>
      <w:r>
        <w:continuationSeparator/>
      </w:r>
    </w:p>
  </w:endnote>
  <w:endnote w:type="continuationNotice" w:id="1">
    <w:p w14:paraId="7847CF12" w14:textId="77777777" w:rsidR="00E14D1C" w:rsidRDefault="00E1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85E7" w14:textId="77777777" w:rsidR="00530252" w:rsidRDefault="005302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86C8E" w14:textId="77777777" w:rsidR="00E14D1C" w:rsidRDefault="00E14D1C" w:rsidP="00A87A54">
      <w:pPr>
        <w:spacing w:after="0" w:line="240" w:lineRule="auto"/>
      </w:pPr>
      <w:r>
        <w:separator/>
      </w:r>
    </w:p>
  </w:footnote>
  <w:footnote w:type="continuationSeparator" w:id="0">
    <w:p w14:paraId="61428174" w14:textId="77777777" w:rsidR="00E14D1C" w:rsidRDefault="00E14D1C" w:rsidP="00A87A54">
      <w:pPr>
        <w:spacing w:after="0" w:line="240" w:lineRule="auto"/>
      </w:pPr>
      <w:r>
        <w:continuationSeparator/>
      </w:r>
    </w:p>
  </w:footnote>
  <w:footnote w:type="continuationNotice" w:id="1">
    <w:p w14:paraId="27F9A022" w14:textId="77777777" w:rsidR="00E14D1C" w:rsidRDefault="00E1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325F5" w14:textId="77777777" w:rsidR="00530252" w:rsidRDefault="005302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5" w:name="Logo"/>
          <w:bookmarkEnd w:id="5"/>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856EBE" w:rsidRDefault="00856EBE" w:rsidP="00EE3C0F">
              <w:pPr>
                <w:pStyle w:val="Sidhuvud"/>
              </w:pPr>
              <w:r>
                <w:t>rådet</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12-06T00:00:00Z">
              <w:dateFormat w:val="yyyy-MM-dd"/>
              <w:lid w:val="sv-SE"/>
              <w:storeMappedDataAs w:val="dateTime"/>
              <w:calendar w:val="gregorian"/>
            </w:date>
          </w:sdtPr>
          <w:sdtEndPr/>
          <w:sdtContent>
            <w:p w14:paraId="433AAC87" w14:textId="2F6AECCF" w:rsidR="00856EBE" w:rsidRDefault="00530252" w:rsidP="00EE3C0F">
              <w:pPr>
                <w:pStyle w:val="Sidhuvud"/>
              </w:pPr>
              <w:r>
                <w:t>2021-12-06</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3F9AB38A" w14:textId="77777777" w:rsidR="00E00F66" w:rsidRPr="00A93242" w:rsidRDefault="00E00F66" w:rsidP="00340DE0">
              <w:pPr>
                <w:pStyle w:val="Sidhuvud"/>
                <w:rPr>
                  <w:b/>
                </w:rPr>
              </w:pPr>
              <w:r w:rsidRPr="00A93242">
                <w:rPr>
                  <w:b/>
                </w:rPr>
                <w:t>Statsrådsberedningen</w:t>
              </w:r>
            </w:p>
            <w:p w14:paraId="77454C41" w14:textId="2CE68695" w:rsidR="00E00F66" w:rsidRDefault="00E00F66"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388B4D3A"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9B0453"/>
    <w:multiLevelType w:val="multilevel"/>
    <w:tmpl w:val="1A20A4CA"/>
    <w:numStyleLink w:val="RKPunktlista"/>
  </w:abstractNum>
  <w:abstractNum w:abstractNumId="1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8D1C2D"/>
    <w:multiLevelType w:val="hybridMultilevel"/>
    <w:tmpl w:val="C3622FC0"/>
    <w:lvl w:ilvl="0" w:tplc="5C1E711C">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4A474B4B"/>
    <w:multiLevelType w:val="hybridMultilevel"/>
    <w:tmpl w:val="7E3664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114046B"/>
    <w:multiLevelType w:val="hybridMultilevel"/>
    <w:tmpl w:val="06E6EA5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AC437A"/>
    <w:multiLevelType w:val="multilevel"/>
    <w:tmpl w:val="E2FEA49E"/>
    <w:numStyleLink w:val="RKNumreraderubriker"/>
  </w:abstractNum>
  <w:abstractNum w:abstractNumId="17"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6322898"/>
    <w:multiLevelType w:val="multilevel"/>
    <w:tmpl w:val="186C6512"/>
    <w:numStyleLink w:val="Strecklistan"/>
  </w:abstractNum>
  <w:num w:numId="1">
    <w:abstractNumId w:val="12"/>
  </w:num>
  <w:num w:numId="2">
    <w:abstractNumId w:val="16"/>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0"/>
  </w:num>
  <w:num w:numId="4">
    <w:abstractNumId w:val="6"/>
  </w:num>
  <w:num w:numId="5">
    <w:abstractNumId w:val="4"/>
  </w:num>
  <w:num w:numId="6">
    <w:abstractNumId w:val="9"/>
  </w:num>
  <w:num w:numId="7">
    <w:abstractNumId w:val="18"/>
  </w:num>
  <w:num w:numId="8">
    <w:abstractNumId w:val="13"/>
  </w:num>
  <w:num w:numId="9">
    <w:abstractNumId w:val="1"/>
  </w:num>
  <w:num w:numId="10">
    <w:abstractNumId w:val="0"/>
  </w:num>
  <w:num w:numId="11">
    <w:abstractNumId w:val="3"/>
  </w:num>
  <w:num w:numId="12">
    <w:abstractNumId w:val="2"/>
  </w:num>
  <w:num w:numId="13">
    <w:abstractNumId w:val="5"/>
  </w:num>
  <w:num w:numId="14">
    <w:abstractNumId w:val="8"/>
  </w:num>
  <w:num w:numId="15">
    <w:abstractNumId w:val="17"/>
  </w:num>
  <w:num w:numId="16">
    <w:abstractNumId w:val="7"/>
  </w:num>
  <w:num w:numId="17">
    <w:abstractNumId w:val="16"/>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4"/>
  </w:num>
  <w:num w:numId="19">
    <w:abstractNumId w:val="16"/>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1"/>
  </w:num>
  <w:num w:numId="21">
    <w:abstractNumId w:val="16"/>
    <w:lvlOverride w:ilvl="0">
      <w:startOverride w:val="1"/>
      <w:lvl w:ilvl="0">
        <w:start w:val="1"/>
        <w:numFmt w:val="decimal"/>
        <w:pStyle w:val="Rubrik1"/>
        <w:suff w:val="nothing"/>
        <w:lvlText w:val="%1.   "/>
        <w:lvlJc w:val="left"/>
        <w:pPr>
          <w:ind w:left="0" w:firstLine="0"/>
        </w:pPr>
        <w:rPr>
          <w:rFonts w:hint="default"/>
        </w:rPr>
      </w:lvl>
    </w:lvlOverride>
    <w:lvlOverride w:ilvl="1">
      <w:startOverride w:val="1"/>
      <w:lvl w:ilvl="1">
        <w:start w:val="1"/>
        <w:numFmt w:val="decimal"/>
        <w:pStyle w:val="Rubrik2"/>
        <w:suff w:val="nothing"/>
        <w:lvlText w:val="%1.%2   "/>
        <w:lvlJc w:val="left"/>
        <w:pPr>
          <w:ind w:left="0" w:firstLine="0"/>
        </w:pPr>
        <w:rPr>
          <w:rFonts w:hint="default"/>
        </w:rPr>
      </w:lvl>
    </w:lvlOverride>
    <w:lvlOverride w:ilvl="2">
      <w:startOverride w:val="1"/>
      <w:lvl w:ilvl="2">
        <w:start w:val="1"/>
        <w:numFmt w:val="decimal"/>
        <w:pStyle w:val="Rubrik3"/>
        <w:suff w:val="nothing"/>
        <w:lvlText w:val="%1.%2.%3   "/>
        <w:lvlJc w:val="left"/>
        <w:pPr>
          <w:ind w:left="0" w:firstLine="0"/>
        </w:pPr>
        <w:rPr>
          <w:rFonts w:hint="default"/>
        </w:rPr>
      </w:lvl>
    </w:lvlOverride>
    <w:lvlOverride w:ilvl="3">
      <w:startOverride w:val="1"/>
      <w:lvl w:ilvl="3">
        <w:start w:val="1"/>
        <w:numFmt w:val="decimal"/>
        <w:pStyle w:val="Rubrik4"/>
        <w:suff w:val="nothing"/>
        <w:lvlText w:val="%1.%2.%3.%4   "/>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16"/>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6"/>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1D35"/>
    <w:rsid w:val="00012B00"/>
    <w:rsid w:val="00013EAE"/>
    <w:rsid w:val="00023D52"/>
    <w:rsid w:val="0002503D"/>
    <w:rsid w:val="00026711"/>
    <w:rsid w:val="00030C83"/>
    <w:rsid w:val="00037846"/>
    <w:rsid w:val="00041EDC"/>
    <w:rsid w:val="00047C23"/>
    <w:rsid w:val="00054342"/>
    <w:rsid w:val="00057FE0"/>
    <w:rsid w:val="00062818"/>
    <w:rsid w:val="000641DD"/>
    <w:rsid w:val="000654B6"/>
    <w:rsid w:val="000757FC"/>
    <w:rsid w:val="000862E0"/>
    <w:rsid w:val="0009284B"/>
    <w:rsid w:val="00093408"/>
    <w:rsid w:val="00093C04"/>
    <w:rsid w:val="0009435C"/>
    <w:rsid w:val="00094931"/>
    <w:rsid w:val="00094B90"/>
    <w:rsid w:val="00095605"/>
    <w:rsid w:val="00097A2C"/>
    <w:rsid w:val="000A4F19"/>
    <w:rsid w:val="000A7624"/>
    <w:rsid w:val="000B3530"/>
    <w:rsid w:val="000C14F7"/>
    <w:rsid w:val="000C1A67"/>
    <w:rsid w:val="000C61D1"/>
    <w:rsid w:val="000C7958"/>
    <w:rsid w:val="000D168F"/>
    <w:rsid w:val="000D1C77"/>
    <w:rsid w:val="000D352D"/>
    <w:rsid w:val="000D6689"/>
    <w:rsid w:val="000E12D9"/>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30F"/>
    <w:rsid w:val="00115F06"/>
    <w:rsid w:val="001206B8"/>
    <w:rsid w:val="00120B4E"/>
    <w:rsid w:val="00121002"/>
    <w:rsid w:val="00122EF9"/>
    <w:rsid w:val="001328E9"/>
    <w:rsid w:val="001334DC"/>
    <w:rsid w:val="00133CB3"/>
    <w:rsid w:val="001345E2"/>
    <w:rsid w:val="001351CF"/>
    <w:rsid w:val="00140696"/>
    <w:rsid w:val="00140A8E"/>
    <w:rsid w:val="001457F3"/>
    <w:rsid w:val="001475A9"/>
    <w:rsid w:val="00151D2E"/>
    <w:rsid w:val="00153AF5"/>
    <w:rsid w:val="00157E3A"/>
    <w:rsid w:val="00161DDF"/>
    <w:rsid w:val="00163CD8"/>
    <w:rsid w:val="00170CE4"/>
    <w:rsid w:val="00173126"/>
    <w:rsid w:val="00174B3D"/>
    <w:rsid w:val="00175D32"/>
    <w:rsid w:val="0017693A"/>
    <w:rsid w:val="00181DD8"/>
    <w:rsid w:val="001821E2"/>
    <w:rsid w:val="0018454A"/>
    <w:rsid w:val="00190A3C"/>
    <w:rsid w:val="001918B8"/>
    <w:rsid w:val="00192E34"/>
    <w:rsid w:val="001935F8"/>
    <w:rsid w:val="001949B4"/>
    <w:rsid w:val="001956F7"/>
    <w:rsid w:val="001964E5"/>
    <w:rsid w:val="001976FE"/>
    <w:rsid w:val="001A2922"/>
    <w:rsid w:val="001A39E0"/>
    <w:rsid w:val="001A4D6E"/>
    <w:rsid w:val="001A5484"/>
    <w:rsid w:val="001B0AE9"/>
    <w:rsid w:val="001B2EBB"/>
    <w:rsid w:val="001B48E6"/>
    <w:rsid w:val="001C0D58"/>
    <w:rsid w:val="001C232C"/>
    <w:rsid w:val="001C2848"/>
    <w:rsid w:val="001C57D6"/>
    <w:rsid w:val="001C5CF9"/>
    <w:rsid w:val="001C5DC9"/>
    <w:rsid w:val="001C643F"/>
    <w:rsid w:val="001C71A9"/>
    <w:rsid w:val="001D0C08"/>
    <w:rsid w:val="001E050E"/>
    <w:rsid w:val="001E1DC2"/>
    <w:rsid w:val="001E4BE3"/>
    <w:rsid w:val="001E6635"/>
    <w:rsid w:val="001F0629"/>
    <w:rsid w:val="001F0736"/>
    <w:rsid w:val="001F1DE3"/>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F7F"/>
    <w:rsid w:val="00233D52"/>
    <w:rsid w:val="0023566A"/>
    <w:rsid w:val="00236D8C"/>
    <w:rsid w:val="00237318"/>
    <w:rsid w:val="002429FD"/>
    <w:rsid w:val="00242A60"/>
    <w:rsid w:val="00244B65"/>
    <w:rsid w:val="00247000"/>
    <w:rsid w:val="00247DBE"/>
    <w:rsid w:val="00252409"/>
    <w:rsid w:val="0025304D"/>
    <w:rsid w:val="002571F7"/>
    <w:rsid w:val="002607E6"/>
    <w:rsid w:val="00260B56"/>
    <w:rsid w:val="00260D2D"/>
    <w:rsid w:val="0026165F"/>
    <w:rsid w:val="00262DD4"/>
    <w:rsid w:val="00263209"/>
    <w:rsid w:val="00264B98"/>
    <w:rsid w:val="00265BEB"/>
    <w:rsid w:val="002668D8"/>
    <w:rsid w:val="002674D6"/>
    <w:rsid w:val="00267BD4"/>
    <w:rsid w:val="0027345F"/>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A5C84"/>
    <w:rsid w:val="002B0D88"/>
    <w:rsid w:val="002B37E2"/>
    <w:rsid w:val="002B4DA9"/>
    <w:rsid w:val="002B6317"/>
    <w:rsid w:val="002B63A1"/>
    <w:rsid w:val="002C072F"/>
    <w:rsid w:val="002C2455"/>
    <w:rsid w:val="002C3230"/>
    <w:rsid w:val="002C504A"/>
    <w:rsid w:val="002C60D8"/>
    <w:rsid w:val="002C6167"/>
    <w:rsid w:val="002D4E56"/>
    <w:rsid w:val="002D6B80"/>
    <w:rsid w:val="002E2AD3"/>
    <w:rsid w:val="002E46C2"/>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6A94"/>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2732"/>
    <w:rsid w:val="003A5969"/>
    <w:rsid w:val="003A5C58"/>
    <w:rsid w:val="003B4195"/>
    <w:rsid w:val="003C3075"/>
    <w:rsid w:val="003C3F26"/>
    <w:rsid w:val="003C49FA"/>
    <w:rsid w:val="003C540C"/>
    <w:rsid w:val="003C6712"/>
    <w:rsid w:val="003C6C75"/>
    <w:rsid w:val="003C6D6F"/>
    <w:rsid w:val="003C7BE0"/>
    <w:rsid w:val="003D0DD3"/>
    <w:rsid w:val="003D17EF"/>
    <w:rsid w:val="003D2267"/>
    <w:rsid w:val="003D3535"/>
    <w:rsid w:val="003D5C45"/>
    <w:rsid w:val="003D6F78"/>
    <w:rsid w:val="003D720B"/>
    <w:rsid w:val="003E1EA7"/>
    <w:rsid w:val="003E4120"/>
    <w:rsid w:val="003E4669"/>
    <w:rsid w:val="003E6020"/>
    <w:rsid w:val="003E7D46"/>
    <w:rsid w:val="003F125A"/>
    <w:rsid w:val="003F5C0E"/>
    <w:rsid w:val="00401BBB"/>
    <w:rsid w:val="00402CD4"/>
    <w:rsid w:val="004049BE"/>
    <w:rsid w:val="00405750"/>
    <w:rsid w:val="0041223B"/>
    <w:rsid w:val="0041323A"/>
    <w:rsid w:val="00414E62"/>
    <w:rsid w:val="0042068E"/>
    <w:rsid w:val="00420872"/>
    <w:rsid w:val="004231ED"/>
    <w:rsid w:val="004242FE"/>
    <w:rsid w:val="004364F7"/>
    <w:rsid w:val="00443E9D"/>
    <w:rsid w:val="00451DA7"/>
    <w:rsid w:val="004602B3"/>
    <w:rsid w:val="004660C8"/>
    <w:rsid w:val="00467A0B"/>
    <w:rsid w:val="00472EBA"/>
    <w:rsid w:val="00474676"/>
    <w:rsid w:val="0047511B"/>
    <w:rsid w:val="00480B91"/>
    <w:rsid w:val="00480EC3"/>
    <w:rsid w:val="004813A0"/>
    <w:rsid w:val="00481E6F"/>
    <w:rsid w:val="0048317E"/>
    <w:rsid w:val="00483749"/>
    <w:rsid w:val="00485601"/>
    <w:rsid w:val="004865B8"/>
    <w:rsid w:val="004867FA"/>
    <w:rsid w:val="00486C0D"/>
    <w:rsid w:val="00491796"/>
    <w:rsid w:val="004A501C"/>
    <w:rsid w:val="004A5C46"/>
    <w:rsid w:val="004A7497"/>
    <w:rsid w:val="004B2A8F"/>
    <w:rsid w:val="004B31EA"/>
    <w:rsid w:val="004B66DA"/>
    <w:rsid w:val="004B7363"/>
    <w:rsid w:val="004C2AE3"/>
    <w:rsid w:val="004C3E95"/>
    <w:rsid w:val="004C66D5"/>
    <w:rsid w:val="004C68A5"/>
    <w:rsid w:val="004C70EE"/>
    <w:rsid w:val="004C76D3"/>
    <w:rsid w:val="004D1592"/>
    <w:rsid w:val="004D3564"/>
    <w:rsid w:val="004D3672"/>
    <w:rsid w:val="004D4480"/>
    <w:rsid w:val="004D593B"/>
    <w:rsid w:val="004E09F3"/>
    <w:rsid w:val="004E25CD"/>
    <w:rsid w:val="004E2E11"/>
    <w:rsid w:val="004E55A2"/>
    <w:rsid w:val="004E6431"/>
    <w:rsid w:val="004E7927"/>
    <w:rsid w:val="004E7DFE"/>
    <w:rsid w:val="004F0448"/>
    <w:rsid w:val="004F2042"/>
    <w:rsid w:val="004F6525"/>
    <w:rsid w:val="004F70FC"/>
    <w:rsid w:val="00501ADA"/>
    <w:rsid w:val="0050661A"/>
    <w:rsid w:val="00507201"/>
    <w:rsid w:val="00512C15"/>
    <w:rsid w:val="00514936"/>
    <w:rsid w:val="0052127C"/>
    <w:rsid w:val="00525535"/>
    <w:rsid w:val="00530252"/>
    <w:rsid w:val="005318FE"/>
    <w:rsid w:val="00536816"/>
    <w:rsid w:val="005378BD"/>
    <w:rsid w:val="00542D38"/>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1B8C"/>
    <w:rsid w:val="005962ED"/>
    <w:rsid w:val="00596E2B"/>
    <w:rsid w:val="005A12FC"/>
    <w:rsid w:val="005A21D8"/>
    <w:rsid w:val="005A236B"/>
    <w:rsid w:val="005A5193"/>
    <w:rsid w:val="005B5D92"/>
    <w:rsid w:val="005C7969"/>
    <w:rsid w:val="005C7FF5"/>
    <w:rsid w:val="005E101E"/>
    <w:rsid w:val="005E2F29"/>
    <w:rsid w:val="005E385B"/>
    <w:rsid w:val="005E4CC6"/>
    <w:rsid w:val="005E4E79"/>
    <w:rsid w:val="005F6A9B"/>
    <w:rsid w:val="005F6BA3"/>
    <w:rsid w:val="005F77D6"/>
    <w:rsid w:val="0060006D"/>
    <w:rsid w:val="00603028"/>
    <w:rsid w:val="00604B73"/>
    <w:rsid w:val="00605CB7"/>
    <w:rsid w:val="00605D45"/>
    <w:rsid w:val="00606471"/>
    <w:rsid w:val="00606BA2"/>
    <w:rsid w:val="00615962"/>
    <w:rsid w:val="00616809"/>
    <w:rsid w:val="006175D7"/>
    <w:rsid w:val="006208E5"/>
    <w:rsid w:val="00622C82"/>
    <w:rsid w:val="00626E99"/>
    <w:rsid w:val="00631D01"/>
    <w:rsid w:val="00631F82"/>
    <w:rsid w:val="00634890"/>
    <w:rsid w:val="00641547"/>
    <w:rsid w:val="00642059"/>
    <w:rsid w:val="00643089"/>
    <w:rsid w:val="006471B3"/>
    <w:rsid w:val="00647603"/>
    <w:rsid w:val="00647D30"/>
    <w:rsid w:val="00650080"/>
    <w:rsid w:val="00653648"/>
    <w:rsid w:val="00654B4D"/>
    <w:rsid w:val="006572C4"/>
    <w:rsid w:val="0066037C"/>
    <w:rsid w:val="006611B7"/>
    <w:rsid w:val="006630D1"/>
    <w:rsid w:val="00664ADE"/>
    <w:rsid w:val="00665121"/>
    <w:rsid w:val="00667682"/>
    <w:rsid w:val="00670A48"/>
    <w:rsid w:val="0067275F"/>
    <w:rsid w:val="00672F6F"/>
    <w:rsid w:val="006739C1"/>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E08FC"/>
    <w:rsid w:val="006E1D01"/>
    <w:rsid w:val="006E5617"/>
    <w:rsid w:val="006E58CA"/>
    <w:rsid w:val="006E689A"/>
    <w:rsid w:val="006F052A"/>
    <w:rsid w:val="006F2588"/>
    <w:rsid w:val="006F39B7"/>
    <w:rsid w:val="006F6DED"/>
    <w:rsid w:val="0070081D"/>
    <w:rsid w:val="007061A3"/>
    <w:rsid w:val="00706C98"/>
    <w:rsid w:val="00710A6C"/>
    <w:rsid w:val="00712266"/>
    <w:rsid w:val="00713E5A"/>
    <w:rsid w:val="00715645"/>
    <w:rsid w:val="00716202"/>
    <w:rsid w:val="007253D6"/>
    <w:rsid w:val="00725FE3"/>
    <w:rsid w:val="007267A4"/>
    <w:rsid w:val="00726999"/>
    <w:rsid w:val="00727D07"/>
    <w:rsid w:val="007339D0"/>
    <w:rsid w:val="00734474"/>
    <w:rsid w:val="00735E88"/>
    <w:rsid w:val="0074744A"/>
    <w:rsid w:val="0075063E"/>
    <w:rsid w:val="00750C93"/>
    <w:rsid w:val="00755425"/>
    <w:rsid w:val="00755EE0"/>
    <w:rsid w:val="007576D1"/>
    <w:rsid w:val="00757B3B"/>
    <w:rsid w:val="00761212"/>
    <w:rsid w:val="00766CD0"/>
    <w:rsid w:val="00767FBB"/>
    <w:rsid w:val="00771C68"/>
    <w:rsid w:val="00773075"/>
    <w:rsid w:val="0077348F"/>
    <w:rsid w:val="00776F1E"/>
    <w:rsid w:val="00782B3F"/>
    <w:rsid w:val="00783790"/>
    <w:rsid w:val="00784BF1"/>
    <w:rsid w:val="00787D1A"/>
    <w:rsid w:val="00790363"/>
    <w:rsid w:val="007934D9"/>
    <w:rsid w:val="0079641B"/>
    <w:rsid w:val="00797E95"/>
    <w:rsid w:val="007A0D33"/>
    <w:rsid w:val="007A1887"/>
    <w:rsid w:val="007A461C"/>
    <w:rsid w:val="007A526A"/>
    <w:rsid w:val="007A629C"/>
    <w:rsid w:val="007A7061"/>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4C68"/>
    <w:rsid w:val="007F534D"/>
    <w:rsid w:val="007F5CF6"/>
    <w:rsid w:val="007F7B04"/>
    <w:rsid w:val="0080035A"/>
    <w:rsid w:val="00803D98"/>
    <w:rsid w:val="00804284"/>
    <w:rsid w:val="00804C1B"/>
    <w:rsid w:val="008178E6"/>
    <w:rsid w:val="0082106C"/>
    <w:rsid w:val="0082234E"/>
    <w:rsid w:val="00825520"/>
    <w:rsid w:val="00830179"/>
    <w:rsid w:val="0083220F"/>
    <w:rsid w:val="008360F8"/>
    <w:rsid w:val="008375D5"/>
    <w:rsid w:val="00841822"/>
    <w:rsid w:val="00844E6E"/>
    <w:rsid w:val="00852211"/>
    <w:rsid w:val="008528FD"/>
    <w:rsid w:val="0085368F"/>
    <w:rsid w:val="00854AC4"/>
    <w:rsid w:val="00856EBE"/>
    <w:rsid w:val="00860D14"/>
    <w:rsid w:val="00867147"/>
    <w:rsid w:val="00871C7D"/>
    <w:rsid w:val="00871D3C"/>
    <w:rsid w:val="00875DDD"/>
    <w:rsid w:val="00876D0E"/>
    <w:rsid w:val="0087726D"/>
    <w:rsid w:val="008843BA"/>
    <w:rsid w:val="00891929"/>
    <w:rsid w:val="00892B40"/>
    <w:rsid w:val="008941C8"/>
    <w:rsid w:val="008A0A0D"/>
    <w:rsid w:val="008A5E3D"/>
    <w:rsid w:val="008A6063"/>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004B"/>
    <w:rsid w:val="008E3F42"/>
    <w:rsid w:val="008E568B"/>
    <w:rsid w:val="008E6E5D"/>
    <w:rsid w:val="008E77D6"/>
    <w:rsid w:val="008F15A2"/>
    <w:rsid w:val="008F1C35"/>
    <w:rsid w:val="008F5E61"/>
    <w:rsid w:val="008F7CCB"/>
    <w:rsid w:val="008F7FAC"/>
    <w:rsid w:val="0090040A"/>
    <w:rsid w:val="009066DE"/>
    <w:rsid w:val="00907AAD"/>
    <w:rsid w:val="00907AEB"/>
    <w:rsid w:val="009103CF"/>
    <w:rsid w:val="0091053B"/>
    <w:rsid w:val="00912259"/>
    <w:rsid w:val="0091347E"/>
    <w:rsid w:val="0091386C"/>
    <w:rsid w:val="0091685D"/>
    <w:rsid w:val="00920A9E"/>
    <w:rsid w:val="00920BB4"/>
    <w:rsid w:val="009224CB"/>
    <w:rsid w:val="00922AF0"/>
    <w:rsid w:val="00922C90"/>
    <w:rsid w:val="00923834"/>
    <w:rsid w:val="00927961"/>
    <w:rsid w:val="00927DB0"/>
    <w:rsid w:val="00927EBB"/>
    <w:rsid w:val="00931D41"/>
    <w:rsid w:val="0093220C"/>
    <w:rsid w:val="00932528"/>
    <w:rsid w:val="00932A58"/>
    <w:rsid w:val="009354D0"/>
    <w:rsid w:val="00935894"/>
    <w:rsid w:val="0094141F"/>
    <w:rsid w:val="009446C9"/>
    <w:rsid w:val="0094502D"/>
    <w:rsid w:val="00947013"/>
    <w:rsid w:val="009475CA"/>
    <w:rsid w:val="00947EDF"/>
    <w:rsid w:val="0095539D"/>
    <w:rsid w:val="0096182B"/>
    <w:rsid w:val="00964E3D"/>
    <w:rsid w:val="00967B69"/>
    <w:rsid w:val="0097001D"/>
    <w:rsid w:val="009709D3"/>
    <w:rsid w:val="009768C8"/>
    <w:rsid w:val="00984EA2"/>
    <w:rsid w:val="00986CC3"/>
    <w:rsid w:val="009905CB"/>
    <w:rsid w:val="00990F0F"/>
    <w:rsid w:val="009920AA"/>
    <w:rsid w:val="009961CB"/>
    <w:rsid w:val="0099637B"/>
    <w:rsid w:val="009966CD"/>
    <w:rsid w:val="009973F9"/>
    <w:rsid w:val="009A065A"/>
    <w:rsid w:val="009A0EA8"/>
    <w:rsid w:val="009A1F4B"/>
    <w:rsid w:val="009A3030"/>
    <w:rsid w:val="009A4D0A"/>
    <w:rsid w:val="009B1787"/>
    <w:rsid w:val="009B22AB"/>
    <w:rsid w:val="009B2D60"/>
    <w:rsid w:val="009B3DF4"/>
    <w:rsid w:val="009B4677"/>
    <w:rsid w:val="009C1449"/>
    <w:rsid w:val="009C232E"/>
    <w:rsid w:val="009C2459"/>
    <w:rsid w:val="009C292C"/>
    <w:rsid w:val="009C762F"/>
    <w:rsid w:val="009D44FA"/>
    <w:rsid w:val="009D5D40"/>
    <w:rsid w:val="009D6168"/>
    <w:rsid w:val="009D6B1B"/>
    <w:rsid w:val="009E107B"/>
    <w:rsid w:val="009E11FE"/>
    <w:rsid w:val="009E14B2"/>
    <w:rsid w:val="009E18D6"/>
    <w:rsid w:val="009E2A08"/>
    <w:rsid w:val="009E30A8"/>
    <w:rsid w:val="009E62D5"/>
    <w:rsid w:val="009E6A3B"/>
    <w:rsid w:val="009F73D1"/>
    <w:rsid w:val="00A00946"/>
    <w:rsid w:val="00A00D24"/>
    <w:rsid w:val="00A01F5C"/>
    <w:rsid w:val="00A02391"/>
    <w:rsid w:val="00A02576"/>
    <w:rsid w:val="00A0478B"/>
    <w:rsid w:val="00A04DFD"/>
    <w:rsid w:val="00A06D7C"/>
    <w:rsid w:val="00A076E1"/>
    <w:rsid w:val="00A11731"/>
    <w:rsid w:val="00A1381D"/>
    <w:rsid w:val="00A24D1E"/>
    <w:rsid w:val="00A273C9"/>
    <w:rsid w:val="00A31A0B"/>
    <w:rsid w:val="00A3270B"/>
    <w:rsid w:val="00A353A1"/>
    <w:rsid w:val="00A35C47"/>
    <w:rsid w:val="00A3726E"/>
    <w:rsid w:val="00A37D45"/>
    <w:rsid w:val="00A42C81"/>
    <w:rsid w:val="00A43B02"/>
    <w:rsid w:val="00A43E76"/>
    <w:rsid w:val="00A45F67"/>
    <w:rsid w:val="00A4770D"/>
    <w:rsid w:val="00A507BE"/>
    <w:rsid w:val="00A50B01"/>
    <w:rsid w:val="00A51043"/>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7DD2"/>
    <w:rsid w:val="00A8124F"/>
    <w:rsid w:val="00A85701"/>
    <w:rsid w:val="00A87A54"/>
    <w:rsid w:val="00A93242"/>
    <w:rsid w:val="00A95302"/>
    <w:rsid w:val="00A95660"/>
    <w:rsid w:val="00AA0D51"/>
    <w:rsid w:val="00AA1809"/>
    <w:rsid w:val="00AA336E"/>
    <w:rsid w:val="00AA4BC9"/>
    <w:rsid w:val="00AA6814"/>
    <w:rsid w:val="00AA767E"/>
    <w:rsid w:val="00AA7FE6"/>
    <w:rsid w:val="00AB0542"/>
    <w:rsid w:val="00AB1585"/>
    <w:rsid w:val="00AB25CB"/>
    <w:rsid w:val="00AB2903"/>
    <w:rsid w:val="00AB33F4"/>
    <w:rsid w:val="00AB47B4"/>
    <w:rsid w:val="00AB619A"/>
    <w:rsid w:val="00AB6313"/>
    <w:rsid w:val="00AD688A"/>
    <w:rsid w:val="00AE1159"/>
    <w:rsid w:val="00AE1EF5"/>
    <w:rsid w:val="00AE60A6"/>
    <w:rsid w:val="00AE7C0B"/>
    <w:rsid w:val="00AF018F"/>
    <w:rsid w:val="00AF0BB7"/>
    <w:rsid w:val="00AF0EDE"/>
    <w:rsid w:val="00B00DE8"/>
    <w:rsid w:val="00B0234E"/>
    <w:rsid w:val="00B030F7"/>
    <w:rsid w:val="00B045EB"/>
    <w:rsid w:val="00B0636E"/>
    <w:rsid w:val="00B06751"/>
    <w:rsid w:val="00B1367D"/>
    <w:rsid w:val="00B14C53"/>
    <w:rsid w:val="00B2062B"/>
    <w:rsid w:val="00B2169D"/>
    <w:rsid w:val="00B21CBB"/>
    <w:rsid w:val="00B21E7E"/>
    <w:rsid w:val="00B24BE1"/>
    <w:rsid w:val="00B26BE7"/>
    <w:rsid w:val="00B316CA"/>
    <w:rsid w:val="00B34E21"/>
    <w:rsid w:val="00B35C70"/>
    <w:rsid w:val="00B374C9"/>
    <w:rsid w:val="00B4057F"/>
    <w:rsid w:val="00B41842"/>
    <w:rsid w:val="00B41F72"/>
    <w:rsid w:val="00B426F1"/>
    <w:rsid w:val="00B428D4"/>
    <w:rsid w:val="00B4382C"/>
    <w:rsid w:val="00B440DA"/>
    <w:rsid w:val="00B4458B"/>
    <w:rsid w:val="00B4623B"/>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71B75"/>
    <w:rsid w:val="00B81B3A"/>
    <w:rsid w:val="00B81C0F"/>
    <w:rsid w:val="00B837A9"/>
    <w:rsid w:val="00B84409"/>
    <w:rsid w:val="00B8644E"/>
    <w:rsid w:val="00B91667"/>
    <w:rsid w:val="00B960F6"/>
    <w:rsid w:val="00B96962"/>
    <w:rsid w:val="00B96966"/>
    <w:rsid w:val="00BA300D"/>
    <w:rsid w:val="00BA5222"/>
    <w:rsid w:val="00BB3684"/>
    <w:rsid w:val="00BB3CD9"/>
    <w:rsid w:val="00BB3FD9"/>
    <w:rsid w:val="00BB43D9"/>
    <w:rsid w:val="00BB5683"/>
    <w:rsid w:val="00BB6F59"/>
    <w:rsid w:val="00BB7D04"/>
    <w:rsid w:val="00BB7DE8"/>
    <w:rsid w:val="00BC54A6"/>
    <w:rsid w:val="00BD0826"/>
    <w:rsid w:val="00BE3210"/>
    <w:rsid w:val="00BE5844"/>
    <w:rsid w:val="00BE590C"/>
    <w:rsid w:val="00BE5C53"/>
    <w:rsid w:val="00BE610F"/>
    <w:rsid w:val="00BF18DA"/>
    <w:rsid w:val="00BF2CEC"/>
    <w:rsid w:val="00BF74FD"/>
    <w:rsid w:val="00C01305"/>
    <w:rsid w:val="00C0390C"/>
    <w:rsid w:val="00C060D4"/>
    <w:rsid w:val="00C122DA"/>
    <w:rsid w:val="00C12978"/>
    <w:rsid w:val="00C141C6"/>
    <w:rsid w:val="00C15931"/>
    <w:rsid w:val="00C15F94"/>
    <w:rsid w:val="00C200EB"/>
    <w:rsid w:val="00C2071A"/>
    <w:rsid w:val="00C20ACB"/>
    <w:rsid w:val="00C26068"/>
    <w:rsid w:val="00C26670"/>
    <w:rsid w:val="00C271A8"/>
    <w:rsid w:val="00C31909"/>
    <w:rsid w:val="00C347A2"/>
    <w:rsid w:val="00C35A15"/>
    <w:rsid w:val="00C369D4"/>
    <w:rsid w:val="00C37A77"/>
    <w:rsid w:val="00C4152F"/>
    <w:rsid w:val="00C4257A"/>
    <w:rsid w:val="00C43FB1"/>
    <w:rsid w:val="00C461E6"/>
    <w:rsid w:val="00C4782F"/>
    <w:rsid w:val="00C500CE"/>
    <w:rsid w:val="00C50ABB"/>
    <w:rsid w:val="00C53DD8"/>
    <w:rsid w:val="00C55970"/>
    <w:rsid w:val="00C5629C"/>
    <w:rsid w:val="00C566D7"/>
    <w:rsid w:val="00C61BAE"/>
    <w:rsid w:val="00C6350C"/>
    <w:rsid w:val="00C6782A"/>
    <w:rsid w:val="00C712DB"/>
    <w:rsid w:val="00C73521"/>
    <w:rsid w:val="00C771C5"/>
    <w:rsid w:val="00C77746"/>
    <w:rsid w:val="00C91236"/>
    <w:rsid w:val="00C93EBA"/>
    <w:rsid w:val="00C95437"/>
    <w:rsid w:val="00C970D9"/>
    <w:rsid w:val="00CA0BF2"/>
    <w:rsid w:val="00CA1EF1"/>
    <w:rsid w:val="00CA57AC"/>
    <w:rsid w:val="00CA6A70"/>
    <w:rsid w:val="00CA7C58"/>
    <w:rsid w:val="00CA7FF5"/>
    <w:rsid w:val="00CB1A24"/>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33C2"/>
    <w:rsid w:val="00CD6169"/>
    <w:rsid w:val="00CE089F"/>
    <w:rsid w:val="00CE56B6"/>
    <w:rsid w:val="00CF4B6A"/>
    <w:rsid w:val="00CF4CD9"/>
    <w:rsid w:val="00CF5CC0"/>
    <w:rsid w:val="00CF5FF7"/>
    <w:rsid w:val="00CF6A76"/>
    <w:rsid w:val="00D021D2"/>
    <w:rsid w:val="00D02480"/>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467F"/>
    <w:rsid w:val="00D56915"/>
    <w:rsid w:val="00D62E53"/>
    <w:rsid w:val="00D6413A"/>
    <w:rsid w:val="00D6730A"/>
    <w:rsid w:val="00D67863"/>
    <w:rsid w:val="00D67D61"/>
    <w:rsid w:val="00D715BB"/>
    <w:rsid w:val="00D73973"/>
    <w:rsid w:val="00D75F51"/>
    <w:rsid w:val="00D76068"/>
    <w:rsid w:val="00D76B01"/>
    <w:rsid w:val="00D8194E"/>
    <w:rsid w:val="00D81A88"/>
    <w:rsid w:val="00D84704"/>
    <w:rsid w:val="00D84DFE"/>
    <w:rsid w:val="00D95424"/>
    <w:rsid w:val="00D957B3"/>
    <w:rsid w:val="00D97F6B"/>
    <w:rsid w:val="00DA0484"/>
    <w:rsid w:val="00DA124C"/>
    <w:rsid w:val="00DA2411"/>
    <w:rsid w:val="00DA3188"/>
    <w:rsid w:val="00DA6524"/>
    <w:rsid w:val="00DB3B06"/>
    <w:rsid w:val="00DB46BC"/>
    <w:rsid w:val="00DB5496"/>
    <w:rsid w:val="00DB714B"/>
    <w:rsid w:val="00DC0602"/>
    <w:rsid w:val="00DC139A"/>
    <w:rsid w:val="00DC4040"/>
    <w:rsid w:val="00DC4A94"/>
    <w:rsid w:val="00DC4D11"/>
    <w:rsid w:val="00DC69FE"/>
    <w:rsid w:val="00DD2692"/>
    <w:rsid w:val="00DE05C7"/>
    <w:rsid w:val="00DE0BB3"/>
    <w:rsid w:val="00DE2EA4"/>
    <w:rsid w:val="00DE31CF"/>
    <w:rsid w:val="00DE43C3"/>
    <w:rsid w:val="00DE4E89"/>
    <w:rsid w:val="00DE637F"/>
    <w:rsid w:val="00DF1136"/>
    <w:rsid w:val="00DF5BFB"/>
    <w:rsid w:val="00E00545"/>
    <w:rsid w:val="00E00F66"/>
    <w:rsid w:val="00E04184"/>
    <w:rsid w:val="00E1432B"/>
    <w:rsid w:val="00E14D1C"/>
    <w:rsid w:val="00E164FF"/>
    <w:rsid w:val="00E20DBE"/>
    <w:rsid w:val="00E21C9C"/>
    <w:rsid w:val="00E21DE8"/>
    <w:rsid w:val="00E26E20"/>
    <w:rsid w:val="00E32561"/>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64688"/>
    <w:rsid w:val="00E736A2"/>
    <w:rsid w:val="00E75AF6"/>
    <w:rsid w:val="00E77888"/>
    <w:rsid w:val="00E817D6"/>
    <w:rsid w:val="00E84E00"/>
    <w:rsid w:val="00E8521E"/>
    <w:rsid w:val="00E85DB6"/>
    <w:rsid w:val="00E860F1"/>
    <w:rsid w:val="00E93B74"/>
    <w:rsid w:val="00E941B2"/>
    <w:rsid w:val="00E94D37"/>
    <w:rsid w:val="00E972F6"/>
    <w:rsid w:val="00E979BE"/>
    <w:rsid w:val="00EA1688"/>
    <w:rsid w:val="00EA274B"/>
    <w:rsid w:val="00EA36E1"/>
    <w:rsid w:val="00EA479B"/>
    <w:rsid w:val="00EA5200"/>
    <w:rsid w:val="00EB1D9E"/>
    <w:rsid w:val="00EB6730"/>
    <w:rsid w:val="00EB762D"/>
    <w:rsid w:val="00EC0DE8"/>
    <w:rsid w:val="00EC3887"/>
    <w:rsid w:val="00EC52C9"/>
    <w:rsid w:val="00EC7BA7"/>
    <w:rsid w:val="00ED0473"/>
    <w:rsid w:val="00ED3818"/>
    <w:rsid w:val="00ED55B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509"/>
    <w:rsid w:val="00F14024"/>
    <w:rsid w:val="00F176AD"/>
    <w:rsid w:val="00F17CDD"/>
    <w:rsid w:val="00F203BC"/>
    <w:rsid w:val="00F20EAE"/>
    <w:rsid w:val="00F20EC7"/>
    <w:rsid w:val="00F213E1"/>
    <w:rsid w:val="00F231CF"/>
    <w:rsid w:val="00F234AA"/>
    <w:rsid w:val="00F259D7"/>
    <w:rsid w:val="00F32256"/>
    <w:rsid w:val="00F32B4D"/>
    <w:rsid w:val="00F32C1E"/>
    <w:rsid w:val="00F32D05"/>
    <w:rsid w:val="00F3313B"/>
    <w:rsid w:val="00F35263"/>
    <w:rsid w:val="00F36B44"/>
    <w:rsid w:val="00F423D4"/>
    <w:rsid w:val="00F437B0"/>
    <w:rsid w:val="00F47440"/>
    <w:rsid w:val="00F53AEA"/>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4EB7"/>
    <w:rsid w:val="00FB549C"/>
    <w:rsid w:val="00FC190D"/>
    <w:rsid w:val="00FC38E6"/>
    <w:rsid w:val="00FC5029"/>
    <w:rsid w:val="00FC6048"/>
    <w:rsid w:val="00FC6395"/>
    <w:rsid w:val="00FD08B3"/>
    <w:rsid w:val="00FD0B7B"/>
    <w:rsid w:val="00FD6B46"/>
    <w:rsid w:val="00FE17F0"/>
    <w:rsid w:val="00FE667A"/>
    <w:rsid w:val="00FF3B1C"/>
    <w:rsid w:val="00FF4014"/>
    <w:rsid w:val="00FF77FC"/>
    <w:rsid w:val="00FF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 w:type="character" w:customStyle="1" w:styleId="normaltextrun1">
    <w:name w:val="normaltextrun1"/>
    <w:basedOn w:val="Standardstycketeckensnitt"/>
    <w:rsid w:val="003D5C45"/>
  </w:style>
  <w:style w:type="paragraph" w:customStyle="1" w:styleId="paragraph">
    <w:name w:val="paragraph"/>
    <w:basedOn w:val="Normal"/>
    <w:rsid w:val="003D5C45"/>
    <w:pPr>
      <w:spacing w:after="0"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3D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243340914">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69688737">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60751022">
      <w:bodyDiv w:val="1"/>
      <w:marLeft w:val="0"/>
      <w:marRight w:val="0"/>
      <w:marTop w:val="0"/>
      <w:marBottom w:val="0"/>
      <w:divBdr>
        <w:top w:val="none" w:sz="0" w:space="0" w:color="auto"/>
        <w:left w:val="none" w:sz="0" w:space="0" w:color="auto"/>
        <w:bottom w:val="none" w:sz="0" w:space="0" w:color="auto"/>
        <w:right w:val="none" w:sz="0" w:space="0" w:color="auto"/>
      </w:divBdr>
      <w:divsChild>
        <w:div w:id="1030372140">
          <w:marLeft w:val="0"/>
          <w:marRight w:val="0"/>
          <w:marTop w:val="0"/>
          <w:marBottom w:val="0"/>
          <w:divBdr>
            <w:top w:val="none" w:sz="0" w:space="0" w:color="auto"/>
            <w:left w:val="none" w:sz="0" w:space="0" w:color="auto"/>
            <w:bottom w:val="none" w:sz="0" w:space="0" w:color="auto"/>
            <w:right w:val="none" w:sz="0" w:space="0" w:color="auto"/>
          </w:divBdr>
          <w:divsChild>
            <w:div w:id="50348742">
              <w:marLeft w:val="0"/>
              <w:marRight w:val="0"/>
              <w:marTop w:val="0"/>
              <w:marBottom w:val="0"/>
              <w:divBdr>
                <w:top w:val="none" w:sz="0" w:space="0" w:color="auto"/>
                <w:left w:val="none" w:sz="0" w:space="0" w:color="auto"/>
                <w:bottom w:val="none" w:sz="0" w:space="0" w:color="auto"/>
                <w:right w:val="none" w:sz="0" w:space="0" w:color="auto"/>
              </w:divBdr>
              <w:divsChild>
                <w:div w:id="340015872">
                  <w:marLeft w:val="0"/>
                  <w:marRight w:val="0"/>
                  <w:marTop w:val="0"/>
                  <w:marBottom w:val="0"/>
                  <w:divBdr>
                    <w:top w:val="none" w:sz="0" w:space="0" w:color="auto"/>
                    <w:left w:val="none" w:sz="0" w:space="0" w:color="auto"/>
                    <w:bottom w:val="none" w:sz="0" w:space="0" w:color="auto"/>
                    <w:right w:val="none" w:sz="0" w:space="0" w:color="auto"/>
                  </w:divBdr>
                  <w:divsChild>
                    <w:div w:id="311907925">
                      <w:marLeft w:val="0"/>
                      <w:marRight w:val="0"/>
                      <w:marTop w:val="0"/>
                      <w:marBottom w:val="0"/>
                      <w:divBdr>
                        <w:top w:val="none" w:sz="0" w:space="0" w:color="auto"/>
                        <w:left w:val="none" w:sz="0" w:space="0" w:color="auto"/>
                        <w:bottom w:val="none" w:sz="0" w:space="0" w:color="auto"/>
                        <w:right w:val="none" w:sz="0" w:space="0" w:color="auto"/>
                      </w:divBdr>
                      <w:divsChild>
                        <w:div w:id="404227139">
                          <w:marLeft w:val="0"/>
                          <w:marRight w:val="0"/>
                          <w:marTop w:val="0"/>
                          <w:marBottom w:val="0"/>
                          <w:divBdr>
                            <w:top w:val="none" w:sz="0" w:space="0" w:color="auto"/>
                            <w:left w:val="none" w:sz="0" w:space="0" w:color="auto"/>
                            <w:bottom w:val="none" w:sz="0" w:space="0" w:color="auto"/>
                            <w:right w:val="none" w:sz="0" w:space="0" w:color="auto"/>
                          </w:divBdr>
                          <w:divsChild>
                            <w:div w:id="1377466771">
                              <w:marLeft w:val="0"/>
                              <w:marRight w:val="0"/>
                              <w:marTop w:val="0"/>
                              <w:marBottom w:val="0"/>
                              <w:divBdr>
                                <w:top w:val="none" w:sz="0" w:space="0" w:color="auto"/>
                                <w:left w:val="none" w:sz="0" w:space="0" w:color="auto"/>
                                <w:bottom w:val="none" w:sz="0" w:space="0" w:color="auto"/>
                                <w:right w:val="none" w:sz="0" w:space="0" w:color="auto"/>
                              </w:divBdr>
                              <w:divsChild>
                                <w:div w:id="826868645">
                                  <w:marLeft w:val="0"/>
                                  <w:marRight w:val="0"/>
                                  <w:marTop w:val="0"/>
                                  <w:marBottom w:val="0"/>
                                  <w:divBdr>
                                    <w:top w:val="none" w:sz="0" w:space="0" w:color="auto"/>
                                    <w:left w:val="none" w:sz="0" w:space="0" w:color="auto"/>
                                    <w:bottom w:val="none" w:sz="0" w:space="0" w:color="auto"/>
                                    <w:right w:val="none" w:sz="0" w:space="0" w:color="auto"/>
                                  </w:divBdr>
                                  <w:divsChild>
                                    <w:div w:id="1031687488">
                                      <w:marLeft w:val="0"/>
                                      <w:marRight w:val="0"/>
                                      <w:marTop w:val="0"/>
                                      <w:marBottom w:val="0"/>
                                      <w:divBdr>
                                        <w:top w:val="none" w:sz="0" w:space="0" w:color="auto"/>
                                        <w:left w:val="none" w:sz="0" w:space="0" w:color="auto"/>
                                        <w:bottom w:val="none" w:sz="0" w:space="0" w:color="auto"/>
                                        <w:right w:val="none" w:sz="0" w:space="0" w:color="auto"/>
                                      </w:divBdr>
                                      <w:divsChild>
                                        <w:div w:id="1246763278">
                                          <w:marLeft w:val="0"/>
                                          <w:marRight w:val="0"/>
                                          <w:marTop w:val="0"/>
                                          <w:marBottom w:val="0"/>
                                          <w:divBdr>
                                            <w:top w:val="none" w:sz="0" w:space="0" w:color="auto"/>
                                            <w:left w:val="none" w:sz="0" w:space="0" w:color="auto"/>
                                            <w:bottom w:val="none" w:sz="0" w:space="0" w:color="auto"/>
                                            <w:right w:val="none" w:sz="0" w:space="0" w:color="auto"/>
                                          </w:divBdr>
                                          <w:divsChild>
                                            <w:div w:id="1139306579">
                                              <w:marLeft w:val="0"/>
                                              <w:marRight w:val="0"/>
                                              <w:marTop w:val="0"/>
                                              <w:marBottom w:val="0"/>
                                              <w:divBdr>
                                                <w:top w:val="none" w:sz="0" w:space="0" w:color="auto"/>
                                                <w:left w:val="none" w:sz="0" w:space="0" w:color="auto"/>
                                                <w:bottom w:val="none" w:sz="0" w:space="0" w:color="auto"/>
                                                <w:right w:val="none" w:sz="0" w:space="0" w:color="auto"/>
                                              </w:divBdr>
                                              <w:divsChild>
                                                <w:div w:id="666397882">
                                                  <w:marLeft w:val="0"/>
                                                  <w:marRight w:val="0"/>
                                                  <w:marTop w:val="0"/>
                                                  <w:marBottom w:val="0"/>
                                                  <w:divBdr>
                                                    <w:top w:val="none" w:sz="0" w:space="0" w:color="auto"/>
                                                    <w:left w:val="none" w:sz="0" w:space="0" w:color="auto"/>
                                                    <w:bottom w:val="none" w:sz="0" w:space="0" w:color="auto"/>
                                                    <w:right w:val="none" w:sz="0" w:space="0" w:color="auto"/>
                                                  </w:divBdr>
                                                  <w:divsChild>
                                                    <w:div w:id="453908339">
                                                      <w:marLeft w:val="0"/>
                                                      <w:marRight w:val="0"/>
                                                      <w:marTop w:val="0"/>
                                                      <w:marBottom w:val="0"/>
                                                      <w:divBdr>
                                                        <w:top w:val="single" w:sz="6" w:space="0" w:color="ABABAB"/>
                                                        <w:left w:val="single" w:sz="6" w:space="0" w:color="ABABAB"/>
                                                        <w:bottom w:val="none" w:sz="0" w:space="0" w:color="auto"/>
                                                        <w:right w:val="single" w:sz="6" w:space="0" w:color="ABABAB"/>
                                                      </w:divBdr>
                                                      <w:divsChild>
                                                        <w:div w:id="1792629930">
                                                          <w:marLeft w:val="0"/>
                                                          <w:marRight w:val="0"/>
                                                          <w:marTop w:val="0"/>
                                                          <w:marBottom w:val="0"/>
                                                          <w:divBdr>
                                                            <w:top w:val="none" w:sz="0" w:space="0" w:color="auto"/>
                                                            <w:left w:val="none" w:sz="0" w:space="0" w:color="auto"/>
                                                            <w:bottom w:val="none" w:sz="0" w:space="0" w:color="auto"/>
                                                            <w:right w:val="none" w:sz="0" w:space="0" w:color="auto"/>
                                                          </w:divBdr>
                                                          <w:divsChild>
                                                            <w:div w:id="245116063">
                                                              <w:marLeft w:val="0"/>
                                                              <w:marRight w:val="0"/>
                                                              <w:marTop w:val="0"/>
                                                              <w:marBottom w:val="0"/>
                                                              <w:divBdr>
                                                                <w:top w:val="none" w:sz="0" w:space="0" w:color="auto"/>
                                                                <w:left w:val="none" w:sz="0" w:space="0" w:color="auto"/>
                                                                <w:bottom w:val="none" w:sz="0" w:space="0" w:color="auto"/>
                                                                <w:right w:val="none" w:sz="0" w:space="0" w:color="auto"/>
                                                              </w:divBdr>
                                                              <w:divsChild>
                                                                <w:div w:id="2117942537">
                                                                  <w:marLeft w:val="0"/>
                                                                  <w:marRight w:val="0"/>
                                                                  <w:marTop w:val="0"/>
                                                                  <w:marBottom w:val="0"/>
                                                                  <w:divBdr>
                                                                    <w:top w:val="none" w:sz="0" w:space="0" w:color="auto"/>
                                                                    <w:left w:val="none" w:sz="0" w:space="0" w:color="auto"/>
                                                                    <w:bottom w:val="none" w:sz="0" w:space="0" w:color="auto"/>
                                                                    <w:right w:val="none" w:sz="0" w:space="0" w:color="auto"/>
                                                                  </w:divBdr>
                                                                  <w:divsChild>
                                                                    <w:div w:id="994184343">
                                                                      <w:marLeft w:val="0"/>
                                                                      <w:marRight w:val="0"/>
                                                                      <w:marTop w:val="0"/>
                                                                      <w:marBottom w:val="0"/>
                                                                      <w:divBdr>
                                                                        <w:top w:val="none" w:sz="0" w:space="0" w:color="auto"/>
                                                                        <w:left w:val="none" w:sz="0" w:space="0" w:color="auto"/>
                                                                        <w:bottom w:val="none" w:sz="0" w:space="0" w:color="auto"/>
                                                                        <w:right w:val="none" w:sz="0" w:space="0" w:color="auto"/>
                                                                      </w:divBdr>
                                                                      <w:divsChild>
                                                                        <w:div w:id="1401559774">
                                                                          <w:marLeft w:val="0"/>
                                                                          <w:marRight w:val="0"/>
                                                                          <w:marTop w:val="0"/>
                                                                          <w:marBottom w:val="0"/>
                                                                          <w:divBdr>
                                                                            <w:top w:val="none" w:sz="0" w:space="0" w:color="auto"/>
                                                                            <w:left w:val="none" w:sz="0" w:space="0" w:color="auto"/>
                                                                            <w:bottom w:val="none" w:sz="0" w:space="0" w:color="auto"/>
                                                                            <w:right w:val="none" w:sz="0" w:space="0" w:color="auto"/>
                                                                          </w:divBdr>
                                                                          <w:divsChild>
                                                                            <w:div w:id="2043241141">
                                                                              <w:marLeft w:val="0"/>
                                                                              <w:marRight w:val="0"/>
                                                                              <w:marTop w:val="0"/>
                                                                              <w:marBottom w:val="0"/>
                                                                              <w:divBdr>
                                                                                <w:top w:val="none" w:sz="0" w:space="0" w:color="auto"/>
                                                                                <w:left w:val="none" w:sz="0" w:space="0" w:color="auto"/>
                                                                                <w:bottom w:val="none" w:sz="0" w:space="0" w:color="auto"/>
                                                                                <w:right w:val="none" w:sz="0" w:space="0" w:color="auto"/>
                                                                              </w:divBdr>
                                                                              <w:divsChild>
                                                                                <w:div w:id="109206226">
                                                                                  <w:marLeft w:val="0"/>
                                                                                  <w:marRight w:val="0"/>
                                                                                  <w:marTop w:val="0"/>
                                                                                  <w:marBottom w:val="0"/>
                                                                                  <w:divBdr>
                                                                                    <w:top w:val="none" w:sz="0" w:space="0" w:color="auto"/>
                                                                                    <w:left w:val="none" w:sz="0" w:space="0" w:color="auto"/>
                                                                                    <w:bottom w:val="none" w:sz="0" w:space="0" w:color="auto"/>
                                                                                    <w:right w:val="none" w:sz="0" w:space="0" w:color="auto"/>
                                                                                  </w:divBdr>
                                                                                </w:div>
                                                                                <w:div w:id="11729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27858571">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1511473">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68936223">
      <w:bodyDiv w:val="1"/>
      <w:marLeft w:val="0"/>
      <w:marRight w:val="0"/>
      <w:marTop w:val="0"/>
      <w:marBottom w:val="0"/>
      <w:divBdr>
        <w:top w:val="none" w:sz="0" w:space="0" w:color="auto"/>
        <w:left w:val="none" w:sz="0" w:space="0" w:color="auto"/>
        <w:bottom w:val="none" w:sz="0" w:space="0" w:color="auto"/>
        <w:right w:val="none" w:sz="0" w:space="0" w:color="auto"/>
      </w:divBdr>
    </w:div>
    <w:div w:id="777062603">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21515406">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115948054">
      <w:bodyDiv w:val="1"/>
      <w:marLeft w:val="0"/>
      <w:marRight w:val="0"/>
      <w:marTop w:val="0"/>
      <w:marBottom w:val="0"/>
      <w:divBdr>
        <w:top w:val="none" w:sz="0" w:space="0" w:color="auto"/>
        <w:left w:val="none" w:sz="0" w:space="0" w:color="auto"/>
        <w:bottom w:val="none" w:sz="0" w:space="0" w:color="auto"/>
        <w:right w:val="none" w:sz="0" w:space="0" w:color="auto"/>
      </w:divBdr>
    </w:div>
    <w:div w:id="124133005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72785942">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77966897">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14421289">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87375147">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1893349207">
      <w:bodyDiv w:val="1"/>
      <w:marLeft w:val="0"/>
      <w:marRight w:val="0"/>
      <w:marTop w:val="0"/>
      <w:marBottom w:val="0"/>
      <w:divBdr>
        <w:top w:val="none" w:sz="0" w:space="0" w:color="auto"/>
        <w:left w:val="none" w:sz="0" w:space="0" w:color="auto"/>
        <w:bottom w:val="none" w:sz="0" w:space="0" w:color="auto"/>
        <w:right w:val="none" w:sz="0" w:space="0" w:color="auto"/>
      </w:divBdr>
    </w:div>
    <w:div w:id="189395721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 w:id="21334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D709B"/>
    <w:rsid w:val="00B259DD"/>
    <w:rsid w:val="00C56BAF"/>
    <w:rsid w:val="00CA6EB0"/>
    <w:rsid w:val="00D74871"/>
    <w:rsid w:val="00DE262D"/>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MU2YDHX72QXQ-49996502-58088</_dlc_DocId>
    <_dlc_DocIdUrl xmlns="8b66ae41-1ec6-402e-b662-35d1932ca064">
      <Url>https://dhs.sp.regeringskansliet.se/yta/sb-EUKansli/_layouts/15/DocIdRedir.aspx?ID=MU2YDHX72QXQ-49996502-58088</Url>
      <Description>MU2YDHX72QXQ-49996502-58088</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7" ma:contentTypeDescription="Skapa nytt dokument med möjlighet att välja RK-mall" ma:contentTypeScope="" ma:versionID="f4a3e631754a7c2d08aef72828bd41f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2021-12-06T00:00:00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Props1.xml><?xml version="1.0" encoding="utf-8"?>
<ds:datastoreItem xmlns:ds="http://schemas.openxmlformats.org/officeDocument/2006/customXml" ds:itemID="{05B486FD-CB71-4768-8621-AEA063A43015}">
  <ds:schemaRefs>
    <ds:schemaRef ds:uri="4e9c2f0c-7bf8-49af-8356-cbf363fc78a7"/>
    <ds:schemaRef ds:uri="http://schemas.microsoft.com/office/2006/documentManagement/types"/>
    <ds:schemaRef ds:uri="9c9941df-7074-4a92-bf99-225d24d78d61"/>
    <ds:schemaRef ds:uri="http://purl.org/dc/elements/1.1/"/>
    <ds:schemaRef ds:uri="cc625d36-bb37-4650-91b9-0c96159295ba"/>
    <ds:schemaRef ds:uri="http://schemas.microsoft.com/office/infopath/2007/PartnerControls"/>
    <ds:schemaRef ds:uri="8b66ae41-1ec6-402e-b662-35d1932ca064"/>
    <ds:schemaRef ds:uri="http://schemas.openxmlformats.org/package/2006/metadata/core-properties"/>
    <ds:schemaRef ds:uri="18f3d968-6251-40b0-9f11-012b293496c2"/>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3.xml><?xml version="1.0" encoding="utf-8"?>
<ds:datastoreItem xmlns:ds="http://schemas.openxmlformats.org/officeDocument/2006/customXml" ds:itemID="{EAABCEBC-2E02-4A68-896C-A834E30E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5.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6.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7.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8.xml><?xml version="1.0" encoding="utf-8"?>
<ds:datastoreItem xmlns:ds="http://schemas.openxmlformats.org/officeDocument/2006/customXml" ds:itemID="{23BEA347-B93A-4520-B25E-5E0C8F8D50E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9</Pages>
  <Words>2099</Words>
  <Characters>11127</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42</cp:revision>
  <dcterms:created xsi:type="dcterms:W3CDTF">2021-11-30T10:15:00Z</dcterms:created>
  <dcterms:modified xsi:type="dcterms:W3CDTF">2021-12-06T12:13:00Z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c0957742-f1c2-4b48-9849-c3a66302fa5e</vt:lpwstr>
  </property>
  <property fmtid="{D5CDD505-2E9C-101B-9397-08002B2CF9AE}" pid="6" name="Organisation">
    <vt:lpwstr/>
  </property>
  <property fmtid="{D5CDD505-2E9C-101B-9397-08002B2CF9AE}" pid="7" name="ActivityCategory">
    <vt:lpwstr/>
  </property>
</Properties>
</file>