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61C3D" w:rsidTr="00CD7FE6">
        <w:tblPrEx>
          <w:tblCellMar>
            <w:top w:w="0" w:type="dxa"/>
            <w:bottom w:w="0" w:type="dxa"/>
          </w:tblCellMar>
        </w:tblPrEx>
        <w:tc>
          <w:tcPr>
            <w:tcW w:w="2268" w:type="dxa"/>
          </w:tcPr>
          <w:p w:rsidR="006E4E11" w:rsidRPr="00361C3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61C3D" w:rsidRDefault="008A71E6" w:rsidP="007242A3">
            <w:pPr>
              <w:framePr w:w="5035" w:h="1644" w:wrap="notBeside" w:vAnchor="page" w:hAnchor="page" w:x="6573" w:y="721"/>
              <w:rPr>
                <w:rFonts w:ascii="Times New Roman" w:hAnsi="Times New Roman"/>
                <w:szCs w:val="24"/>
              </w:rPr>
            </w:pPr>
            <w:r w:rsidRPr="00361C3D">
              <w:rPr>
                <w:rFonts w:ascii="Times New Roman" w:hAnsi="Times New Roman"/>
                <w:szCs w:val="24"/>
              </w:rPr>
              <w:t xml:space="preserve">                       </w:t>
            </w:r>
          </w:p>
        </w:tc>
      </w:tr>
      <w:tr w:rsidR="00CD7FE6" w:rsidRPr="00361C3D" w:rsidTr="00CD7FE6">
        <w:tblPrEx>
          <w:tblCellMar>
            <w:top w:w="0" w:type="dxa"/>
            <w:bottom w:w="0" w:type="dxa"/>
          </w:tblCellMar>
        </w:tblPrEx>
        <w:tc>
          <w:tcPr>
            <w:tcW w:w="5267" w:type="dxa"/>
            <w:gridSpan w:val="3"/>
          </w:tcPr>
          <w:p w:rsidR="00CD7FE6" w:rsidRPr="00361C3D" w:rsidRDefault="00CD7FE6" w:rsidP="007242A3">
            <w:pPr>
              <w:framePr w:w="5035" w:h="1644" w:wrap="notBeside" w:vAnchor="page" w:hAnchor="page" w:x="6573" w:y="721"/>
              <w:rPr>
                <w:rFonts w:ascii="TradeGothic" w:hAnsi="TradeGothic"/>
                <w:b/>
                <w:sz w:val="22"/>
              </w:rPr>
            </w:pPr>
            <w:r w:rsidRPr="00361C3D">
              <w:rPr>
                <w:rFonts w:ascii="TradeGothic" w:hAnsi="TradeGothic"/>
                <w:b/>
                <w:sz w:val="22"/>
              </w:rPr>
              <w:t>Rådspromemoria</w:t>
            </w:r>
          </w:p>
        </w:tc>
      </w:tr>
      <w:tr w:rsidR="006E4E11" w:rsidRPr="00361C3D" w:rsidTr="00CD7FE6">
        <w:tblPrEx>
          <w:tblCellMar>
            <w:top w:w="0" w:type="dxa"/>
            <w:bottom w:w="0" w:type="dxa"/>
          </w:tblCellMar>
        </w:tblPrEx>
        <w:tc>
          <w:tcPr>
            <w:tcW w:w="3402" w:type="dxa"/>
            <w:gridSpan w:val="2"/>
          </w:tcPr>
          <w:p w:rsidR="006E4E11" w:rsidRPr="00361C3D" w:rsidRDefault="006E4E11" w:rsidP="007242A3">
            <w:pPr>
              <w:framePr w:w="5035" w:h="1644" w:wrap="notBeside" w:vAnchor="page" w:hAnchor="page" w:x="6573" w:y="721"/>
            </w:pPr>
          </w:p>
        </w:tc>
        <w:tc>
          <w:tcPr>
            <w:tcW w:w="1865" w:type="dxa"/>
          </w:tcPr>
          <w:p w:rsidR="006E4E11" w:rsidRPr="00361C3D" w:rsidRDefault="006E4E11" w:rsidP="007242A3">
            <w:pPr>
              <w:framePr w:w="5035" w:h="1644" w:wrap="notBeside" w:vAnchor="page" w:hAnchor="page" w:x="6573" w:y="721"/>
            </w:pPr>
          </w:p>
        </w:tc>
      </w:tr>
      <w:tr w:rsidR="006E4E11" w:rsidRPr="00361C3D" w:rsidTr="00CD7FE6">
        <w:tblPrEx>
          <w:tblCellMar>
            <w:top w:w="0" w:type="dxa"/>
            <w:bottom w:w="0" w:type="dxa"/>
          </w:tblCellMar>
        </w:tblPrEx>
        <w:tc>
          <w:tcPr>
            <w:tcW w:w="2268" w:type="dxa"/>
          </w:tcPr>
          <w:p w:rsidR="006E4E11" w:rsidRPr="00361C3D" w:rsidRDefault="00CD7FE6" w:rsidP="00D6672E">
            <w:pPr>
              <w:framePr w:w="5035" w:h="1644" w:wrap="notBeside" w:vAnchor="page" w:hAnchor="page" w:x="6573" w:y="721"/>
            </w:pPr>
            <w:r w:rsidRPr="00361C3D">
              <w:t>201</w:t>
            </w:r>
            <w:r w:rsidR="00D6672E" w:rsidRPr="00361C3D">
              <w:t>2</w:t>
            </w:r>
            <w:r w:rsidRPr="00361C3D">
              <w:t>-</w:t>
            </w:r>
            <w:r w:rsidR="00D6672E" w:rsidRPr="00361C3D">
              <w:t>05</w:t>
            </w:r>
            <w:r w:rsidR="000756B2" w:rsidRPr="00361C3D">
              <w:t>-</w:t>
            </w:r>
            <w:r w:rsidR="00294060" w:rsidRPr="00361C3D">
              <w:t>25</w:t>
            </w:r>
          </w:p>
        </w:tc>
        <w:tc>
          <w:tcPr>
            <w:tcW w:w="2999" w:type="dxa"/>
            <w:gridSpan w:val="2"/>
          </w:tcPr>
          <w:p w:rsidR="006E4E11" w:rsidRPr="00361C3D" w:rsidRDefault="006E4E11" w:rsidP="007242A3">
            <w:pPr>
              <w:framePr w:w="5035" w:h="1644" w:wrap="notBeside" w:vAnchor="page" w:hAnchor="page" w:x="6573" w:y="721"/>
              <w:rPr>
                <w:sz w:val="20"/>
              </w:rPr>
            </w:pPr>
          </w:p>
        </w:tc>
      </w:tr>
      <w:tr w:rsidR="006E4E11" w:rsidRPr="00361C3D" w:rsidTr="00CD7FE6">
        <w:tblPrEx>
          <w:tblCellMar>
            <w:top w:w="0" w:type="dxa"/>
            <w:bottom w:w="0" w:type="dxa"/>
          </w:tblCellMar>
        </w:tblPrEx>
        <w:tc>
          <w:tcPr>
            <w:tcW w:w="2268" w:type="dxa"/>
          </w:tcPr>
          <w:p w:rsidR="006E4E11" w:rsidRPr="00361C3D" w:rsidRDefault="006E4E11" w:rsidP="007242A3">
            <w:pPr>
              <w:framePr w:w="5035" w:h="1644" w:wrap="notBeside" w:vAnchor="page" w:hAnchor="page" w:x="6573" w:y="721"/>
            </w:pPr>
          </w:p>
        </w:tc>
        <w:tc>
          <w:tcPr>
            <w:tcW w:w="2999" w:type="dxa"/>
            <w:gridSpan w:val="2"/>
          </w:tcPr>
          <w:p w:rsidR="006E4E11" w:rsidRPr="00361C3D" w:rsidRDefault="006E4E11" w:rsidP="007242A3">
            <w:pPr>
              <w:framePr w:w="5035" w:h="1644" w:wrap="notBeside" w:vAnchor="page" w:hAnchor="page" w:x="6573" w:y="721"/>
            </w:pPr>
          </w:p>
        </w:tc>
      </w:tr>
    </w:tbl>
    <w:p w:rsidR="00F579C1" w:rsidRPr="00361C3D" w:rsidRDefault="00F579C1" w:rsidP="00F579C1">
      <w:pPr>
        <w:rPr>
          <w:vanish/>
        </w:rPr>
      </w:pPr>
    </w:p>
    <w:tbl>
      <w:tblPr>
        <w:tblW w:w="0" w:type="auto"/>
        <w:tblLayout w:type="fixed"/>
        <w:tblLook w:val="0000" w:firstRow="0" w:lastRow="0" w:firstColumn="0" w:lastColumn="0" w:noHBand="0" w:noVBand="0"/>
      </w:tblPr>
      <w:tblGrid>
        <w:gridCol w:w="4911"/>
      </w:tblGrid>
      <w:tr w:rsidR="006E4E11" w:rsidRPr="00361C3D">
        <w:tblPrEx>
          <w:tblCellMar>
            <w:top w:w="0" w:type="dxa"/>
            <w:bottom w:w="0" w:type="dxa"/>
          </w:tblCellMar>
        </w:tblPrEx>
        <w:trPr>
          <w:trHeight w:val="284"/>
        </w:trPr>
        <w:tc>
          <w:tcPr>
            <w:tcW w:w="4911" w:type="dxa"/>
          </w:tcPr>
          <w:p w:rsidR="006E4E11" w:rsidRPr="00361C3D" w:rsidRDefault="00CD7FE6">
            <w:pPr>
              <w:pStyle w:val="Avsndare"/>
              <w:framePr w:h="2483" w:wrap="notBeside" w:x="1504"/>
              <w:rPr>
                <w:b/>
                <w:i w:val="0"/>
                <w:sz w:val="22"/>
              </w:rPr>
            </w:pPr>
            <w:r w:rsidRPr="00361C3D">
              <w:rPr>
                <w:b/>
                <w:i w:val="0"/>
                <w:sz w:val="22"/>
              </w:rPr>
              <w:t>Justitiedepartementet</w:t>
            </w:r>
          </w:p>
        </w:tc>
      </w:tr>
      <w:tr w:rsidR="006E4E11" w:rsidRPr="00361C3D">
        <w:tblPrEx>
          <w:tblCellMar>
            <w:top w:w="0" w:type="dxa"/>
            <w:bottom w:w="0" w:type="dxa"/>
          </w:tblCellMar>
        </w:tblPrEx>
        <w:trPr>
          <w:trHeight w:val="284"/>
        </w:trPr>
        <w:tc>
          <w:tcPr>
            <w:tcW w:w="4911" w:type="dxa"/>
          </w:tcPr>
          <w:p w:rsidR="006E4E11" w:rsidRPr="00361C3D" w:rsidRDefault="006E4E11">
            <w:pPr>
              <w:pStyle w:val="Avsndare"/>
              <w:framePr w:h="2483" w:wrap="notBeside" w:x="1504"/>
              <w:rPr>
                <w:bCs/>
                <w:iCs/>
              </w:rPr>
            </w:pPr>
          </w:p>
        </w:tc>
      </w:tr>
      <w:tr w:rsidR="006E4E11" w:rsidRPr="00361C3D">
        <w:tblPrEx>
          <w:tblCellMar>
            <w:top w:w="0" w:type="dxa"/>
            <w:bottom w:w="0" w:type="dxa"/>
          </w:tblCellMar>
        </w:tblPrEx>
        <w:trPr>
          <w:trHeight w:val="284"/>
        </w:trPr>
        <w:tc>
          <w:tcPr>
            <w:tcW w:w="4911" w:type="dxa"/>
          </w:tcPr>
          <w:p w:rsidR="006E4E11" w:rsidRPr="00361C3D" w:rsidRDefault="000756B2">
            <w:pPr>
              <w:pStyle w:val="Avsndare"/>
              <w:framePr w:h="2483" w:wrap="notBeside" w:x="1504"/>
              <w:rPr>
                <w:bCs/>
                <w:i w:val="0"/>
                <w:iCs/>
              </w:rPr>
            </w:pPr>
            <w:r w:rsidRPr="00361C3D">
              <w:rPr>
                <w:bCs/>
                <w:i w:val="0"/>
                <w:iCs/>
              </w:rPr>
              <w:t>Enheten för processrätt och domstolsfrågor</w:t>
            </w:r>
          </w:p>
        </w:tc>
      </w:tr>
      <w:tr w:rsidR="006E4E11" w:rsidRPr="00361C3D">
        <w:tblPrEx>
          <w:tblCellMar>
            <w:top w:w="0" w:type="dxa"/>
            <w:bottom w:w="0" w:type="dxa"/>
          </w:tblCellMar>
        </w:tblPrEx>
        <w:trPr>
          <w:trHeight w:val="284"/>
        </w:trPr>
        <w:tc>
          <w:tcPr>
            <w:tcW w:w="4911" w:type="dxa"/>
          </w:tcPr>
          <w:p w:rsidR="006E4E11" w:rsidRPr="00361C3D" w:rsidRDefault="006E4E11">
            <w:pPr>
              <w:pStyle w:val="Avsndare"/>
              <w:framePr w:h="2483" w:wrap="notBeside" w:x="1504"/>
              <w:rPr>
                <w:bCs/>
                <w:iCs/>
              </w:rPr>
            </w:pPr>
          </w:p>
        </w:tc>
      </w:tr>
      <w:tr w:rsidR="006E4E11" w:rsidRPr="00361C3D">
        <w:tblPrEx>
          <w:tblCellMar>
            <w:top w:w="0" w:type="dxa"/>
            <w:bottom w:w="0" w:type="dxa"/>
          </w:tblCellMar>
        </w:tblPrEx>
        <w:trPr>
          <w:trHeight w:val="284"/>
        </w:trPr>
        <w:tc>
          <w:tcPr>
            <w:tcW w:w="4911" w:type="dxa"/>
          </w:tcPr>
          <w:p w:rsidR="006E4E11" w:rsidRPr="00361C3D" w:rsidRDefault="006E4E11">
            <w:pPr>
              <w:pStyle w:val="Avsndare"/>
              <w:framePr w:h="2483" w:wrap="notBeside" w:x="1504"/>
              <w:rPr>
                <w:bCs/>
                <w:iCs/>
              </w:rPr>
            </w:pPr>
          </w:p>
        </w:tc>
      </w:tr>
      <w:tr w:rsidR="006E4E11" w:rsidRPr="00361C3D">
        <w:tblPrEx>
          <w:tblCellMar>
            <w:top w:w="0" w:type="dxa"/>
            <w:bottom w:w="0" w:type="dxa"/>
          </w:tblCellMar>
        </w:tblPrEx>
        <w:trPr>
          <w:trHeight w:val="284"/>
        </w:trPr>
        <w:tc>
          <w:tcPr>
            <w:tcW w:w="4911" w:type="dxa"/>
          </w:tcPr>
          <w:p w:rsidR="006E4E11" w:rsidRPr="00361C3D" w:rsidRDefault="006E4E11">
            <w:pPr>
              <w:pStyle w:val="Avsndare"/>
              <w:framePr w:h="2483" w:wrap="notBeside" w:x="1504"/>
              <w:rPr>
                <w:bCs/>
                <w:iCs/>
              </w:rPr>
            </w:pPr>
          </w:p>
        </w:tc>
      </w:tr>
      <w:tr w:rsidR="006E4E11" w:rsidRPr="00361C3D">
        <w:tblPrEx>
          <w:tblCellMar>
            <w:top w:w="0" w:type="dxa"/>
            <w:bottom w:w="0" w:type="dxa"/>
          </w:tblCellMar>
        </w:tblPrEx>
        <w:trPr>
          <w:trHeight w:val="284"/>
        </w:trPr>
        <w:tc>
          <w:tcPr>
            <w:tcW w:w="4911" w:type="dxa"/>
          </w:tcPr>
          <w:p w:rsidR="006E4E11" w:rsidRPr="00361C3D" w:rsidRDefault="006E4E11">
            <w:pPr>
              <w:pStyle w:val="Avsndare"/>
              <w:framePr w:h="2483" w:wrap="notBeside" w:x="1504"/>
              <w:rPr>
                <w:bCs/>
                <w:iCs/>
              </w:rPr>
            </w:pPr>
          </w:p>
        </w:tc>
      </w:tr>
      <w:tr w:rsidR="006E4E11" w:rsidRPr="00361C3D">
        <w:tblPrEx>
          <w:tblCellMar>
            <w:top w:w="0" w:type="dxa"/>
            <w:bottom w:w="0" w:type="dxa"/>
          </w:tblCellMar>
        </w:tblPrEx>
        <w:trPr>
          <w:trHeight w:val="284"/>
        </w:trPr>
        <w:tc>
          <w:tcPr>
            <w:tcW w:w="4911" w:type="dxa"/>
          </w:tcPr>
          <w:p w:rsidR="006E4E11" w:rsidRPr="00361C3D" w:rsidRDefault="006E4E11">
            <w:pPr>
              <w:pStyle w:val="Avsndare"/>
              <w:framePr w:h="2483" w:wrap="notBeside" w:x="1504"/>
              <w:rPr>
                <w:bCs/>
                <w:iCs/>
              </w:rPr>
            </w:pPr>
          </w:p>
        </w:tc>
      </w:tr>
      <w:tr w:rsidR="006E4E11" w:rsidRPr="00361C3D">
        <w:tblPrEx>
          <w:tblCellMar>
            <w:top w:w="0" w:type="dxa"/>
            <w:bottom w:w="0" w:type="dxa"/>
          </w:tblCellMar>
        </w:tblPrEx>
        <w:trPr>
          <w:trHeight w:val="284"/>
        </w:trPr>
        <w:tc>
          <w:tcPr>
            <w:tcW w:w="4911" w:type="dxa"/>
          </w:tcPr>
          <w:p w:rsidR="006E4E11" w:rsidRPr="00361C3D" w:rsidRDefault="006E4E11">
            <w:pPr>
              <w:pStyle w:val="Avsndare"/>
              <w:framePr w:h="2483" w:wrap="notBeside" w:x="1504"/>
              <w:rPr>
                <w:bCs/>
                <w:iCs/>
              </w:rPr>
            </w:pPr>
          </w:p>
        </w:tc>
      </w:tr>
    </w:tbl>
    <w:p w:rsidR="006E4E11" w:rsidRPr="00361C3D" w:rsidRDefault="006E4E11">
      <w:pPr>
        <w:framePr w:w="4400" w:h="2523" w:wrap="notBeside" w:vAnchor="page" w:hAnchor="page" w:x="6453" w:y="2445"/>
        <w:ind w:left="142"/>
        <w:rPr>
          <w:b/>
        </w:rPr>
      </w:pPr>
    </w:p>
    <w:p w:rsidR="00CD7FE6" w:rsidRPr="00361C3D" w:rsidRDefault="00CD7FE6" w:rsidP="006568AA">
      <w:pPr>
        <w:pStyle w:val="RKrubrik"/>
        <w:pBdr>
          <w:bottom w:val="single" w:sz="6" w:space="1" w:color="auto"/>
        </w:pBdr>
      </w:pPr>
      <w:bookmarkStart w:id="0" w:name="bRubrik"/>
      <w:bookmarkEnd w:id="0"/>
      <w:r w:rsidRPr="00361C3D">
        <w:t>Rådets möte (</w:t>
      </w:r>
      <w:r w:rsidR="006568AA" w:rsidRPr="00361C3D">
        <w:t>Rättsliga och Inrikes frågor</w:t>
      </w:r>
      <w:r w:rsidRPr="00361C3D">
        <w:t xml:space="preserve">) den </w:t>
      </w:r>
      <w:r w:rsidR="00D6672E" w:rsidRPr="00361C3D">
        <w:t>7-8</w:t>
      </w:r>
      <w:r w:rsidR="006568AA" w:rsidRPr="00361C3D">
        <w:t xml:space="preserve"> </w:t>
      </w:r>
      <w:r w:rsidR="00D6672E" w:rsidRPr="00361C3D">
        <w:t>juni</w:t>
      </w:r>
      <w:r w:rsidR="006568AA" w:rsidRPr="00361C3D">
        <w:t xml:space="preserve"> 201</w:t>
      </w:r>
      <w:r w:rsidR="00D6672E" w:rsidRPr="00361C3D">
        <w:t>2</w:t>
      </w:r>
      <w:r w:rsidR="00BF7061" w:rsidRPr="00361C3D">
        <w:t xml:space="preserve"> i Luxemburg</w:t>
      </w:r>
    </w:p>
    <w:p w:rsidR="00842914" w:rsidRPr="00361C3D" w:rsidRDefault="00842914">
      <w:pPr>
        <w:pStyle w:val="RKnormal"/>
      </w:pPr>
    </w:p>
    <w:p w:rsidR="00CD7FE6" w:rsidRPr="00361C3D" w:rsidRDefault="00D6672E">
      <w:pPr>
        <w:pStyle w:val="RKnormal"/>
      </w:pPr>
      <w:r w:rsidRPr="00361C3D">
        <w:t>Dagordningspunkt 14</w:t>
      </w:r>
      <w:r w:rsidR="00284E31" w:rsidRPr="00361C3D">
        <w:tab/>
      </w:r>
      <w:r w:rsidR="00284E31" w:rsidRPr="00361C3D">
        <w:tab/>
      </w:r>
    </w:p>
    <w:p w:rsidR="00CD7FE6" w:rsidRPr="00361C3D" w:rsidRDefault="00CD7FE6">
      <w:pPr>
        <w:pStyle w:val="RKnormal"/>
      </w:pPr>
    </w:p>
    <w:p w:rsidR="00CD7FE6" w:rsidRPr="00361C3D" w:rsidRDefault="00CD7FE6">
      <w:pPr>
        <w:pStyle w:val="RKnormal"/>
      </w:pPr>
      <w:r w:rsidRPr="00361C3D">
        <w:t>Rubrik:</w:t>
      </w:r>
      <w:r w:rsidR="00284E31" w:rsidRPr="00361C3D">
        <w:t xml:space="preserve"> Revidering av Bryssel I-förordningen </w:t>
      </w:r>
    </w:p>
    <w:p w:rsidR="00CD7FE6" w:rsidRPr="00361C3D" w:rsidRDefault="00CD7FE6">
      <w:pPr>
        <w:pStyle w:val="RKnormal"/>
      </w:pPr>
    </w:p>
    <w:p w:rsidR="000E150F" w:rsidRPr="00361C3D" w:rsidRDefault="00CD7FE6" w:rsidP="000E150F">
      <w:pPr>
        <w:pStyle w:val="RKnormal"/>
      </w:pPr>
      <w:r w:rsidRPr="00361C3D">
        <w:t>Dokument:</w:t>
      </w:r>
      <w:r w:rsidR="000E150F" w:rsidRPr="00361C3D">
        <w:t xml:space="preserve"> </w:t>
      </w:r>
      <w:r w:rsidR="00636C14" w:rsidRPr="00361C3D">
        <w:t>Det har ännu inte presenterats något dokument för behandlingen i rådet.</w:t>
      </w:r>
    </w:p>
    <w:p w:rsidR="00CD7FE6" w:rsidRPr="00361C3D" w:rsidRDefault="00CD7FE6">
      <w:pPr>
        <w:pStyle w:val="RKnormal"/>
      </w:pPr>
    </w:p>
    <w:p w:rsidR="00284E31" w:rsidRPr="00361C3D" w:rsidRDefault="00CD7FE6" w:rsidP="00284E31">
      <w:pPr>
        <w:pStyle w:val="RKnormal"/>
      </w:pPr>
      <w:r w:rsidRPr="00361C3D">
        <w:t xml:space="preserve">Tidigare dokument: </w:t>
      </w:r>
      <w:r w:rsidR="00284E31" w:rsidRPr="00361C3D">
        <w:t xml:space="preserve">Förslag till Europaparlamentets och rådets förordning </w:t>
      </w:r>
      <w:r w:rsidR="00284E31" w:rsidRPr="00361C3D">
        <w:rPr>
          <w:iCs/>
        </w:rPr>
        <w:t>om domstols b</w:t>
      </w:r>
      <w:r w:rsidR="00284E31" w:rsidRPr="00361C3D">
        <w:rPr>
          <w:iCs/>
        </w:rPr>
        <w:t>e</w:t>
      </w:r>
      <w:r w:rsidR="00284E31" w:rsidRPr="00361C3D">
        <w:rPr>
          <w:iCs/>
        </w:rPr>
        <w:t>hörighet och om erkännande och verkställighet av domar på privaträ</w:t>
      </w:r>
      <w:r w:rsidR="00284E31" w:rsidRPr="00361C3D">
        <w:rPr>
          <w:iCs/>
        </w:rPr>
        <w:t>t</w:t>
      </w:r>
      <w:r w:rsidR="00284E31" w:rsidRPr="00361C3D">
        <w:rPr>
          <w:iCs/>
        </w:rPr>
        <w:t xml:space="preserve">tens </w:t>
      </w:r>
      <w:r w:rsidR="00284E31" w:rsidRPr="00361C3D">
        <w:t>område (omarbetning): KOM(2010)748</w:t>
      </w:r>
    </w:p>
    <w:p w:rsidR="00284E31" w:rsidRPr="00361C3D" w:rsidRDefault="00284E31" w:rsidP="00284E31">
      <w:pPr>
        <w:pStyle w:val="RKnormal"/>
      </w:pPr>
    </w:p>
    <w:p w:rsidR="00CD7FE6" w:rsidRPr="00361C3D" w:rsidRDefault="00CD7FE6" w:rsidP="00284E31">
      <w:pPr>
        <w:pStyle w:val="RKnormal"/>
      </w:pPr>
      <w:r w:rsidRPr="00361C3D">
        <w:t>Fakta-PM</w:t>
      </w:r>
      <w:r w:rsidR="00284E31" w:rsidRPr="00361C3D">
        <w:t xml:space="preserve"> Justitiedepartementet 2010/11:FPM68</w:t>
      </w:r>
      <w:r w:rsidRPr="00361C3D">
        <w:t xml:space="preserve"> </w:t>
      </w:r>
    </w:p>
    <w:p w:rsidR="00CD7FE6" w:rsidRPr="00361C3D" w:rsidRDefault="00CD7FE6">
      <w:pPr>
        <w:pStyle w:val="RKnormal"/>
      </w:pPr>
    </w:p>
    <w:p w:rsidR="00D6672E" w:rsidRPr="00361C3D" w:rsidRDefault="00CD7FE6">
      <w:pPr>
        <w:pStyle w:val="RKnormal"/>
      </w:pPr>
      <w:r w:rsidRPr="00361C3D">
        <w:t>Tidigare behandlad vid samråd med EU-nämnden:</w:t>
      </w:r>
      <w:r w:rsidR="00284E31" w:rsidRPr="00361C3D">
        <w:t xml:space="preserve"> 2011</w:t>
      </w:r>
      <w:r w:rsidR="000E150F" w:rsidRPr="00361C3D">
        <w:t>-02-18</w:t>
      </w:r>
      <w:r w:rsidR="00D6672E" w:rsidRPr="00361C3D">
        <w:t xml:space="preserve"> och</w:t>
      </w:r>
    </w:p>
    <w:p w:rsidR="00CD7FE6" w:rsidRPr="00361C3D" w:rsidRDefault="00D6672E">
      <w:pPr>
        <w:pStyle w:val="RKnormal"/>
      </w:pPr>
      <w:r w:rsidRPr="00361C3D">
        <w:t>2011-12-09</w:t>
      </w:r>
    </w:p>
    <w:p w:rsidR="00CD7FE6" w:rsidRPr="00361C3D" w:rsidRDefault="00CD7FE6">
      <w:pPr>
        <w:pStyle w:val="RKnormal"/>
      </w:pPr>
    </w:p>
    <w:p w:rsidR="00CD7FE6" w:rsidRPr="00361C3D" w:rsidRDefault="00CD7FE6">
      <w:pPr>
        <w:pStyle w:val="RKnormal"/>
      </w:pPr>
      <w:r w:rsidRPr="00361C3D">
        <w:t>Tidigare behandlad vid överläggning med eller informa</w:t>
      </w:r>
      <w:r w:rsidR="000E150F" w:rsidRPr="00361C3D">
        <w:t>tion till riksdagsutskott: Civilutskottet</w:t>
      </w:r>
      <w:r w:rsidR="006568AA" w:rsidRPr="00361C3D">
        <w:t xml:space="preserve"> 2011-03-03</w:t>
      </w:r>
      <w:r w:rsidR="000E150F" w:rsidRPr="00361C3D">
        <w:t xml:space="preserve"> och 2011-11-24</w:t>
      </w:r>
    </w:p>
    <w:p w:rsidR="00CD7FE6" w:rsidRPr="00361C3D" w:rsidRDefault="00CD7FE6">
      <w:pPr>
        <w:pStyle w:val="RKrubrik"/>
      </w:pPr>
      <w:r w:rsidRPr="00361C3D">
        <w:t>Bakgrund</w:t>
      </w:r>
    </w:p>
    <w:p w:rsidR="00FE716C" w:rsidRPr="00361C3D" w:rsidRDefault="000E150F" w:rsidP="003B0DA1">
      <w:r w:rsidRPr="00361C3D">
        <w:t xml:space="preserve">Kommissionen lade i december </w:t>
      </w:r>
      <w:r w:rsidR="00D6672E" w:rsidRPr="00361C3D">
        <w:t>2010</w:t>
      </w:r>
      <w:r w:rsidRPr="00361C3D">
        <w:t xml:space="preserve"> fram ett förslag till revidering av Bryssel I-förordningen, som reglerar</w:t>
      </w:r>
      <w:r w:rsidRPr="00361C3D">
        <w:rPr>
          <w:iCs/>
        </w:rPr>
        <w:t xml:space="preserve"> domstols behörighet samt erkännande och verkställighet av domar på privaträttens </w:t>
      </w:r>
      <w:r w:rsidRPr="00361C3D">
        <w:t>område. Försl</w:t>
      </w:r>
      <w:r w:rsidRPr="00361C3D">
        <w:t>a</w:t>
      </w:r>
      <w:r w:rsidRPr="00361C3D">
        <w:t>gets syfte är att underlätta handläggningen av gränsöverskridande tvister och att förbättra den fria rörligheten av domar och andra domstolsavg</w:t>
      </w:r>
      <w:r w:rsidRPr="00361C3D">
        <w:t>ö</w:t>
      </w:r>
      <w:r w:rsidRPr="00361C3D">
        <w:t xml:space="preserve">randen i EU. Förslaget har </w:t>
      </w:r>
      <w:r w:rsidR="00D6672E" w:rsidRPr="00361C3D">
        <w:t xml:space="preserve">sedan </w:t>
      </w:r>
      <w:r w:rsidR="007A1F7B" w:rsidRPr="00361C3D">
        <w:t>dess</w:t>
      </w:r>
      <w:r w:rsidRPr="00361C3D">
        <w:t xml:space="preserve"> förhandlats på tjänstemannanivå i rådet. </w:t>
      </w:r>
    </w:p>
    <w:p w:rsidR="00FE716C" w:rsidRPr="00361C3D" w:rsidRDefault="00FE716C" w:rsidP="003B0DA1"/>
    <w:p w:rsidR="00A969E6" w:rsidRPr="00361C3D" w:rsidRDefault="00D6672E" w:rsidP="003B0DA1">
      <w:pPr>
        <w:rPr>
          <w:lang w:eastAsia="sv-SE"/>
        </w:rPr>
      </w:pPr>
      <w:r w:rsidRPr="00361C3D">
        <w:t>I december 201</w:t>
      </w:r>
      <w:r w:rsidR="007A1F7B" w:rsidRPr="00361C3D">
        <w:t>1</w:t>
      </w:r>
      <w:r w:rsidRPr="00361C3D">
        <w:t xml:space="preserve"> </w:t>
      </w:r>
      <w:r w:rsidR="007A1F7B" w:rsidRPr="00361C3D">
        <w:t>b</w:t>
      </w:r>
      <w:r w:rsidRPr="00361C3D">
        <w:t xml:space="preserve">eslutade rådet om </w:t>
      </w:r>
      <w:r w:rsidR="00355372" w:rsidRPr="00361C3D">
        <w:t>politiska riktlinjer</w:t>
      </w:r>
      <w:r w:rsidR="000E150F" w:rsidRPr="00361C3D">
        <w:t xml:space="preserve"> i fråga om erkännande och verkställighet </w:t>
      </w:r>
      <w:r w:rsidR="00004BB7" w:rsidRPr="00361C3D">
        <w:t xml:space="preserve">av domar </w:t>
      </w:r>
      <w:r w:rsidR="000E150F" w:rsidRPr="00361C3D">
        <w:t>respe</w:t>
      </w:r>
      <w:r w:rsidR="000E150F" w:rsidRPr="00361C3D">
        <w:t>k</w:t>
      </w:r>
      <w:r w:rsidR="000E150F" w:rsidRPr="00361C3D">
        <w:t>tive officiella handlingar och processförlikningar</w:t>
      </w:r>
      <w:r w:rsidR="005854F3" w:rsidRPr="00361C3D">
        <w:rPr>
          <w:rFonts w:cs="OrigGarmnd BT"/>
          <w:color w:val="000000"/>
          <w:szCs w:val="24"/>
          <w:lang w:eastAsia="sv-SE"/>
        </w:rPr>
        <w:t>.</w:t>
      </w:r>
      <w:r w:rsidR="00FE716C" w:rsidRPr="00361C3D">
        <w:rPr>
          <w:rFonts w:cs="OrigGarmnd BT"/>
          <w:color w:val="000000"/>
          <w:szCs w:val="24"/>
          <w:lang w:eastAsia="sv-SE"/>
        </w:rPr>
        <w:t xml:space="preserve"> </w:t>
      </w:r>
      <w:r w:rsidR="00A969E6" w:rsidRPr="00361C3D">
        <w:rPr>
          <w:rFonts w:cs="OrigGarmnd BT"/>
          <w:color w:val="000000"/>
          <w:szCs w:val="24"/>
          <w:lang w:eastAsia="sv-SE"/>
        </w:rPr>
        <w:t xml:space="preserve">Den viktigaste </w:t>
      </w:r>
      <w:r w:rsidR="00FE716C" w:rsidRPr="00361C3D">
        <w:rPr>
          <w:rFonts w:cs="OrigGarmnd BT"/>
          <w:color w:val="000000"/>
          <w:szCs w:val="24"/>
          <w:lang w:eastAsia="sv-SE"/>
        </w:rPr>
        <w:t xml:space="preserve">frågan i riktlinjerna var </w:t>
      </w:r>
      <w:r w:rsidR="00FE716C" w:rsidRPr="00361C3D">
        <w:t>avskaffandet av det s.k. exekvaturförfarandet, som innebär att verkställighet av ett avgörande meddelat i en annan medlem</w:t>
      </w:r>
      <w:r w:rsidR="00FE716C" w:rsidRPr="00361C3D">
        <w:t>s</w:t>
      </w:r>
      <w:r w:rsidR="00FE716C" w:rsidRPr="00361C3D">
        <w:t>stat måste föregås av ett domstolsbeslut vari</w:t>
      </w:r>
      <w:r w:rsidR="00FE716C" w:rsidRPr="00361C3D">
        <w:lastRenderedPageBreak/>
        <w:t>genom avgörandet förklaras verkställbart.</w:t>
      </w:r>
      <w:r w:rsidR="00A969E6" w:rsidRPr="00361C3D">
        <w:t xml:space="preserve"> Riktlinjerna innebar också att </w:t>
      </w:r>
      <w:r w:rsidR="00A969E6" w:rsidRPr="00361C3D">
        <w:rPr>
          <w:lang w:eastAsia="sv-SE"/>
        </w:rPr>
        <w:t xml:space="preserve">de rättssäkerhetsgarantier som tidigare fanns inom ramen för exekvaturförfarandet framöver ska kunna göras gällande i verkställighetsförfarandet.  </w:t>
      </w:r>
    </w:p>
    <w:p w:rsidR="00A969E6" w:rsidRPr="00361C3D" w:rsidRDefault="00A969E6" w:rsidP="003B0DA1"/>
    <w:p w:rsidR="00FE716C" w:rsidRPr="00361C3D" w:rsidRDefault="00066F74" w:rsidP="003B0DA1">
      <w:r w:rsidRPr="00361C3D">
        <w:rPr>
          <w:rFonts w:cs="OrigGarmnd BT"/>
          <w:color w:val="000000"/>
          <w:szCs w:val="24"/>
          <w:lang w:eastAsia="sv-SE"/>
        </w:rPr>
        <w:t xml:space="preserve">På </w:t>
      </w:r>
      <w:r w:rsidR="00FE716C" w:rsidRPr="00361C3D">
        <w:rPr>
          <w:rFonts w:cs="OrigGarmnd BT"/>
          <w:color w:val="000000"/>
          <w:szCs w:val="24"/>
          <w:lang w:eastAsia="sv-SE"/>
        </w:rPr>
        <w:t xml:space="preserve">rådets informella möte </w:t>
      </w:r>
      <w:r w:rsidR="00E6159E" w:rsidRPr="00361C3D">
        <w:rPr>
          <w:rFonts w:cs="OrigGarmnd BT"/>
          <w:color w:val="000000"/>
          <w:szCs w:val="24"/>
          <w:lang w:eastAsia="sv-SE"/>
        </w:rPr>
        <w:t xml:space="preserve">i januari i år beslutades att arbetet tills vidare skulle bedrivas utifrån förutsättningen </w:t>
      </w:r>
      <w:r w:rsidR="001B6504" w:rsidRPr="00361C3D">
        <w:rPr>
          <w:rFonts w:cs="OrigGarmnd BT"/>
          <w:color w:val="000000"/>
          <w:szCs w:val="24"/>
          <w:lang w:eastAsia="sv-SE"/>
        </w:rPr>
        <w:t xml:space="preserve">att </w:t>
      </w:r>
      <w:r w:rsidR="001B6504" w:rsidRPr="00361C3D">
        <w:t>inte utvidga förordningens tillämpningsområde i förhållande till svarande med hemvist i tredjeland.</w:t>
      </w:r>
      <w:r w:rsidR="00E6159E" w:rsidRPr="00361C3D">
        <w:t xml:space="preserve"> </w:t>
      </w:r>
    </w:p>
    <w:p w:rsidR="00FE716C" w:rsidRPr="00361C3D" w:rsidRDefault="00FE716C" w:rsidP="003B0DA1"/>
    <w:p w:rsidR="005854F3" w:rsidRPr="00361C3D" w:rsidRDefault="00E6159E" w:rsidP="003B0DA1">
      <w:r w:rsidRPr="00361C3D">
        <w:t xml:space="preserve">Arbetet har </w:t>
      </w:r>
      <w:r w:rsidR="00FE716C" w:rsidRPr="00361C3D">
        <w:t xml:space="preserve">under det danska ordförandeskapet fortsatt med hög intensitet i rådsarbetsgrupp </w:t>
      </w:r>
      <w:r w:rsidRPr="00361C3D">
        <w:t>och förslaget behandlas nu i rådet för ett beslut om allmän inriktning gä</w:t>
      </w:r>
      <w:r w:rsidR="00CA789B" w:rsidRPr="00361C3D">
        <w:t xml:space="preserve">llande förordningstexten (alltså </w:t>
      </w:r>
      <w:r w:rsidRPr="00361C3D">
        <w:t xml:space="preserve">exklusive </w:t>
      </w:r>
      <w:r w:rsidR="00CA789B" w:rsidRPr="00361C3D">
        <w:t xml:space="preserve">flertalet </w:t>
      </w:r>
      <w:r w:rsidRPr="00361C3D">
        <w:t>beaktandesatser och bilagor).</w:t>
      </w:r>
    </w:p>
    <w:p w:rsidR="00CD7FE6" w:rsidRPr="00361C3D" w:rsidRDefault="00CD7FE6">
      <w:pPr>
        <w:pStyle w:val="RKrubrik"/>
      </w:pPr>
      <w:r w:rsidRPr="00361C3D">
        <w:t>Rättslig grund och beslutsförfarande</w:t>
      </w:r>
    </w:p>
    <w:p w:rsidR="000756B2" w:rsidRPr="00361C3D" w:rsidRDefault="000756B2" w:rsidP="003B0DA1">
      <w:pPr>
        <w:rPr>
          <w:rFonts w:cs="EUAlbertina"/>
          <w:color w:val="000000"/>
          <w:sz w:val="25"/>
          <w:szCs w:val="25"/>
        </w:rPr>
      </w:pPr>
      <w:r w:rsidRPr="00361C3D">
        <w:t>Kommissionen har som rättslig grund angett artikel 81(2) a, c och e i fördraget om Europeiska Unionens funktionssätt (FEUF) som behan</w:t>
      </w:r>
      <w:r w:rsidRPr="00361C3D">
        <w:t>d</w:t>
      </w:r>
      <w:r w:rsidRPr="00361C3D">
        <w:t>lar förutsättningarna för rättsligt samarbete i civilrättsliga frågor som har gränsöverskr</w:t>
      </w:r>
      <w:r w:rsidRPr="00361C3D">
        <w:t>i</w:t>
      </w:r>
      <w:r w:rsidRPr="00361C3D">
        <w:t>dande följder.</w:t>
      </w:r>
      <w:r w:rsidRPr="00361C3D">
        <w:rPr>
          <w:rFonts w:cs="EUAlbertina"/>
          <w:color w:val="000000"/>
          <w:sz w:val="25"/>
          <w:szCs w:val="25"/>
        </w:rPr>
        <w:t xml:space="preserve"> </w:t>
      </w:r>
    </w:p>
    <w:p w:rsidR="000756B2" w:rsidRPr="00361C3D" w:rsidRDefault="000756B2" w:rsidP="003B0DA1"/>
    <w:p w:rsidR="000756B2" w:rsidRPr="00361C3D" w:rsidRDefault="000756B2" w:rsidP="003B0DA1">
      <w:r w:rsidRPr="00361C3D">
        <w:t xml:space="preserve">Förordningen ska antas i enlighet med </w:t>
      </w:r>
      <w:r w:rsidRPr="00361C3D">
        <w:rPr>
          <w:i/>
        </w:rPr>
        <w:t>ordinarie lagstiftningsförfara</w:t>
      </w:r>
      <w:r w:rsidRPr="00361C3D">
        <w:rPr>
          <w:i/>
        </w:rPr>
        <w:t>n</w:t>
      </w:r>
      <w:r w:rsidRPr="00361C3D">
        <w:rPr>
          <w:i/>
        </w:rPr>
        <w:t>de</w:t>
      </w:r>
      <w:r w:rsidRPr="00361C3D">
        <w:t>, vilket innebär att Europaparlamentet och rådet gemensamt på förslag av kommissionen antar direktivet. Beslut fattas i rådet med kvalificerad major</w:t>
      </w:r>
      <w:r w:rsidRPr="00361C3D">
        <w:t>i</w:t>
      </w:r>
      <w:r w:rsidRPr="00361C3D">
        <w:t xml:space="preserve">tet. </w:t>
      </w:r>
    </w:p>
    <w:p w:rsidR="00CD7FE6" w:rsidRPr="00361C3D" w:rsidRDefault="00CD7FE6">
      <w:pPr>
        <w:pStyle w:val="RKrubrik"/>
        <w:rPr>
          <w:i/>
          <w:iCs/>
        </w:rPr>
      </w:pPr>
      <w:r w:rsidRPr="00361C3D">
        <w:rPr>
          <w:i/>
          <w:iCs/>
        </w:rPr>
        <w:t>Svensk ståndpunkt</w:t>
      </w:r>
    </w:p>
    <w:p w:rsidR="00CA789B" w:rsidRPr="00361C3D" w:rsidRDefault="00212166" w:rsidP="003B0DA1">
      <w:r w:rsidRPr="00361C3D">
        <w:t xml:space="preserve">Sverige instämmer i förslagets övergripande målsättning att handläggningen av gränsöverskridande tvister och att den fria rörligheten gällande domar i EU bör förbättras. Sverige har därför </w:t>
      </w:r>
      <w:r w:rsidR="006B3AB5" w:rsidRPr="00361C3D">
        <w:t xml:space="preserve">under förhandlingarna </w:t>
      </w:r>
      <w:r w:rsidRPr="00361C3D">
        <w:t xml:space="preserve">kunnat välkomna ett avskaffande av kravet på verkställbarhetsförklaring. </w:t>
      </w:r>
    </w:p>
    <w:p w:rsidR="00CA789B" w:rsidRPr="00361C3D" w:rsidRDefault="00CA789B" w:rsidP="003B0DA1"/>
    <w:p w:rsidR="00DD5A49" w:rsidRPr="00361C3D" w:rsidRDefault="00534F62" w:rsidP="00DD5A49">
      <w:r w:rsidRPr="00361C3D">
        <w:rPr>
          <w:szCs w:val="19"/>
        </w:rPr>
        <w:t xml:space="preserve">En </w:t>
      </w:r>
      <w:r w:rsidR="00294060" w:rsidRPr="00361C3D">
        <w:rPr>
          <w:szCs w:val="19"/>
        </w:rPr>
        <w:t xml:space="preserve">särskilt angelägen </w:t>
      </w:r>
      <w:r w:rsidRPr="00361C3D">
        <w:rPr>
          <w:szCs w:val="19"/>
        </w:rPr>
        <w:t>fråga som Sverige har bevakat i förhandlingarna har varit att ändringarna i förordningen inte försvårar möjligheterna att up</w:t>
      </w:r>
      <w:r w:rsidRPr="00361C3D">
        <w:rPr>
          <w:szCs w:val="19"/>
        </w:rPr>
        <w:t>p</w:t>
      </w:r>
      <w:r w:rsidRPr="00361C3D">
        <w:rPr>
          <w:szCs w:val="19"/>
        </w:rPr>
        <w:t>rätthålla de skilda lösningar för regleringen av tryck- och yttrandefriheten som finns i me</w:t>
      </w:r>
      <w:r w:rsidRPr="00361C3D">
        <w:rPr>
          <w:szCs w:val="19"/>
        </w:rPr>
        <w:t>d</w:t>
      </w:r>
      <w:r w:rsidR="00CA789B" w:rsidRPr="00361C3D">
        <w:rPr>
          <w:szCs w:val="19"/>
        </w:rPr>
        <w:t xml:space="preserve">lemsstaterna. </w:t>
      </w:r>
      <w:r w:rsidR="00DD5A49" w:rsidRPr="00361C3D">
        <w:rPr>
          <w:lang w:eastAsia="sv-SE"/>
        </w:rPr>
        <w:t xml:space="preserve">Sverige </w:t>
      </w:r>
      <w:r w:rsidR="00294060" w:rsidRPr="00361C3D">
        <w:rPr>
          <w:lang w:eastAsia="sv-SE"/>
        </w:rPr>
        <w:t>kan</w:t>
      </w:r>
      <w:r w:rsidR="00DD5A49" w:rsidRPr="00361C3D">
        <w:rPr>
          <w:lang w:eastAsia="sv-SE"/>
        </w:rPr>
        <w:t xml:space="preserve"> konstatera att denna fråga har fått en tillfredsställande lösning.</w:t>
      </w:r>
    </w:p>
    <w:p w:rsidR="00212166" w:rsidRPr="00361C3D" w:rsidRDefault="00212166" w:rsidP="003B0DA1"/>
    <w:p w:rsidR="001B6504" w:rsidRPr="00361C3D" w:rsidRDefault="00212166" w:rsidP="003B0DA1">
      <w:pPr>
        <w:rPr>
          <w:szCs w:val="24"/>
        </w:rPr>
      </w:pPr>
      <w:r w:rsidRPr="00361C3D">
        <w:rPr>
          <w:szCs w:val="24"/>
        </w:rPr>
        <w:t>När det s</w:t>
      </w:r>
      <w:r w:rsidR="006B3AB5" w:rsidRPr="00361C3D">
        <w:rPr>
          <w:szCs w:val="24"/>
        </w:rPr>
        <w:t>edan gäller en utvidgning av förordningens behörighetsbestämmelser</w:t>
      </w:r>
      <w:r w:rsidR="008C58DE" w:rsidRPr="00361C3D">
        <w:rPr>
          <w:szCs w:val="24"/>
        </w:rPr>
        <w:t xml:space="preserve"> till att omfatta även den som har hemvist</w:t>
      </w:r>
      <w:r w:rsidR="00004BB7" w:rsidRPr="00361C3D">
        <w:rPr>
          <w:szCs w:val="24"/>
        </w:rPr>
        <w:t xml:space="preserve"> i tredjeland</w:t>
      </w:r>
      <w:r w:rsidR="001B6504" w:rsidRPr="00361C3D">
        <w:rPr>
          <w:szCs w:val="24"/>
        </w:rPr>
        <w:t>, finns det vissa fördelar med e</w:t>
      </w:r>
      <w:r w:rsidR="00004BB7" w:rsidRPr="00361C3D">
        <w:rPr>
          <w:szCs w:val="24"/>
        </w:rPr>
        <w:t>tt sådant förslag;</w:t>
      </w:r>
      <w:r w:rsidR="001B6504" w:rsidRPr="00361C3D">
        <w:rPr>
          <w:szCs w:val="24"/>
        </w:rPr>
        <w:t xml:space="preserve"> bl.a skulle </w:t>
      </w:r>
      <w:r w:rsidR="00004BB7" w:rsidRPr="00361C3D">
        <w:rPr>
          <w:szCs w:val="24"/>
        </w:rPr>
        <w:t xml:space="preserve">det </w:t>
      </w:r>
      <w:r w:rsidR="001B6504" w:rsidRPr="00361C3D">
        <w:rPr>
          <w:szCs w:val="24"/>
        </w:rPr>
        <w:t>öka fö</w:t>
      </w:r>
      <w:r w:rsidR="001B6504" w:rsidRPr="00361C3D">
        <w:rPr>
          <w:szCs w:val="24"/>
        </w:rPr>
        <w:t>r</w:t>
      </w:r>
      <w:r w:rsidR="001B6504" w:rsidRPr="00361C3D">
        <w:rPr>
          <w:szCs w:val="24"/>
        </w:rPr>
        <w:t xml:space="preserve">utsebarheten för privatpersoner och företag. En sådan utvidgning är dock inte oproblematisk och det har funnits ett starkt motstånd bland många medlemsstater. Sverige kan mot denna bakgrund godta det kompromissförslag som har förts fram och som innebär att en utvidgning endast kommer </w:t>
      </w:r>
      <w:r w:rsidR="00294060" w:rsidRPr="00361C3D">
        <w:rPr>
          <w:szCs w:val="24"/>
        </w:rPr>
        <w:t xml:space="preserve">att </w:t>
      </w:r>
      <w:r w:rsidR="001B6504" w:rsidRPr="00361C3D">
        <w:rPr>
          <w:szCs w:val="24"/>
        </w:rPr>
        <w:t>avse situationer när en kons</w:t>
      </w:r>
      <w:r w:rsidR="001B6504" w:rsidRPr="00361C3D">
        <w:rPr>
          <w:szCs w:val="24"/>
        </w:rPr>
        <w:t>u</w:t>
      </w:r>
      <w:r w:rsidR="001B6504" w:rsidRPr="00361C3D">
        <w:rPr>
          <w:szCs w:val="24"/>
        </w:rPr>
        <w:t>ment eller arbetstagare vill väcka talan mot en näringsidkare eller arbet</w:t>
      </w:r>
      <w:r w:rsidR="001B6504" w:rsidRPr="00361C3D">
        <w:rPr>
          <w:szCs w:val="24"/>
        </w:rPr>
        <w:t>s</w:t>
      </w:r>
      <w:r w:rsidR="001B6504" w:rsidRPr="00361C3D">
        <w:rPr>
          <w:szCs w:val="24"/>
        </w:rPr>
        <w:t>givare i tredjeland.</w:t>
      </w:r>
    </w:p>
    <w:p w:rsidR="00192075" w:rsidRPr="00361C3D" w:rsidRDefault="00826F0F" w:rsidP="003B0DA1">
      <w:r w:rsidRPr="00361C3D">
        <w:br/>
        <w:t xml:space="preserve">Skiljeförfaranden är undantagna från förordningens tillämpningsområde. Det har funnits skilda meningar mellan medlemsstaterna om var gränserna för undantaget ska dras och någon slutlig lösning i frågan har ännu inte kunnat nås. </w:t>
      </w:r>
      <w:r w:rsidR="00786B3B" w:rsidRPr="00361C3D">
        <w:t>För Sverige är det viktigt att frågor om det finns ett gi</w:t>
      </w:r>
      <w:r w:rsidR="00786B3B" w:rsidRPr="00361C3D">
        <w:t>l</w:t>
      </w:r>
      <w:r w:rsidR="00786B3B" w:rsidRPr="00361C3D">
        <w:t>tigt skiljeavtal mellan parterna kan prövas av domstol enligt förordnin</w:t>
      </w:r>
      <w:r w:rsidR="00786B3B" w:rsidRPr="00361C3D">
        <w:t>g</w:t>
      </w:r>
      <w:r w:rsidR="00786B3B" w:rsidRPr="00361C3D">
        <w:t>en och att domar som meddelats efter att en domstol ogillat en invän</w:t>
      </w:r>
      <w:r w:rsidR="00786B3B" w:rsidRPr="00361C3D">
        <w:t>d</w:t>
      </w:r>
      <w:r w:rsidR="00786B3B" w:rsidRPr="00361C3D">
        <w:t>ning om att det finns skiljeavtal ska kunna erkännas eller verkställas i andra medlemsst</w:t>
      </w:r>
      <w:r w:rsidR="00786B3B" w:rsidRPr="00361C3D">
        <w:t>a</w:t>
      </w:r>
      <w:r w:rsidR="00786B3B" w:rsidRPr="00361C3D">
        <w:t>ter.</w:t>
      </w:r>
    </w:p>
    <w:p w:rsidR="00534F62" w:rsidRPr="00361C3D" w:rsidRDefault="00534F62" w:rsidP="003B0DA1"/>
    <w:p w:rsidR="001B6504" w:rsidRPr="00361C3D" w:rsidRDefault="001B6504" w:rsidP="003B0DA1">
      <w:r w:rsidRPr="00361C3D">
        <w:t xml:space="preserve">Förslaget innebär att skyddet för avtal om val av domstol (s.k. prorogationsavtal) förstärks. Sverige ställer sig bakom förslaget. </w:t>
      </w:r>
    </w:p>
    <w:p w:rsidR="00CD7FE6" w:rsidRPr="00361C3D" w:rsidRDefault="00CD7FE6">
      <w:pPr>
        <w:pStyle w:val="RKrubrik"/>
      </w:pPr>
      <w:r w:rsidRPr="00361C3D">
        <w:t>Europaparlamentets inställning</w:t>
      </w:r>
    </w:p>
    <w:p w:rsidR="00534F62" w:rsidRPr="00361C3D" w:rsidRDefault="000E150F" w:rsidP="003B0DA1">
      <w:r w:rsidRPr="00361C3D">
        <w:t xml:space="preserve">Europaparlamentet </w:t>
      </w:r>
      <w:r w:rsidR="0033243E" w:rsidRPr="00361C3D">
        <w:t xml:space="preserve">antog år </w:t>
      </w:r>
      <w:r w:rsidR="00E6159E" w:rsidRPr="00361C3D">
        <w:t>2010</w:t>
      </w:r>
      <w:r w:rsidR="00355372" w:rsidRPr="00361C3D">
        <w:t xml:space="preserve"> en resolution inför de</w:t>
      </w:r>
      <w:r w:rsidR="00F93B8A" w:rsidRPr="00361C3D">
        <w:t>t</w:t>
      </w:r>
      <w:r w:rsidR="00355372" w:rsidRPr="00361C3D">
        <w:t xml:space="preserve"> då förestående </w:t>
      </w:r>
      <w:r w:rsidR="00F93B8A" w:rsidRPr="00361C3D">
        <w:t xml:space="preserve">förslaget från kommissionen om en </w:t>
      </w:r>
      <w:r w:rsidR="00534F62" w:rsidRPr="00361C3D">
        <w:t xml:space="preserve">revidering av förordningen. Europaparlamentet har dock ännu inte avgett något formellt yttrande över förslaget. </w:t>
      </w:r>
    </w:p>
    <w:p w:rsidR="00CD7FE6" w:rsidRPr="00361C3D" w:rsidRDefault="00CD7FE6" w:rsidP="00534F62">
      <w:pPr>
        <w:pStyle w:val="Rubrik2"/>
      </w:pPr>
      <w:r w:rsidRPr="00361C3D">
        <w:t>Förslaget</w:t>
      </w:r>
    </w:p>
    <w:p w:rsidR="00CA789B" w:rsidRPr="00361C3D" w:rsidRDefault="00CA789B" w:rsidP="003B0DA1">
      <w:r w:rsidRPr="00361C3D">
        <w:t>Förslagets syfte är att underlätta handläggningen av gränsöverskridande tvister och att förbättra den fria rö</w:t>
      </w:r>
      <w:r w:rsidRPr="00361C3D">
        <w:t>r</w:t>
      </w:r>
      <w:r w:rsidRPr="00361C3D">
        <w:t>ligheten av domar och andra domstolsavgöranden i EU. I förslaget avskaffas det s.k. exekvaturförfarandet, som innebär att verkstä</w:t>
      </w:r>
      <w:r w:rsidRPr="00361C3D">
        <w:t>l</w:t>
      </w:r>
      <w:r w:rsidRPr="00361C3D">
        <w:t>lighet av ett domstolsavgörande meddelat i en annan medlemsstat måste för</w:t>
      </w:r>
      <w:r w:rsidRPr="00361C3D">
        <w:t>e</w:t>
      </w:r>
      <w:r w:rsidRPr="00361C3D">
        <w:t xml:space="preserve">gås av ett domstolsbeslut varigenom avgörandet förklaras verkställbart. </w:t>
      </w:r>
    </w:p>
    <w:p w:rsidR="00D74E78" w:rsidRPr="00361C3D" w:rsidRDefault="00D74E78" w:rsidP="003B0DA1"/>
    <w:p w:rsidR="00D74E78" w:rsidRPr="00361C3D" w:rsidRDefault="00D74E78" w:rsidP="003B0DA1">
      <w:r w:rsidRPr="00361C3D">
        <w:t>För övriga frågor som omfattas av förslaget, se den svenska ståndpunkten.</w:t>
      </w:r>
    </w:p>
    <w:p w:rsidR="00CD7FE6" w:rsidRPr="00361C3D" w:rsidRDefault="00CD7FE6">
      <w:pPr>
        <w:pStyle w:val="RKrubrik"/>
        <w:rPr>
          <w:i/>
          <w:iCs/>
        </w:rPr>
      </w:pPr>
      <w:r w:rsidRPr="00361C3D">
        <w:rPr>
          <w:i/>
          <w:iCs/>
        </w:rPr>
        <w:t>Gällande svenska regler och förslagets effekter på dessa</w:t>
      </w:r>
    </w:p>
    <w:p w:rsidR="007D14BC" w:rsidRPr="00361C3D" w:rsidRDefault="007D14BC" w:rsidP="003B0DA1">
      <w:r w:rsidRPr="00361C3D">
        <w:t>Bryssel I-förordningen är direkt tillämplig i Sverige. Ändringar i förordningen p</w:t>
      </w:r>
      <w:r w:rsidRPr="00361C3D">
        <w:t>å</w:t>
      </w:r>
      <w:r w:rsidRPr="00361C3D">
        <w:t>verkar därmed svensk rätt.</w:t>
      </w:r>
      <w:r w:rsidR="00842914" w:rsidRPr="00361C3D">
        <w:t xml:space="preserve"> </w:t>
      </w:r>
    </w:p>
    <w:p w:rsidR="00CD7FE6" w:rsidRPr="00361C3D" w:rsidRDefault="00B91904">
      <w:pPr>
        <w:pStyle w:val="RKrubrik"/>
      </w:pPr>
      <w:r w:rsidRPr="00361C3D">
        <w:t>E</w:t>
      </w:r>
      <w:r w:rsidR="00CD7FE6" w:rsidRPr="00361C3D">
        <w:t>konomiska konsekvenser</w:t>
      </w:r>
    </w:p>
    <w:p w:rsidR="00CD7FE6" w:rsidRPr="00361C3D" w:rsidRDefault="00355372" w:rsidP="003B0DA1">
      <w:r w:rsidRPr="00361C3D">
        <w:t>Eventuella ekonomiska konsekvenser till följd av förslaget bedöms ku</w:t>
      </w:r>
      <w:r w:rsidRPr="00361C3D">
        <w:t>n</w:t>
      </w:r>
      <w:r w:rsidRPr="00361C3D">
        <w:t xml:space="preserve">na hanteras inom befintliga ekonomiska ramar såväl nationellt som </w:t>
      </w:r>
      <w:r w:rsidR="00E439FB" w:rsidRPr="00361C3D">
        <w:t xml:space="preserve">avseende </w:t>
      </w:r>
      <w:r w:rsidRPr="00361C3D">
        <w:t>EU-budgeten.</w:t>
      </w:r>
    </w:p>
    <w:p w:rsidR="00CD7FE6" w:rsidRPr="00361C3D" w:rsidRDefault="00CD7FE6">
      <w:pPr>
        <w:pStyle w:val="RKrubrik"/>
      </w:pPr>
      <w:r w:rsidRPr="00361C3D">
        <w:t>Övrigt</w:t>
      </w:r>
    </w:p>
    <w:p w:rsidR="00CD7FE6" w:rsidRPr="00361C3D" w:rsidRDefault="00355372">
      <w:pPr>
        <w:pStyle w:val="RKnormal"/>
      </w:pPr>
      <w:r w:rsidRPr="00361C3D">
        <w:t>-</w:t>
      </w:r>
    </w:p>
    <w:p w:rsidR="00CD7FE6" w:rsidRPr="00361C3D" w:rsidRDefault="00CD7FE6">
      <w:pPr>
        <w:pStyle w:val="RKnormal"/>
        <w:rPr>
          <w:i/>
          <w:iCs/>
        </w:rPr>
      </w:pPr>
    </w:p>
    <w:p w:rsidR="00CD7FE6" w:rsidRPr="00361C3D" w:rsidRDefault="00CD7FE6">
      <w:pPr>
        <w:pStyle w:val="RKnormal"/>
        <w:ind w:left="-1134"/>
      </w:pPr>
    </w:p>
    <w:p w:rsidR="006E4E11" w:rsidRPr="00361C3D" w:rsidRDefault="006E4E11">
      <w:pPr>
        <w:pStyle w:val="RKrubrik"/>
        <w:spacing w:before="0" w:after="0"/>
      </w:pPr>
    </w:p>
    <w:p w:rsidR="006E4E11" w:rsidRPr="00361C3D" w:rsidRDefault="006E4E11">
      <w:pPr>
        <w:pStyle w:val="RKnormal"/>
      </w:pPr>
    </w:p>
    <w:p w:rsidR="00CD7FE6" w:rsidRPr="00361C3D" w:rsidRDefault="00CD7FE6">
      <w:pPr>
        <w:pStyle w:val="RKnormal"/>
      </w:pPr>
    </w:p>
    <w:sectPr w:rsidR="00CD7FE6" w:rsidRPr="00361C3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CB0" w:rsidRPr="00361C3D" w:rsidRDefault="004B5CB0">
      <w:r w:rsidRPr="00361C3D">
        <w:separator/>
      </w:r>
    </w:p>
  </w:endnote>
  <w:endnote w:type="continuationSeparator" w:id="0">
    <w:p w:rsidR="004B5CB0" w:rsidRPr="00361C3D" w:rsidRDefault="004B5CB0">
      <w:r w:rsidRPr="00361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CB0" w:rsidRPr="00361C3D" w:rsidRDefault="004B5CB0">
      <w:r w:rsidRPr="00361C3D">
        <w:separator/>
      </w:r>
    </w:p>
  </w:footnote>
  <w:footnote w:type="continuationSeparator" w:id="0">
    <w:p w:rsidR="004B5CB0" w:rsidRPr="00361C3D" w:rsidRDefault="004B5CB0">
      <w:r w:rsidRPr="00361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061" w:rsidRPr="00361C3D" w:rsidRDefault="00BF7061">
    <w:pPr>
      <w:pStyle w:val="Sidhuvud"/>
      <w:framePr w:wrap="around" w:vAnchor="text" w:hAnchor="margin" w:xAlign="right" w:y="1"/>
      <w:rPr>
        <w:rStyle w:val="Sidnummer"/>
      </w:rPr>
    </w:pPr>
    <w:r w:rsidRPr="00361C3D">
      <w:rPr>
        <w:rStyle w:val="Sidnummer"/>
      </w:rPr>
      <w:fldChar w:fldCharType="begin" w:fldLock="1"/>
    </w:r>
    <w:r w:rsidRPr="00361C3D">
      <w:rPr>
        <w:rStyle w:val="Sidnummer"/>
      </w:rPr>
      <w:instrText xml:space="preserve">PAGE  </w:instrText>
    </w:r>
    <w:r w:rsidRPr="00361C3D">
      <w:rPr>
        <w:rStyle w:val="Sidnummer"/>
      </w:rPr>
      <w:fldChar w:fldCharType="separate"/>
    </w:r>
    <w:r w:rsidR="00E179CF" w:rsidRPr="00361C3D">
      <w:rPr>
        <w:rStyle w:val="Sidnummer"/>
      </w:rPr>
      <w:t>4</w:t>
    </w:r>
    <w:r w:rsidRPr="00361C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7061" w:rsidRPr="00361C3D">
      <w:tblPrEx>
        <w:tblCellMar>
          <w:top w:w="0" w:type="dxa"/>
          <w:bottom w:w="0" w:type="dxa"/>
        </w:tblCellMar>
      </w:tblPrEx>
      <w:trPr>
        <w:cantSplit/>
      </w:trPr>
      <w:tc>
        <w:tcPr>
          <w:tcW w:w="3119" w:type="dxa"/>
        </w:tcPr>
        <w:p w:rsidR="00BF7061" w:rsidRPr="00361C3D" w:rsidRDefault="00BF7061">
          <w:pPr>
            <w:pStyle w:val="Sidhuvud"/>
            <w:spacing w:line="200" w:lineRule="atLeast"/>
            <w:ind w:right="357"/>
            <w:rPr>
              <w:rFonts w:ascii="TradeGothic" w:hAnsi="TradeGothic"/>
              <w:b/>
              <w:bCs/>
              <w:sz w:val="16"/>
            </w:rPr>
          </w:pPr>
        </w:p>
      </w:tc>
      <w:tc>
        <w:tcPr>
          <w:tcW w:w="4111" w:type="dxa"/>
          <w:tcMar>
            <w:left w:w="567" w:type="dxa"/>
          </w:tcMar>
        </w:tcPr>
        <w:p w:rsidR="00BF7061" w:rsidRPr="00361C3D" w:rsidRDefault="00BF7061">
          <w:pPr>
            <w:pStyle w:val="Sidhuvud"/>
            <w:ind w:right="360"/>
          </w:pPr>
        </w:p>
      </w:tc>
      <w:tc>
        <w:tcPr>
          <w:tcW w:w="1525" w:type="dxa"/>
        </w:tcPr>
        <w:p w:rsidR="00BF7061" w:rsidRPr="00361C3D" w:rsidRDefault="00BF7061">
          <w:pPr>
            <w:pStyle w:val="Sidhuvud"/>
            <w:ind w:right="360"/>
          </w:pPr>
        </w:p>
      </w:tc>
    </w:tr>
  </w:tbl>
  <w:p w:rsidR="00BF7061" w:rsidRPr="00361C3D" w:rsidRDefault="00BF706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061" w:rsidRPr="00361C3D" w:rsidRDefault="00BF7061">
    <w:pPr>
      <w:pStyle w:val="Sidhuvud"/>
      <w:framePr w:wrap="around" w:vAnchor="text" w:hAnchor="margin" w:xAlign="right" w:y="1"/>
      <w:rPr>
        <w:rStyle w:val="Sidnummer"/>
      </w:rPr>
    </w:pPr>
    <w:r w:rsidRPr="00361C3D">
      <w:rPr>
        <w:rStyle w:val="Sidnummer"/>
      </w:rPr>
      <w:fldChar w:fldCharType="begin" w:fldLock="1"/>
    </w:r>
    <w:r w:rsidRPr="00361C3D">
      <w:rPr>
        <w:rStyle w:val="Sidnummer"/>
      </w:rPr>
      <w:instrText xml:space="preserve">PAGE  </w:instrText>
    </w:r>
    <w:r w:rsidRPr="00361C3D">
      <w:rPr>
        <w:rStyle w:val="Sidnummer"/>
      </w:rPr>
      <w:fldChar w:fldCharType="separate"/>
    </w:r>
    <w:r w:rsidR="00E179CF" w:rsidRPr="00361C3D">
      <w:rPr>
        <w:rStyle w:val="Sidnummer"/>
      </w:rPr>
      <w:t>3</w:t>
    </w:r>
    <w:r w:rsidRPr="00361C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7061" w:rsidRPr="00361C3D">
      <w:tblPrEx>
        <w:tblCellMar>
          <w:top w:w="0" w:type="dxa"/>
          <w:bottom w:w="0" w:type="dxa"/>
        </w:tblCellMar>
      </w:tblPrEx>
      <w:trPr>
        <w:cantSplit/>
      </w:trPr>
      <w:tc>
        <w:tcPr>
          <w:tcW w:w="3119" w:type="dxa"/>
        </w:tcPr>
        <w:p w:rsidR="00BF7061" w:rsidRPr="00361C3D" w:rsidRDefault="00BF7061">
          <w:pPr>
            <w:pStyle w:val="Sidhuvud"/>
            <w:spacing w:line="200" w:lineRule="atLeast"/>
            <w:ind w:right="357"/>
            <w:rPr>
              <w:rFonts w:ascii="TradeGothic" w:hAnsi="TradeGothic"/>
              <w:b/>
              <w:bCs/>
              <w:sz w:val="16"/>
            </w:rPr>
          </w:pPr>
        </w:p>
      </w:tc>
      <w:tc>
        <w:tcPr>
          <w:tcW w:w="4111" w:type="dxa"/>
          <w:tcMar>
            <w:left w:w="567" w:type="dxa"/>
          </w:tcMar>
        </w:tcPr>
        <w:p w:rsidR="00BF7061" w:rsidRPr="00361C3D" w:rsidRDefault="00BF7061">
          <w:pPr>
            <w:pStyle w:val="Sidhuvud"/>
            <w:ind w:right="360"/>
          </w:pPr>
        </w:p>
      </w:tc>
      <w:tc>
        <w:tcPr>
          <w:tcW w:w="1525" w:type="dxa"/>
        </w:tcPr>
        <w:p w:rsidR="00BF7061" w:rsidRPr="00361C3D" w:rsidRDefault="00BF7061">
          <w:pPr>
            <w:pStyle w:val="Sidhuvud"/>
            <w:ind w:right="360"/>
          </w:pPr>
        </w:p>
      </w:tc>
    </w:tr>
  </w:tbl>
  <w:p w:rsidR="00BF7061" w:rsidRPr="00361C3D" w:rsidRDefault="00BF706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061" w:rsidRPr="00361C3D" w:rsidRDefault="00361C3D">
    <w:pPr>
      <w:framePr w:w="2948" w:h="1321" w:hRule="exact" w:wrap="notBeside" w:vAnchor="page" w:hAnchor="page" w:x="1362" w:y="653"/>
    </w:pPr>
    <w:r w:rsidRPr="00361C3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F7061" w:rsidRPr="00361C3D" w:rsidRDefault="00BF7061">
    <w:pPr>
      <w:pStyle w:val="RKrubrik"/>
      <w:keepNext w:val="0"/>
      <w:tabs>
        <w:tab w:val="clear" w:pos="1134"/>
        <w:tab w:val="clear" w:pos="2835"/>
      </w:tabs>
      <w:spacing w:before="0" w:after="0" w:line="320" w:lineRule="atLeast"/>
      <w:rPr>
        <w:bCs/>
      </w:rPr>
    </w:pPr>
  </w:p>
  <w:p w:rsidR="00BF7061" w:rsidRPr="00361C3D" w:rsidRDefault="00BF7061">
    <w:pPr>
      <w:rPr>
        <w:rFonts w:ascii="TradeGothic" w:hAnsi="TradeGothic"/>
        <w:b/>
        <w:bCs/>
        <w:spacing w:val="12"/>
        <w:sz w:val="22"/>
      </w:rPr>
    </w:pPr>
  </w:p>
  <w:p w:rsidR="00BF7061" w:rsidRPr="00361C3D" w:rsidRDefault="00BF7061">
    <w:pPr>
      <w:pStyle w:val="RKrubrik"/>
      <w:keepNext w:val="0"/>
      <w:tabs>
        <w:tab w:val="clear" w:pos="1134"/>
        <w:tab w:val="clear" w:pos="2835"/>
      </w:tabs>
      <w:spacing w:before="0" w:after="0" w:line="320" w:lineRule="atLeast"/>
      <w:rPr>
        <w:bCs/>
      </w:rPr>
    </w:pPr>
  </w:p>
  <w:p w:rsidR="00BF7061" w:rsidRPr="00361C3D" w:rsidRDefault="00BF706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04BB7"/>
    <w:rsid w:val="00066F74"/>
    <w:rsid w:val="000756B2"/>
    <w:rsid w:val="00081DBE"/>
    <w:rsid w:val="000A0E65"/>
    <w:rsid w:val="000B735F"/>
    <w:rsid w:val="000E150F"/>
    <w:rsid w:val="00150384"/>
    <w:rsid w:val="00157D3A"/>
    <w:rsid w:val="001805B7"/>
    <w:rsid w:val="00192075"/>
    <w:rsid w:val="001A5C98"/>
    <w:rsid w:val="001B6504"/>
    <w:rsid w:val="00212166"/>
    <w:rsid w:val="002849D8"/>
    <w:rsid w:val="00284E31"/>
    <w:rsid w:val="00294060"/>
    <w:rsid w:val="003240E6"/>
    <w:rsid w:val="0033243E"/>
    <w:rsid w:val="00355372"/>
    <w:rsid w:val="00361C3D"/>
    <w:rsid w:val="003639DF"/>
    <w:rsid w:val="00380CD4"/>
    <w:rsid w:val="003B0DA1"/>
    <w:rsid w:val="00406303"/>
    <w:rsid w:val="00462BD9"/>
    <w:rsid w:val="00490834"/>
    <w:rsid w:val="00492C29"/>
    <w:rsid w:val="004A328D"/>
    <w:rsid w:val="004B5CB0"/>
    <w:rsid w:val="00534F62"/>
    <w:rsid w:val="0053525F"/>
    <w:rsid w:val="00565160"/>
    <w:rsid w:val="005854F3"/>
    <w:rsid w:val="0058762B"/>
    <w:rsid w:val="00634E4F"/>
    <w:rsid w:val="00636C14"/>
    <w:rsid w:val="006568AA"/>
    <w:rsid w:val="006B3AB5"/>
    <w:rsid w:val="006E4E11"/>
    <w:rsid w:val="007242A3"/>
    <w:rsid w:val="007344F1"/>
    <w:rsid w:val="007606B4"/>
    <w:rsid w:val="00786B3B"/>
    <w:rsid w:val="007A1F7B"/>
    <w:rsid w:val="007A6855"/>
    <w:rsid w:val="007D14BC"/>
    <w:rsid w:val="00826F0F"/>
    <w:rsid w:val="00842914"/>
    <w:rsid w:val="008501AE"/>
    <w:rsid w:val="0089695A"/>
    <w:rsid w:val="008A71E6"/>
    <w:rsid w:val="008C58DE"/>
    <w:rsid w:val="008D3499"/>
    <w:rsid w:val="008E42BE"/>
    <w:rsid w:val="00985770"/>
    <w:rsid w:val="009900D4"/>
    <w:rsid w:val="00A31AC8"/>
    <w:rsid w:val="00A363F0"/>
    <w:rsid w:val="00A740D9"/>
    <w:rsid w:val="00A82C40"/>
    <w:rsid w:val="00A969E6"/>
    <w:rsid w:val="00AB03D2"/>
    <w:rsid w:val="00B16AC3"/>
    <w:rsid w:val="00B91904"/>
    <w:rsid w:val="00BF7061"/>
    <w:rsid w:val="00CA789B"/>
    <w:rsid w:val="00CD7FE6"/>
    <w:rsid w:val="00D133D7"/>
    <w:rsid w:val="00D473DA"/>
    <w:rsid w:val="00D6672E"/>
    <w:rsid w:val="00D748E6"/>
    <w:rsid w:val="00D74E78"/>
    <w:rsid w:val="00DC1FDE"/>
    <w:rsid w:val="00DD5A49"/>
    <w:rsid w:val="00E179CF"/>
    <w:rsid w:val="00E439FB"/>
    <w:rsid w:val="00E6159E"/>
    <w:rsid w:val="00EC25F9"/>
    <w:rsid w:val="00ED583F"/>
    <w:rsid w:val="00F039E5"/>
    <w:rsid w:val="00F579C1"/>
    <w:rsid w:val="00F93B8A"/>
    <w:rsid w:val="00FE71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F49E0-300D-4B6D-A2EF-4811AF16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284E31"/>
    <w:rPr>
      <w:rFonts w:ascii="OrigGarmnd BT" w:hAnsi="OrigGarmnd BT"/>
      <w:sz w:val="24"/>
      <w:lang w:val="sv-SE" w:eastAsia="en-US" w:bidi="ar-SA"/>
    </w:rPr>
  </w:style>
  <w:style w:type="paragraph" w:styleId="Ballongtext">
    <w:name w:val="Balloon Text"/>
    <w:basedOn w:val="Normal"/>
    <w:link w:val="BallongtextChar"/>
    <w:rsid w:val="00D74E78"/>
    <w:pPr>
      <w:spacing w:line="240" w:lineRule="auto"/>
    </w:pPr>
    <w:rPr>
      <w:rFonts w:ascii="Tahoma" w:hAnsi="Tahoma" w:cs="Tahoma"/>
      <w:sz w:val="16"/>
      <w:szCs w:val="16"/>
    </w:rPr>
  </w:style>
  <w:style w:type="character" w:customStyle="1" w:styleId="BallongtextChar">
    <w:name w:val="Ballongtext Char"/>
    <w:link w:val="Ballongtext"/>
    <w:rsid w:val="00D74E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5045</Characters>
  <Application>Microsoft Office Word</Application>
  <DocSecurity>4</DocSecurity>
  <Lines>136</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2012-05-28T11:22:00Z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0x010100D4E2D80DC721422ABBDF033BB3857F490300843E95EF4A801E43ACB544B780898DD4</vt:lpwstr>
  </property>
  <property fmtid="{D5CDD505-2E9C-101B-9397-08002B2CF9AE}" pid="12" name="QFMSP source name">
    <vt:lpwstr/>
  </property>
  <property fmtid="{D5CDD505-2E9C-101B-9397-08002B2CF9AE}" pid="13" name="RKOrdnaDepartement2">
    <vt:lpwstr>Justitiedepartementet</vt:lpwstr>
  </property>
  <property fmtid="{D5CDD505-2E9C-101B-9397-08002B2CF9AE}" pid="14" name="RKOrdnaClass">
    <vt:lpwstr/>
  </property>
  <property fmtid="{D5CDD505-2E9C-101B-9397-08002B2CF9AE}" pid="15" name="RKOrdnaCheckInComment">
    <vt:lpwstr/>
  </property>
  <property fmtid="{D5CDD505-2E9C-101B-9397-08002B2CF9AE}" pid="16" name="RKOrdnaActivityCategory2">
    <vt:lpwstr>4.1.9. Övrigt EU-arbete</vt:lpwstr>
  </property>
</Properties>
</file>