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671FA">
        <w:tblPrEx>
          <w:tblCellMar>
            <w:top w:w="0" w:type="dxa"/>
            <w:left w:w="0" w:type="dxa"/>
            <w:bottom w:w="0" w:type="dxa"/>
            <w:right w:w="0" w:type="dxa"/>
          </w:tblCellMar>
        </w:tblPrEx>
        <w:trPr>
          <w:gridAfter w:val="2"/>
          <w:wAfter w:w="1758" w:type="dxa"/>
          <w:cantSplit/>
          <w:trHeight w:val="1320"/>
        </w:trPr>
        <w:tc>
          <w:tcPr>
            <w:tcW w:w="5897" w:type="dxa"/>
          </w:tcPr>
          <w:p w:rsidR="000D28CD" w:rsidRPr="00A671FA" w:rsidRDefault="000D28CD">
            <w:pPr>
              <w:pStyle w:val="HuvudRubrik"/>
            </w:pPr>
            <w:r w:rsidRPr="00A671FA">
              <w:t>Regeringskansliet</w:t>
            </w:r>
          </w:p>
          <w:p w:rsidR="000D28CD" w:rsidRPr="00A671FA" w:rsidRDefault="000D28CD">
            <w:pPr>
              <w:pStyle w:val="HuvudRubrik"/>
            </w:pPr>
            <w:r w:rsidRPr="00A671FA">
              <w:t xml:space="preserve">Faktapromemoria  </w:t>
            </w:r>
            <w:r w:rsidRPr="00A671FA">
              <w:t>2006/07</w:t>
            </w:r>
            <w:r w:rsidRPr="00A671FA">
              <w:t>:</w:t>
            </w:r>
            <w:r w:rsidRPr="00A671FA">
              <w:t>FPM113</w:t>
            </w:r>
          </w:p>
        </w:tc>
      </w:tr>
      <w:tr w:rsidR="00000000" w:rsidRPr="00A671FA">
        <w:tblPrEx>
          <w:tblCellMar>
            <w:top w:w="0" w:type="dxa"/>
            <w:left w:w="0" w:type="dxa"/>
            <w:bottom w:w="0" w:type="dxa"/>
            <w:right w:w="0" w:type="dxa"/>
          </w:tblCellMar>
        </w:tblPrEx>
        <w:trPr>
          <w:gridAfter w:val="2"/>
          <w:wAfter w:w="1758" w:type="dxa"/>
          <w:cantSplit/>
          <w:trHeight w:val="240"/>
        </w:trPr>
        <w:tc>
          <w:tcPr>
            <w:tcW w:w="5897" w:type="dxa"/>
          </w:tcPr>
          <w:p w:rsidR="000D28CD" w:rsidRPr="00A671FA" w:rsidRDefault="000D28CD">
            <w:pPr>
              <w:pStyle w:val="HuvudRubrik"/>
              <w:rPr>
                <w:sz w:val="28"/>
              </w:rPr>
            </w:pPr>
            <w:r w:rsidRPr="00A671FA">
              <w:t>Meddelande om Flexicurity</w:t>
            </w:r>
          </w:p>
        </w:tc>
      </w:tr>
      <w:tr w:rsidR="006D4AA5" w:rsidRPr="00A671FA">
        <w:tblPrEx>
          <w:tblCellMar>
            <w:top w:w="0" w:type="dxa"/>
            <w:left w:w="0" w:type="dxa"/>
            <w:bottom w:w="0" w:type="dxa"/>
            <w:right w:w="0" w:type="dxa"/>
          </w:tblCellMar>
        </w:tblPrEx>
        <w:trPr>
          <w:cantSplit/>
          <w:trHeight w:val="285"/>
        </w:trPr>
        <w:tc>
          <w:tcPr>
            <w:tcW w:w="7655" w:type="dxa"/>
            <w:gridSpan w:val="3"/>
          </w:tcPr>
          <w:p w:rsidR="006D4AA5" w:rsidRPr="00A671FA" w:rsidRDefault="00756599">
            <w:pPr>
              <w:pStyle w:val="Departement"/>
              <w:rPr>
                <w:sz w:val="28"/>
              </w:rPr>
            </w:pPr>
            <w:r w:rsidRPr="00A671FA">
              <w:t>Arbetsmarknadsdepartementet</w:t>
            </w:r>
          </w:p>
        </w:tc>
      </w:tr>
      <w:tr w:rsidR="006D4AA5" w:rsidRPr="00A671FA">
        <w:tblPrEx>
          <w:tblCellMar>
            <w:top w:w="0" w:type="dxa"/>
            <w:left w:w="0" w:type="dxa"/>
            <w:bottom w:w="0" w:type="dxa"/>
            <w:right w:w="0" w:type="dxa"/>
          </w:tblCellMar>
        </w:tblPrEx>
        <w:trPr>
          <w:cantSplit/>
          <w:trHeight w:val="240"/>
        </w:trPr>
        <w:tc>
          <w:tcPr>
            <w:tcW w:w="7655" w:type="dxa"/>
            <w:gridSpan w:val="3"/>
          </w:tcPr>
          <w:p w:rsidR="006D4AA5" w:rsidRPr="00A671FA" w:rsidRDefault="00756599">
            <w:pPr>
              <w:pStyle w:val="Dokumentdatum"/>
            </w:pPr>
            <w:r w:rsidRPr="00A671FA">
              <w:t>2007-08-24</w:t>
            </w:r>
          </w:p>
        </w:tc>
      </w:tr>
      <w:tr w:rsidR="006D4AA5" w:rsidRPr="00A671FA">
        <w:tblPrEx>
          <w:tblCellMar>
            <w:top w:w="0" w:type="dxa"/>
            <w:left w:w="0" w:type="dxa"/>
            <w:bottom w:w="0" w:type="dxa"/>
            <w:right w:w="0" w:type="dxa"/>
          </w:tblCellMar>
        </w:tblPrEx>
        <w:trPr>
          <w:cantSplit/>
          <w:trHeight w:val="726"/>
        </w:trPr>
        <w:tc>
          <w:tcPr>
            <w:tcW w:w="7655" w:type="dxa"/>
            <w:gridSpan w:val="3"/>
            <w:vAlign w:val="bottom"/>
          </w:tcPr>
          <w:p w:rsidR="006D4AA5" w:rsidRPr="00A671FA" w:rsidRDefault="006D4AA5">
            <w:pPr>
              <w:pStyle w:val="Dokumentbeteckning"/>
            </w:pPr>
            <w:r w:rsidRPr="00A671FA">
              <w:t>Dokumentbeteckning</w:t>
            </w:r>
          </w:p>
        </w:tc>
      </w:tr>
      <w:tr w:rsidR="00675553" w:rsidRPr="00A671FA">
        <w:tblPrEx>
          <w:tblCellMar>
            <w:top w:w="0" w:type="dxa"/>
            <w:left w:w="0" w:type="dxa"/>
            <w:bottom w:w="0" w:type="dxa"/>
            <w:right w:w="0" w:type="dxa"/>
          </w:tblCellMar>
        </w:tblPrEx>
        <w:trPr>
          <w:gridAfter w:val="1"/>
          <w:wAfter w:w="1560" w:type="dxa"/>
          <w:trHeight w:val="120"/>
        </w:trPr>
        <w:tc>
          <w:tcPr>
            <w:tcW w:w="6095" w:type="dxa"/>
            <w:gridSpan w:val="2"/>
          </w:tcPr>
          <w:p w:rsidR="00675553" w:rsidRPr="00A671FA" w:rsidRDefault="00756599" w:rsidP="00756599">
            <w:bookmarkStart w:id="0" w:name="KomNr"/>
            <w:bookmarkEnd w:id="0"/>
            <w:r w:rsidRPr="00A671FA">
              <w:t>KOM(2007) 359 final</w:t>
            </w:r>
          </w:p>
        </w:tc>
      </w:tr>
      <w:tr w:rsidR="00756599" w:rsidRPr="00A671FA">
        <w:tblPrEx>
          <w:tblCellMar>
            <w:top w:w="0" w:type="dxa"/>
            <w:left w:w="0" w:type="dxa"/>
            <w:bottom w:w="0" w:type="dxa"/>
            <w:right w:w="0" w:type="dxa"/>
          </w:tblCellMar>
        </w:tblPrEx>
        <w:trPr>
          <w:gridAfter w:val="1"/>
          <w:wAfter w:w="1560" w:type="dxa"/>
          <w:trHeight w:val="120"/>
        </w:trPr>
        <w:tc>
          <w:tcPr>
            <w:tcW w:w="6095" w:type="dxa"/>
            <w:gridSpan w:val="2"/>
          </w:tcPr>
          <w:p w:rsidR="00756599" w:rsidRPr="00A671FA" w:rsidRDefault="00756599" w:rsidP="00756599">
            <w:pPr>
              <w:pStyle w:val="Dokumentbeteckning-titel"/>
            </w:pPr>
            <w:r w:rsidRPr="00A671FA">
              <w:t>Communication from the Commission to the European Parliament, the Council, the European Economic and Social Committee and the Committe of the Regions - Towards Common Principles of Flexicurity: More and better jobs trhough flexibility and security</w:t>
            </w:r>
          </w:p>
        </w:tc>
      </w:tr>
      <w:tr w:rsidR="00756599" w:rsidRPr="00A671FA">
        <w:tblPrEx>
          <w:tblCellMar>
            <w:top w:w="0" w:type="dxa"/>
            <w:left w:w="0" w:type="dxa"/>
            <w:bottom w:w="0" w:type="dxa"/>
            <w:right w:w="0" w:type="dxa"/>
          </w:tblCellMar>
        </w:tblPrEx>
        <w:trPr>
          <w:gridAfter w:val="1"/>
          <w:wAfter w:w="1560" w:type="dxa"/>
          <w:trHeight w:val="120"/>
        </w:trPr>
        <w:tc>
          <w:tcPr>
            <w:tcW w:w="6095" w:type="dxa"/>
            <w:gridSpan w:val="2"/>
          </w:tcPr>
          <w:p w:rsidR="00756599" w:rsidRPr="00A671FA" w:rsidRDefault="00756599" w:rsidP="00756599">
            <w:r w:rsidRPr="00A671FA">
              <w:t>SEK(2007) 861</w:t>
            </w:r>
          </w:p>
        </w:tc>
      </w:tr>
      <w:tr w:rsidR="00756599" w:rsidRPr="00A671FA">
        <w:tblPrEx>
          <w:tblCellMar>
            <w:top w:w="0" w:type="dxa"/>
            <w:left w:w="0" w:type="dxa"/>
            <w:bottom w:w="0" w:type="dxa"/>
            <w:right w:w="0" w:type="dxa"/>
          </w:tblCellMar>
        </w:tblPrEx>
        <w:trPr>
          <w:gridAfter w:val="1"/>
          <w:wAfter w:w="1560" w:type="dxa"/>
          <w:trHeight w:val="120"/>
        </w:trPr>
        <w:tc>
          <w:tcPr>
            <w:tcW w:w="6095" w:type="dxa"/>
            <w:gridSpan w:val="2"/>
          </w:tcPr>
          <w:p w:rsidR="00756599" w:rsidRPr="00A671FA" w:rsidRDefault="00756599" w:rsidP="00756599">
            <w:pPr>
              <w:pStyle w:val="Dokumentbeteckning-titel"/>
            </w:pPr>
            <w:r w:rsidRPr="00A671FA">
              <w:t xml:space="preserve"> </w:t>
            </w:r>
          </w:p>
        </w:tc>
      </w:tr>
      <w:tr w:rsidR="00756599" w:rsidRPr="00A671FA">
        <w:tblPrEx>
          <w:tblCellMar>
            <w:top w:w="0" w:type="dxa"/>
            <w:left w:w="0" w:type="dxa"/>
            <w:bottom w:w="0" w:type="dxa"/>
            <w:right w:w="0" w:type="dxa"/>
          </w:tblCellMar>
        </w:tblPrEx>
        <w:trPr>
          <w:gridAfter w:val="1"/>
          <w:wAfter w:w="1560" w:type="dxa"/>
          <w:trHeight w:val="120"/>
        </w:trPr>
        <w:tc>
          <w:tcPr>
            <w:tcW w:w="6095" w:type="dxa"/>
            <w:gridSpan w:val="2"/>
          </w:tcPr>
          <w:p w:rsidR="00756599" w:rsidRPr="00A671FA" w:rsidRDefault="00756599" w:rsidP="00756599">
            <w:r w:rsidRPr="00A671FA">
              <w:t>SEK(2007) 862</w:t>
            </w:r>
          </w:p>
        </w:tc>
      </w:tr>
      <w:tr w:rsidR="00756599" w:rsidRPr="00A671FA">
        <w:tblPrEx>
          <w:tblCellMar>
            <w:top w:w="0" w:type="dxa"/>
            <w:left w:w="0" w:type="dxa"/>
            <w:bottom w:w="0" w:type="dxa"/>
            <w:right w:w="0" w:type="dxa"/>
          </w:tblCellMar>
        </w:tblPrEx>
        <w:trPr>
          <w:gridAfter w:val="1"/>
          <w:wAfter w:w="1560" w:type="dxa"/>
          <w:trHeight w:val="120"/>
        </w:trPr>
        <w:tc>
          <w:tcPr>
            <w:tcW w:w="6095" w:type="dxa"/>
            <w:gridSpan w:val="2"/>
          </w:tcPr>
          <w:p w:rsidR="00756599" w:rsidRPr="00A671FA" w:rsidRDefault="00756599" w:rsidP="00756599">
            <w:pPr>
              <w:pStyle w:val="Dokumentbeteckning-titel"/>
            </w:pPr>
            <w:r w:rsidRPr="00A671FA">
              <w:t xml:space="preserve"> </w:t>
            </w:r>
          </w:p>
        </w:tc>
      </w:tr>
    </w:tbl>
    <w:p w:rsidR="006D4AA5" w:rsidRPr="00A671FA" w:rsidRDefault="006D4AA5"/>
    <w:p w:rsidR="006D4AA5" w:rsidRPr="00A671FA" w:rsidRDefault="006D4AA5">
      <w:pPr>
        <w:pStyle w:val="Rubrik1"/>
        <w:numPr>
          <w:ilvl w:val="0"/>
          <w:numId w:val="0"/>
        </w:numPr>
      </w:pPr>
      <w:r w:rsidRPr="00A671FA">
        <w:t>Sammanfattning</w:t>
      </w:r>
    </w:p>
    <w:p w:rsidR="00FD697C" w:rsidRPr="00A671FA" w:rsidRDefault="00FD697C" w:rsidP="00756599"/>
    <w:p w:rsidR="000F13E3" w:rsidRPr="00A671FA" w:rsidRDefault="00FD697C" w:rsidP="00756599">
      <w:pPr>
        <w:rPr>
          <w:bCs/>
          <w:iCs/>
        </w:rPr>
      </w:pPr>
      <w:r w:rsidRPr="00A671FA">
        <w:t xml:space="preserve">I </w:t>
      </w:r>
      <w:r w:rsidR="006B0138" w:rsidRPr="00A671FA">
        <w:t>sitt</w:t>
      </w:r>
      <w:r w:rsidRPr="00A671FA">
        <w:t xml:space="preserve"> meddelande om flexicurity </w:t>
      </w:r>
      <w:r w:rsidR="00F96715" w:rsidRPr="00A671FA">
        <w:t>föreslår kommissionen gemensamma principer för att skapa fler</w:t>
      </w:r>
      <w:r w:rsidR="006B0138" w:rsidRPr="00A671FA">
        <w:t>a</w:t>
      </w:r>
      <w:r w:rsidR="00F96715" w:rsidRPr="00A671FA">
        <w:t xml:space="preserve"> och bättre jobb</w:t>
      </w:r>
      <w:r w:rsidR="00B3776D" w:rsidRPr="00A671FA">
        <w:t xml:space="preserve"> och </w:t>
      </w:r>
      <w:r w:rsidR="00AC47D6" w:rsidRPr="00A671FA">
        <w:t>samtidigt</w:t>
      </w:r>
      <w:r w:rsidR="00B3776D" w:rsidRPr="00A671FA">
        <w:t xml:space="preserve"> modernisera</w:t>
      </w:r>
      <w:r w:rsidR="00AC47D6" w:rsidRPr="00A671FA">
        <w:t xml:space="preserve"> Europas sociala modeller</w:t>
      </w:r>
      <w:r w:rsidR="00F96715" w:rsidRPr="00A671FA">
        <w:t>.</w:t>
      </w:r>
      <w:r w:rsidR="00256A48" w:rsidRPr="00A671FA">
        <w:t xml:space="preserve"> </w:t>
      </w:r>
      <w:r w:rsidR="006B0138" w:rsidRPr="00A671FA">
        <w:t xml:space="preserve">Dessa </w:t>
      </w:r>
      <w:r w:rsidR="00D829A8" w:rsidRPr="00A671FA">
        <w:t xml:space="preserve">principer för flexicurity </w:t>
      </w:r>
      <w:r w:rsidR="006B0138" w:rsidRPr="00A671FA">
        <w:t xml:space="preserve">ska utgöra </w:t>
      </w:r>
      <w:r w:rsidR="00B3776D" w:rsidRPr="00A671FA">
        <w:t xml:space="preserve"> gemensamma referenser</w:t>
      </w:r>
      <w:r w:rsidR="00D829A8" w:rsidRPr="00A671FA">
        <w:t xml:space="preserve"> för fortsatta arbetsmarknadsreformer </w:t>
      </w:r>
      <w:r w:rsidR="00B3776D" w:rsidRPr="00A671FA">
        <w:t xml:space="preserve">och reformer av sociala trygghetssystem </w:t>
      </w:r>
      <w:r w:rsidR="00D829A8" w:rsidRPr="00A671FA">
        <w:t xml:space="preserve">inom ramen för EU:s strategi för tillväxt och sysselsättning. </w:t>
      </w:r>
      <w:r w:rsidR="000F13E3" w:rsidRPr="00A671FA">
        <w:rPr>
          <w:bCs/>
          <w:iCs/>
        </w:rPr>
        <w:t xml:space="preserve">I meddelandet föreslår kommissionen också ett antal handlingsalternativ med konkreta förslag på hur medlemsstaterna kan genomföra nationella flexicurity-strategier. </w:t>
      </w:r>
    </w:p>
    <w:p w:rsidR="00D829A8" w:rsidRPr="00A671FA" w:rsidRDefault="00D829A8" w:rsidP="00756599"/>
    <w:p w:rsidR="000F13E3" w:rsidRPr="00A671FA" w:rsidRDefault="00D829A8" w:rsidP="00756599">
      <w:pPr>
        <w:rPr>
          <w:bCs/>
          <w:iCs/>
        </w:rPr>
      </w:pPr>
      <w:r w:rsidRPr="00A671FA">
        <w:t xml:space="preserve">Med flexicurity menar kommissionen att flexibilitet och trygghet på arbetsmarknaden inte behöver vara varandras motsatser för att nå hög sysselsättning och tillväxt. </w:t>
      </w:r>
      <w:r w:rsidRPr="00A671FA">
        <w:rPr>
          <w:bCs/>
          <w:iCs/>
        </w:rPr>
        <w:t>Flexicurity omfattar flexibla och säkra anställningsavtal, strategier för livslångt lärande</w:t>
      </w:r>
      <w:r w:rsidR="000F13E3" w:rsidRPr="00A671FA">
        <w:rPr>
          <w:bCs/>
          <w:iCs/>
        </w:rPr>
        <w:t>,</w:t>
      </w:r>
      <w:r w:rsidRPr="00A671FA">
        <w:rPr>
          <w:bCs/>
          <w:iCs/>
        </w:rPr>
        <w:t xml:space="preserve"> </w:t>
      </w:r>
      <w:r w:rsidR="000F13E3" w:rsidRPr="00A671FA">
        <w:rPr>
          <w:bCs/>
          <w:iCs/>
        </w:rPr>
        <w:t xml:space="preserve">aktiva arbetsmarknadsåtgärder </w:t>
      </w:r>
      <w:r w:rsidRPr="00A671FA">
        <w:rPr>
          <w:bCs/>
          <w:iCs/>
        </w:rPr>
        <w:t xml:space="preserve">och </w:t>
      </w:r>
      <w:r w:rsidR="000F13E3" w:rsidRPr="00A671FA">
        <w:rPr>
          <w:bCs/>
          <w:iCs/>
        </w:rPr>
        <w:t xml:space="preserve">moderna sociala trygghetssystem. </w:t>
      </w:r>
    </w:p>
    <w:p w:rsidR="000F13E3" w:rsidRPr="00A671FA" w:rsidRDefault="000F13E3" w:rsidP="00756599"/>
    <w:p w:rsidR="00B41E93" w:rsidRPr="00A671FA" w:rsidRDefault="000F13E3" w:rsidP="00756599">
      <w:r w:rsidRPr="00A671FA">
        <w:lastRenderedPageBreak/>
        <w:t xml:space="preserve">Regeringen välkomnar </w:t>
      </w:r>
      <w:r w:rsidR="008336F4" w:rsidRPr="00A671FA">
        <w:t xml:space="preserve">i princip </w:t>
      </w:r>
      <w:r w:rsidRPr="00A671FA">
        <w:t xml:space="preserve">kommissionens meddelande om flexicurity då det kan bidra till att stimulera fortsatta reformer av arbetsmarknader och sociala trygghetssystem inom unionen. </w:t>
      </w:r>
    </w:p>
    <w:p w:rsidR="002023F4" w:rsidRPr="00A671FA" w:rsidRDefault="002023F4" w:rsidP="00756599">
      <w:r w:rsidRPr="00A671FA">
        <w:br w:type="page"/>
      </w:r>
    </w:p>
    <w:p w:rsidR="00FD697C" w:rsidRPr="00A671FA" w:rsidRDefault="00FD697C" w:rsidP="00756599"/>
    <w:p w:rsidR="006D4AA5" w:rsidRPr="00A671FA" w:rsidRDefault="006D4AA5">
      <w:pPr>
        <w:pStyle w:val="Rubrik1"/>
      </w:pPr>
      <w:r w:rsidRPr="00A671FA">
        <w:t>Förslaget</w:t>
      </w:r>
    </w:p>
    <w:p w:rsidR="006D4AA5" w:rsidRPr="00A671FA" w:rsidRDefault="006D4AA5">
      <w:pPr>
        <w:pStyle w:val="Rubrik2"/>
      </w:pPr>
      <w:r w:rsidRPr="00A671FA">
        <w:t>Innehåll</w:t>
      </w:r>
    </w:p>
    <w:p w:rsidR="00BA2714" w:rsidRPr="00A671FA" w:rsidRDefault="00614DD4" w:rsidP="006229B1">
      <w:r w:rsidRPr="00A671FA">
        <w:t xml:space="preserve">Inledningsvis framhåller kommissionen att </w:t>
      </w:r>
      <w:r w:rsidR="006E3089" w:rsidRPr="00A671FA">
        <w:t>nya former av flexibilitet och trygghet behövs f</w:t>
      </w:r>
      <w:r w:rsidR="00BA2714" w:rsidRPr="00A671FA">
        <w:t>ör individer och företag om EU ska lyckas skapa tillväxt, fler och bättre jobb och samtidigt bevara social sammanhållning.</w:t>
      </w:r>
      <w:r w:rsidR="006E3089" w:rsidRPr="00A671FA">
        <w:t xml:space="preserve"> </w:t>
      </w:r>
    </w:p>
    <w:p w:rsidR="006D4AA5" w:rsidRPr="00A671FA" w:rsidRDefault="00614DD4" w:rsidP="006229B1">
      <w:r w:rsidRPr="00A671FA">
        <w:t xml:space="preserve">Kommissionen konstaterar att </w:t>
      </w:r>
      <w:r w:rsidR="00BA2714" w:rsidRPr="00A671FA">
        <w:t>ökad internationell ekonomisk integration, snabbare teknologisk utveckling, demografiskt åldrande i kombination med relativt låga sysselsättningsgrader och hög arbetslöshet riskerar att urholka hållbarheten i de offentliga trygghetssystemen och öka segmenteringen på unionen</w:t>
      </w:r>
      <w:r w:rsidR="0097384C" w:rsidRPr="00A671FA">
        <w:t>s arbetsmarknader</w:t>
      </w:r>
      <w:r w:rsidR="00BA2714" w:rsidRPr="00A671FA">
        <w:t xml:space="preserve">. </w:t>
      </w:r>
      <w:r w:rsidRPr="00A671FA">
        <w:t xml:space="preserve"> </w:t>
      </w:r>
      <w:r w:rsidR="00BA2714" w:rsidRPr="00A671FA">
        <w:t xml:space="preserve">För att möta utmaningarna krävs det, menar kommissionen, </w:t>
      </w:r>
      <w:r w:rsidR="00FC604A" w:rsidRPr="00A671FA">
        <w:t xml:space="preserve">nya former av flexibilitet och trygghet för att </w:t>
      </w:r>
      <w:r w:rsidR="00BA2714" w:rsidRPr="00A671FA">
        <w:t xml:space="preserve">främja individers anställningsbarhet och rörlighet på arbetsmarknaden. Individer och företag måste, med andra ord, rustas för att möta kraven på ökad omställnings- och anpassningsbarhet. </w:t>
      </w:r>
    </w:p>
    <w:p w:rsidR="00BA2714" w:rsidRPr="00A671FA" w:rsidRDefault="00BA2714" w:rsidP="00756599"/>
    <w:p w:rsidR="00BA2714" w:rsidRPr="00A671FA" w:rsidRDefault="00723FFC" w:rsidP="00756599">
      <w:r w:rsidRPr="00A671FA">
        <w:t>– En integrerad</w:t>
      </w:r>
      <w:r w:rsidR="006A1216" w:rsidRPr="00A671FA">
        <w:t xml:space="preserve"> flexicurity-</w:t>
      </w:r>
      <w:r w:rsidRPr="00A671FA">
        <w:t>ansats</w:t>
      </w:r>
    </w:p>
    <w:p w:rsidR="00BA2714" w:rsidRPr="00A671FA" w:rsidRDefault="00BA2714" w:rsidP="00756599"/>
    <w:p w:rsidR="006A1216" w:rsidRPr="00A671FA" w:rsidRDefault="006A1216" w:rsidP="006A1216">
      <w:pPr>
        <w:spacing w:line="240" w:lineRule="auto"/>
        <w:rPr>
          <w:rFonts w:ascii="Arial" w:hAnsi="Arial" w:cs="Arial"/>
          <w:sz w:val="20"/>
        </w:rPr>
      </w:pPr>
      <w:r w:rsidRPr="00A671FA">
        <w:rPr>
          <w:rFonts w:cs="Arial"/>
          <w:szCs w:val="24"/>
        </w:rPr>
        <w:t>Mot bakgrund av de utmaningar EU står inför beskrivs i meddelandet flexicuritypolitikens fyra viktigaste delar</w:t>
      </w:r>
      <w:r w:rsidR="0097384C" w:rsidRPr="00A671FA">
        <w:rPr>
          <w:rFonts w:cs="Arial"/>
          <w:szCs w:val="24"/>
        </w:rPr>
        <w:t>:</w:t>
      </w:r>
      <w:r w:rsidRPr="00A671FA">
        <w:rPr>
          <w:rFonts w:cs="Arial"/>
          <w:szCs w:val="24"/>
        </w:rPr>
        <w:t xml:space="preserve"> Flexibla </w:t>
      </w:r>
      <w:r w:rsidRPr="00A671FA">
        <w:rPr>
          <w:rFonts w:cs="Arial"/>
          <w:bCs/>
          <w:iCs/>
          <w:szCs w:val="24"/>
        </w:rPr>
        <w:t xml:space="preserve">och säkra anställningsavtal, aktiva arbetsmarknadsåtgärder, omfattande strategier för livslångt lärande och moderna sociala trygghetssystem. </w:t>
      </w:r>
    </w:p>
    <w:p w:rsidR="00BA2714" w:rsidRPr="00A671FA" w:rsidRDefault="00BA2714" w:rsidP="00756599"/>
    <w:p w:rsidR="006A1216" w:rsidRPr="00A671FA" w:rsidRDefault="008336F4" w:rsidP="00756599">
      <w:r w:rsidRPr="00A671FA">
        <w:t>Flexibel och säker arbetsrätt behövs menar kommissionen då allt för rigid arbetsrätt minskar möjligheten till sysselsättning för svaga grupper i samhället. En allt för flexibel arbetsrätt kan dock medföra lägre investering i arbetstagares humankapital och</w:t>
      </w:r>
      <w:r w:rsidR="0097384C" w:rsidRPr="00A671FA">
        <w:t xml:space="preserve"> därigenom</w:t>
      </w:r>
      <w:r w:rsidRPr="00A671FA">
        <w:t xml:space="preserve"> försämra produktiviteten. </w:t>
      </w:r>
    </w:p>
    <w:p w:rsidR="008336F4" w:rsidRPr="00A671FA" w:rsidRDefault="008336F4" w:rsidP="00756599"/>
    <w:p w:rsidR="008336F4" w:rsidRPr="00A671FA" w:rsidRDefault="008336F4" w:rsidP="00756599">
      <w:r w:rsidRPr="00A671FA">
        <w:t xml:space="preserve">Omfattande strategier för livslångt lärande är avgörande för flexicurity då de möjliggör ett stärkande av individers anställningsbarhet samtidigt som de bidrar till företagens nödvändiga kompetensförsörjning. </w:t>
      </w:r>
    </w:p>
    <w:p w:rsidR="008336F4" w:rsidRPr="00A671FA" w:rsidRDefault="008336F4" w:rsidP="00756599"/>
    <w:p w:rsidR="003F2A03" w:rsidRPr="00A671FA" w:rsidRDefault="003F2A03" w:rsidP="00756599">
      <w:r w:rsidRPr="00A671FA">
        <w:t xml:space="preserve">Aktiva arbetsmarknadsåtgärder kombinerat med moderna sociala trygghetssystem underlättar rörlighet och omställning på arbetsmarknaden </w:t>
      </w:r>
      <w:r w:rsidR="00E0150F" w:rsidRPr="00A671FA">
        <w:t>och</w:t>
      </w:r>
      <w:r w:rsidRPr="00A671FA">
        <w:t xml:space="preserve"> ger individer trygghet i tider av arbetslöshet eller annan frånvaro från arbetsmarknaden. </w:t>
      </w:r>
    </w:p>
    <w:p w:rsidR="003F2A03" w:rsidRPr="00A671FA" w:rsidRDefault="003F2A03" w:rsidP="00756599"/>
    <w:p w:rsidR="00E650E9" w:rsidRPr="00A671FA" w:rsidRDefault="00E650E9" w:rsidP="00756599">
      <w:r w:rsidRPr="00A671FA">
        <w:t>– Flexicuritypolitik: Medlemsstaters erfarenheter</w:t>
      </w:r>
    </w:p>
    <w:p w:rsidR="003F2A03" w:rsidRPr="00A671FA" w:rsidRDefault="003F2A03" w:rsidP="00756599"/>
    <w:p w:rsidR="00E650E9" w:rsidRPr="00A671FA" w:rsidRDefault="00A64AFA" w:rsidP="00756599">
      <w:r w:rsidRPr="00A671FA">
        <w:t xml:space="preserve">Kommissionen, som stödjer sig på OECD-data, noterar att flexicurity-anpassade länder karakteriseras av: högt livslångt lärande, höga utgifter för arbetsmarknadspolitik, generösa arbetslöshetsersättning med både rättigheter och skyldigheter, trygghetssystem med bred täckning och hög facklig </w:t>
      </w:r>
      <w:r w:rsidR="005A7B51" w:rsidRPr="00A671FA">
        <w:t>anslutning</w:t>
      </w:r>
      <w:r w:rsidR="0097384C" w:rsidRPr="00A671FA">
        <w:t>sgrad</w:t>
      </w:r>
      <w:r w:rsidRPr="00A671FA">
        <w:t xml:space="preserve">. </w:t>
      </w:r>
    </w:p>
    <w:p w:rsidR="00A64AFA" w:rsidRPr="00A671FA" w:rsidRDefault="00A64AFA" w:rsidP="00756599"/>
    <w:p w:rsidR="00A64AFA" w:rsidRPr="00A671FA" w:rsidRDefault="00A64AFA" w:rsidP="00756599">
      <w:r w:rsidRPr="00A671FA">
        <w:t xml:space="preserve">Kommissionen noterar vidare att flexicurity åtgärder inte kan genomföras i ett vakuum. Makroekonomisk stabilitet, </w:t>
      </w:r>
      <w:r w:rsidRPr="00A671FA">
        <w:rPr>
          <w:rFonts w:cs="Arial"/>
          <w:bCs/>
          <w:color w:val="000000"/>
        </w:rPr>
        <w:t>mikroekonomisk effektivitet</w:t>
      </w:r>
      <w:r w:rsidRPr="00A671FA">
        <w:t xml:space="preserve">, öppna konkurrenskraftiga produkt, tjänste och kapital marknader är nödvändiga förutsättningar för att flexicurity-åtgärder ska kunna genomföras. I detta sammanhang är också en välfungerande socialpolitik viktigt. </w:t>
      </w:r>
    </w:p>
    <w:p w:rsidR="00A64AFA" w:rsidRPr="00A671FA" w:rsidRDefault="00A64AFA" w:rsidP="00756599"/>
    <w:p w:rsidR="00A64AFA" w:rsidRPr="00A671FA" w:rsidRDefault="00A64AFA" w:rsidP="00756599">
      <w:r w:rsidRPr="00A671FA">
        <w:t>– Flexicurity och den sociala dialogen</w:t>
      </w:r>
    </w:p>
    <w:p w:rsidR="00A64AFA" w:rsidRPr="00A671FA" w:rsidRDefault="00A64AFA" w:rsidP="00756599"/>
    <w:p w:rsidR="00A64AFA" w:rsidRPr="00A671FA" w:rsidRDefault="0005745B" w:rsidP="00756599">
      <w:r w:rsidRPr="00A671FA">
        <w:t xml:space="preserve">För att flexicurity-metoden </w:t>
      </w:r>
      <w:r w:rsidR="006078CC" w:rsidRPr="00A671FA">
        <w:t>ska</w:t>
      </w:r>
      <w:r w:rsidRPr="00A671FA">
        <w:t xml:space="preserve"> få genomslag är det nödvändigt att i</w:t>
      </w:r>
      <w:r w:rsidR="00A64AFA" w:rsidRPr="00A671FA">
        <w:t xml:space="preserve">nvolvera </w:t>
      </w:r>
      <w:r w:rsidR="005A7B51" w:rsidRPr="00A671FA">
        <w:t xml:space="preserve">arbetsmarknadens parter </w:t>
      </w:r>
      <w:r w:rsidR="006404AD" w:rsidRPr="00A671FA">
        <w:t xml:space="preserve">. Kommissionen uppmuntrar </w:t>
      </w:r>
      <w:r w:rsidR="00533B3D" w:rsidRPr="00A671FA">
        <w:t xml:space="preserve">därför </w:t>
      </w:r>
      <w:r w:rsidR="006404AD" w:rsidRPr="00A671FA">
        <w:t xml:space="preserve">medlemsstaterna att samråda med </w:t>
      </w:r>
      <w:r w:rsidR="005A7B51" w:rsidRPr="00A671FA">
        <w:t xml:space="preserve">arbetsmarknadens parter </w:t>
      </w:r>
      <w:r w:rsidR="006404AD" w:rsidRPr="00A671FA">
        <w:t xml:space="preserve">i syfte att </w:t>
      </w:r>
      <w:r w:rsidRPr="00A671FA">
        <w:t xml:space="preserve">ta </w:t>
      </w:r>
      <w:r w:rsidR="006404AD" w:rsidRPr="00A671FA">
        <w:t>fram nationell</w:t>
      </w:r>
      <w:r w:rsidR="00261AEF" w:rsidRPr="00A671FA">
        <w:t>a</w:t>
      </w:r>
      <w:r w:rsidR="006404AD" w:rsidRPr="00A671FA">
        <w:t xml:space="preserve"> flexicurity strategi</w:t>
      </w:r>
      <w:r w:rsidR="00261AEF" w:rsidRPr="00A671FA">
        <w:t>er</w:t>
      </w:r>
      <w:r w:rsidR="006404AD" w:rsidRPr="00A671FA">
        <w:t xml:space="preserve">. </w:t>
      </w:r>
    </w:p>
    <w:p w:rsidR="00A64AFA" w:rsidRPr="00A671FA" w:rsidRDefault="00A64AFA" w:rsidP="00756599"/>
    <w:p w:rsidR="006404AD" w:rsidRPr="00A671FA" w:rsidRDefault="006404AD" w:rsidP="00756599">
      <w:r w:rsidRPr="00A671FA">
        <w:t>– Utvecklandet av gemensamma flexicurity-principer</w:t>
      </w:r>
    </w:p>
    <w:p w:rsidR="006404AD" w:rsidRPr="00A671FA" w:rsidRDefault="006404AD" w:rsidP="00756599"/>
    <w:p w:rsidR="004F5FAA" w:rsidRPr="00A671FA" w:rsidRDefault="0097384C" w:rsidP="00756599">
      <w:pPr>
        <w:rPr>
          <w:bCs/>
          <w:iCs/>
        </w:rPr>
      </w:pPr>
      <w:r w:rsidRPr="00A671FA">
        <w:t>K</w:t>
      </w:r>
      <w:r w:rsidR="004F5FAA" w:rsidRPr="00A671FA">
        <w:t xml:space="preserve">ommissionen </w:t>
      </w:r>
      <w:r w:rsidRPr="00A671FA">
        <w:t xml:space="preserve">föreslår </w:t>
      </w:r>
      <w:r w:rsidR="004F5FAA" w:rsidRPr="00A671FA">
        <w:t xml:space="preserve">åtta gemensamma principer för flexicurity som ska </w:t>
      </w:r>
      <w:r w:rsidR="00DF6A1B" w:rsidRPr="00A671FA">
        <w:t xml:space="preserve">ligga till grund för </w:t>
      </w:r>
      <w:r w:rsidR="004F5FAA" w:rsidRPr="00A671FA">
        <w:t>medlemsstaternas antagande av gemensam principer. De</w:t>
      </w:r>
      <w:r w:rsidRPr="00A671FA">
        <w:t>ssa</w:t>
      </w:r>
      <w:r w:rsidR="004F5FAA" w:rsidRPr="00A671FA">
        <w:t xml:space="preserve"> </w:t>
      </w:r>
      <w:r w:rsidR="006078CC" w:rsidRPr="00A671FA">
        <w:t>ska</w:t>
      </w:r>
      <w:r w:rsidR="005A7B51" w:rsidRPr="00A671FA">
        <w:t xml:space="preserve"> </w:t>
      </w:r>
      <w:r w:rsidR="00674805" w:rsidRPr="00A671FA">
        <w:t>utgöra</w:t>
      </w:r>
      <w:r w:rsidR="00F16FEF" w:rsidRPr="00A671FA">
        <w:t xml:space="preserve"> </w:t>
      </w:r>
      <w:r w:rsidR="005A7B51" w:rsidRPr="00A671FA">
        <w:t xml:space="preserve">referenser för </w:t>
      </w:r>
      <w:r w:rsidR="00EF5DC7" w:rsidRPr="00A671FA">
        <w:t>de</w:t>
      </w:r>
      <w:r w:rsidR="00674805" w:rsidRPr="00A671FA">
        <w:t>n</w:t>
      </w:r>
      <w:r w:rsidR="00EF5DC7" w:rsidRPr="00A671FA">
        <w:t xml:space="preserve"> </w:t>
      </w:r>
      <w:r w:rsidR="00674805" w:rsidRPr="00A671FA">
        <w:t>flexicuritystrategi</w:t>
      </w:r>
      <w:r w:rsidR="00EF5DC7" w:rsidRPr="00A671FA">
        <w:t xml:space="preserve"> som </w:t>
      </w:r>
      <w:r w:rsidR="00674805" w:rsidRPr="00A671FA">
        <w:t xml:space="preserve">varje </w:t>
      </w:r>
      <w:r w:rsidR="00EF5DC7" w:rsidRPr="00A671FA">
        <w:t xml:space="preserve">medlemsstat </w:t>
      </w:r>
      <w:r w:rsidR="00674805" w:rsidRPr="00A671FA">
        <w:t xml:space="preserve">själv </w:t>
      </w:r>
      <w:r w:rsidR="002A14A6" w:rsidRPr="00A671FA">
        <w:t>ska ta</w:t>
      </w:r>
      <w:r w:rsidR="00C521E3" w:rsidRPr="00A671FA">
        <w:t xml:space="preserve"> fram </w:t>
      </w:r>
      <w:r w:rsidR="00F16FEF" w:rsidRPr="00A671FA">
        <w:t>med utgångspunkt i sina särskilda förutsättningar</w:t>
      </w:r>
      <w:r w:rsidR="00E84E70" w:rsidRPr="00A671FA">
        <w:t>.</w:t>
      </w:r>
      <w:r w:rsidR="004F5FAA" w:rsidRPr="00A671FA">
        <w:t xml:space="preserve"> </w:t>
      </w:r>
    </w:p>
    <w:p w:rsidR="00533B3D" w:rsidRPr="00A671FA" w:rsidRDefault="00533B3D" w:rsidP="004F5FAA">
      <w:pPr>
        <w:spacing w:line="240" w:lineRule="auto"/>
        <w:rPr>
          <w:szCs w:val="19"/>
        </w:rPr>
      </w:pPr>
    </w:p>
    <w:p w:rsidR="004F5FAA" w:rsidRPr="00A671FA" w:rsidRDefault="004F5FAA" w:rsidP="00756599">
      <w:r w:rsidRPr="00A671FA">
        <w:t>– Flexicurity</w:t>
      </w:r>
      <w:r w:rsidR="00611515" w:rsidRPr="00A671FA">
        <w:t>-</w:t>
      </w:r>
      <w:r w:rsidRPr="00A671FA">
        <w:t>handlingsalternativ</w:t>
      </w:r>
    </w:p>
    <w:p w:rsidR="004F5FAA" w:rsidRPr="00A671FA" w:rsidRDefault="004F5FAA" w:rsidP="00756599"/>
    <w:p w:rsidR="004F5FAA" w:rsidRPr="00A671FA" w:rsidRDefault="004F5FAA" w:rsidP="00756599">
      <w:r w:rsidRPr="00A671FA">
        <w:t xml:space="preserve">Samtidigt som kommissionen understryker att flexicurity inte handlar om en arbetsmarknadsmodell eller en strategi anser </w:t>
      </w:r>
      <w:r w:rsidR="00261AEF" w:rsidRPr="00A671FA">
        <w:t xml:space="preserve">man </w:t>
      </w:r>
      <w:r w:rsidRPr="00A671FA">
        <w:t xml:space="preserve">att olika handlingsalternativ kan vara nödvändiga för att ge medlemsstater </w:t>
      </w:r>
      <w:r w:rsidR="00261AEF" w:rsidRPr="00A671FA">
        <w:t xml:space="preserve">uppslag </w:t>
      </w:r>
      <w:r w:rsidRPr="00A671FA">
        <w:t xml:space="preserve">på hur de bör gå tillväga för att skapa en bättre balans mellan trygghet och flexibilitet. </w:t>
      </w:r>
      <w:r w:rsidRPr="00A671FA">
        <w:rPr>
          <w:bCs/>
          <w:iCs/>
        </w:rPr>
        <w:t xml:space="preserve">I meddelandets bilaga föreslår således kommissionen ett antal handlingsalternativ </w:t>
      </w:r>
      <w:r w:rsidRPr="00A671FA">
        <w:t xml:space="preserve">som medlemsstaterna kan följa </w:t>
      </w:r>
      <w:r w:rsidR="00261AEF" w:rsidRPr="00A671FA">
        <w:t xml:space="preserve">i </w:t>
      </w:r>
      <w:r w:rsidRPr="00A671FA">
        <w:t>utarbeta</w:t>
      </w:r>
      <w:r w:rsidR="00261AEF" w:rsidRPr="00A671FA">
        <w:t>ndet</w:t>
      </w:r>
      <w:r w:rsidRPr="00A671FA">
        <w:t xml:space="preserve"> </w:t>
      </w:r>
      <w:r w:rsidR="00261AEF" w:rsidRPr="00A671FA">
        <w:t xml:space="preserve">av </w:t>
      </w:r>
      <w:r w:rsidRPr="00A671FA">
        <w:t xml:space="preserve">egna flexicuritystrategier. </w:t>
      </w:r>
    </w:p>
    <w:p w:rsidR="00B41E93" w:rsidRPr="00A671FA" w:rsidRDefault="00B41E93" w:rsidP="00756599"/>
    <w:p w:rsidR="00CB3E37" w:rsidRPr="00A671FA" w:rsidRDefault="00CB3E37" w:rsidP="00756599">
      <w:r w:rsidRPr="00A671FA">
        <w:t>– Flexicuritypolitikens finansiella sida</w:t>
      </w:r>
    </w:p>
    <w:p w:rsidR="00587446" w:rsidRPr="00A671FA" w:rsidRDefault="00587446" w:rsidP="00756599"/>
    <w:p w:rsidR="00587446" w:rsidRPr="00A671FA" w:rsidRDefault="00587446" w:rsidP="00756599">
      <w:r w:rsidRPr="00A671FA">
        <w:t xml:space="preserve">Flexicurity-strategiernas finansiella sida beaktas också i meddelandet. </w:t>
      </w:r>
      <w:r w:rsidR="00CB3E37" w:rsidRPr="00A671FA">
        <w:t>Kommissionen</w:t>
      </w:r>
      <w:r w:rsidRPr="00A671FA">
        <w:t xml:space="preserve"> noterar att flexicurity-åtgärder ofta, men inte alltid, är förenade med kostnader. Utbildning, arbetsmarknadsåtgärder etc. kostar men de ger också utdelning i </w:t>
      </w:r>
      <w:r w:rsidR="00CB3E37" w:rsidRPr="00A671FA">
        <w:t>form av tex. lägre arbetslöshet och förbättrad rörlighet.</w:t>
      </w:r>
      <w:r w:rsidRPr="00A671FA">
        <w:t xml:space="preserve"> </w:t>
      </w:r>
      <w:r w:rsidR="00CB3E37" w:rsidRPr="00A671FA">
        <w:t>Samtidigt understryker kommissionen</w:t>
      </w:r>
      <w:r w:rsidRPr="00A671FA">
        <w:t xml:space="preserve"> vikten av kostnadseffektiva insatser. </w:t>
      </w:r>
    </w:p>
    <w:p w:rsidR="00587446" w:rsidRPr="00A671FA" w:rsidRDefault="00587446" w:rsidP="00756599"/>
    <w:p w:rsidR="00587446" w:rsidRPr="00A671FA" w:rsidRDefault="00587446" w:rsidP="00756599">
      <w:r w:rsidRPr="00A671FA">
        <w:t xml:space="preserve">Finansiering av flexicurity-åtgärder rör inte enbart </w:t>
      </w:r>
      <w:r w:rsidR="00261AEF" w:rsidRPr="00A671FA">
        <w:t xml:space="preserve">medlemsstaterna </w:t>
      </w:r>
      <w:r w:rsidRPr="00A671FA">
        <w:t xml:space="preserve">utan också gemenskapen. Genom strukturfonderna kan EU främja åtgärder som stärker flexicurity inom unionen skriver </w:t>
      </w:r>
      <w:r w:rsidR="00CB3E37" w:rsidRPr="00A671FA">
        <w:t>kommissionen</w:t>
      </w:r>
      <w:r w:rsidRPr="00A671FA">
        <w:t xml:space="preserve">. Globaliseringsfonden kan </w:t>
      </w:r>
      <w:r w:rsidR="00CB3E37" w:rsidRPr="00A671FA">
        <w:t xml:space="preserve">i detta sammanhang också bidra till att förbättra omställningsmöjligheter på arbetsmarknaden. </w:t>
      </w:r>
    </w:p>
    <w:p w:rsidR="00587446" w:rsidRPr="00A671FA" w:rsidRDefault="00587446" w:rsidP="00756599"/>
    <w:p w:rsidR="00CB3E37" w:rsidRPr="00A671FA" w:rsidRDefault="00CB3E37" w:rsidP="00756599">
      <w:r w:rsidRPr="00A671FA">
        <w:t>– Nästa steg: Flexicurity och Lissabonstrategin för tillväxt och jobb</w:t>
      </w:r>
    </w:p>
    <w:p w:rsidR="00CB3E37" w:rsidRPr="00A671FA" w:rsidRDefault="00CB3E37" w:rsidP="00756599"/>
    <w:p w:rsidR="00CB3E37" w:rsidRPr="00A671FA" w:rsidRDefault="00CB3E37" w:rsidP="00756599">
      <w:r w:rsidRPr="00A671FA">
        <w:t xml:space="preserve">Avslutningsvis informerar kommissionen om att meddelandet syftar till att skapa en diskussion inom EU inför Europeiska rådets antagande av gemensamma flexicurity-principer vid utgången av 2007. </w:t>
      </w:r>
    </w:p>
    <w:p w:rsidR="00CB3E37" w:rsidRPr="00A671FA" w:rsidRDefault="00CB3E37" w:rsidP="00756599"/>
    <w:p w:rsidR="00587446" w:rsidRPr="00A671FA" w:rsidRDefault="00CB3E37" w:rsidP="00756599">
      <w:r w:rsidRPr="00A671FA">
        <w:t>Kommissionen</w:t>
      </w:r>
      <w:r w:rsidR="00587446" w:rsidRPr="00A671FA">
        <w:t xml:space="preserve"> välkomnar också ett större fokus på flexicurity i Lissabon-rapporteringen under nästa treårs</w:t>
      </w:r>
      <w:r w:rsidR="0055544E" w:rsidRPr="00A671FA">
        <w:t xml:space="preserve">cykel. Kommissionen </w:t>
      </w:r>
      <w:r w:rsidR="002B6252" w:rsidRPr="00A671FA">
        <w:t>informerar också i detta</w:t>
      </w:r>
      <w:r w:rsidR="0055544E" w:rsidRPr="00A671FA">
        <w:t xml:space="preserve"> sammanhang </w:t>
      </w:r>
      <w:r w:rsidR="002B6252" w:rsidRPr="00A671FA">
        <w:t>att den kommer att</w:t>
      </w:r>
      <w:r w:rsidR="0055544E" w:rsidRPr="00A671FA">
        <w:t xml:space="preserve"> presentera ett starkare och mer fokuserat program för ömsesidigt lärande i syfte att främja utbyte av erfarenheter på flexicurityområdet. </w:t>
      </w:r>
    </w:p>
    <w:p w:rsidR="0055544E" w:rsidRPr="00A671FA" w:rsidRDefault="0055544E" w:rsidP="00756599"/>
    <w:p w:rsidR="00611515" w:rsidRPr="00A671FA" w:rsidRDefault="00611515" w:rsidP="00756599">
      <w:r w:rsidRPr="00A671FA">
        <w:t>Bilagor</w:t>
      </w:r>
    </w:p>
    <w:p w:rsidR="00611515" w:rsidRPr="00A671FA" w:rsidRDefault="00611515" w:rsidP="00756599"/>
    <w:p w:rsidR="00611515" w:rsidRPr="00A671FA" w:rsidRDefault="0055544E" w:rsidP="00756599">
      <w:r w:rsidRPr="00A671FA">
        <w:t>Bilaga 1</w:t>
      </w:r>
      <w:r w:rsidR="00611515" w:rsidRPr="00A671FA">
        <w:t>: Flexicurity-handlingsalternativ</w:t>
      </w:r>
    </w:p>
    <w:p w:rsidR="0055544E" w:rsidRPr="00A671FA" w:rsidRDefault="0055544E" w:rsidP="00756599">
      <w:r w:rsidRPr="00A671FA">
        <w:t>Bilaga 2</w:t>
      </w:r>
      <w:r w:rsidR="001E67E2" w:rsidRPr="00A671FA">
        <w:t>: Flexicurity-exempel</w:t>
      </w:r>
    </w:p>
    <w:p w:rsidR="0055544E" w:rsidRPr="00A671FA" w:rsidRDefault="0055544E" w:rsidP="00756599">
      <w:r w:rsidRPr="00A671FA">
        <w:t>Bilaga 3</w:t>
      </w:r>
      <w:r w:rsidR="001E67E2" w:rsidRPr="00A671FA">
        <w:t>: Bakgrundsindikatorer som är relevanta för flexicurity</w:t>
      </w:r>
    </w:p>
    <w:p w:rsidR="0055544E" w:rsidRPr="00A671FA" w:rsidRDefault="0055544E" w:rsidP="00756599"/>
    <w:p w:rsidR="006D4AA5" w:rsidRPr="00A671FA" w:rsidRDefault="006D4AA5">
      <w:pPr>
        <w:pStyle w:val="Rubrik2"/>
      </w:pPr>
      <w:r w:rsidRPr="00A671FA">
        <w:t>Gällande svenska regler och förslagets effekt på dessa</w:t>
      </w:r>
    </w:p>
    <w:p w:rsidR="00C00810" w:rsidRPr="00A671FA" w:rsidRDefault="00C00810" w:rsidP="00756599">
      <w:r w:rsidRPr="00A671FA">
        <w:t xml:space="preserve">Inga konsekvenser för svensk lagstiftning. </w:t>
      </w:r>
    </w:p>
    <w:p w:rsidR="00C00810" w:rsidRPr="00A671FA" w:rsidRDefault="00C00810" w:rsidP="00756599"/>
    <w:p w:rsidR="006D4AA5" w:rsidRPr="00A671FA" w:rsidRDefault="006D4AA5" w:rsidP="006078CC">
      <w:pPr>
        <w:pStyle w:val="Rubrik2"/>
        <w:ind w:left="0" w:firstLine="0"/>
      </w:pPr>
      <w:r w:rsidRPr="00A671FA">
        <w:t>Budgetära konsekvenser</w:t>
      </w:r>
    </w:p>
    <w:p w:rsidR="00C00810" w:rsidRPr="00A671FA" w:rsidRDefault="00C00810" w:rsidP="00756599">
      <w:r w:rsidRPr="00A671FA">
        <w:t xml:space="preserve">Inga direkta eller explicita budgetära konsekvenser. </w:t>
      </w:r>
    </w:p>
    <w:p w:rsidR="00C00810" w:rsidRPr="00A671FA" w:rsidRDefault="00C00810" w:rsidP="00756599"/>
    <w:p w:rsidR="006D4AA5" w:rsidRPr="00A671FA" w:rsidRDefault="006D4AA5">
      <w:pPr>
        <w:pStyle w:val="Rubrik1"/>
      </w:pPr>
      <w:r w:rsidRPr="00A671FA">
        <w:t>Ståndpunkter</w:t>
      </w:r>
    </w:p>
    <w:p w:rsidR="006D4AA5" w:rsidRPr="00A671FA" w:rsidRDefault="006D4AA5">
      <w:pPr>
        <w:pStyle w:val="Rubrik2"/>
      </w:pPr>
      <w:r w:rsidRPr="00A671FA">
        <w:t>Svensk ståndpunkt</w:t>
      </w:r>
    </w:p>
    <w:p w:rsidR="006078CC" w:rsidRPr="00A671FA" w:rsidRDefault="006078CC" w:rsidP="00AB39A7">
      <w:pPr>
        <w:rPr>
          <w:szCs w:val="19"/>
        </w:rPr>
      </w:pPr>
    </w:p>
    <w:p w:rsidR="006078CC" w:rsidRPr="00A671FA" w:rsidRDefault="006078CC" w:rsidP="006078CC">
      <w:pPr>
        <w:autoSpaceDE w:val="0"/>
        <w:autoSpaceDN w:val="0"/>
        <w:adjustRightInd w:val="0"/>
        <w:spacing w:before="0" w:line="240" w:lineRule="atLeast"/>
        <w:rPr>
          <w:color w:val="000000"/>
          <w:szCs w:val="19"/>
          <w:lang w:eastAsia="en-US"/>
        </w:rPr>
      </w:pPr>
      <w:r w:rsidRPr="00A671FA">
        <w:rPr>
          <w:color w:val="000000"/>
          <w:szCs w:val="19"/>
          <w:lang w:eastAsia="en-US"/>
        </w:rPr>
        <w:t xml:space="preserve">Regeringen välkomnar kommissionens meddelande om flexicurity då det kan bidra till en fortsatt diskussion om begreppet </w:t>
      </w:r>
      <w:r w:rsidR="004410CA" w:rsidRPr="00A671FA">
        <w:rPr>
          <w:color w:val="000000"/>
          <w:szCs w:val="19"/>
          <w:lang w:eastAsia="en-US"/>
        </w:rPr>
        <w:t xml:space="preserve">samt </w:t>
      </w:r>
      <w:r w:rsidRPr="00A671FA">
        <w:rPr>
          <w:color w:val="000000"/>
          <w:szCs w:val="19"/>
          <w:lang w:eastAsia="en-US"/>
        </w:rPr>
        <w:t>stimulera till fortsatta reformer av arbetsmarknaden och de sociala trygghetssystemen inom unionen.</w:t>
      </w:r>
    </w:p>
    <w:p w:rsidR="006078CC" w:rsidRPr="00A671FA" w:rsidRDefault="006078CC" w:rsidP="006078CC">
      <w:pPr>
        <w:autoSpaceDE w:val="0"/>
        <w:autoSpaceDN w:val="0"/>
        <w:adjustRightInd w:val="0"/>
        <w:spacing w:before="0" w:line="240" w:lineRule="atLeast"/>
        <w:rPr>
          <w:color w:val="000000"/>
          <w:szCs w:val="19"/>
          <w:lang w:eastAsia="en-US"/>
        </w:rPr>
      </w:pPr>
      <w:r w:rsidRPr="00A671FA">
        <w:rPr>
          <w:color w:val="000000"/>
          <w:szCs w:val="19"/>
          <w:lang w:eastAsia="en-US"/>
        </w:rPr>
        <w:t xml:space="preserve"> </w:t>
      </w:r>
    </w:p>
    <w:p w:rsidR="006078CC" w:rsidRPr="00A671FA" w:rsidRDefault="006078CC" w:rsidP="006078CC">
      <w:pPr>
        <w:spacing w:before="0" w:line="240" w:lineRule="atLeast"/>
        <w:rPr>
          <w:szCs w:val="19"/>
        </w:rPr>
      </w:pPr>
      <w:r w:rsidRPr="00A671FA">
        <w:rPr>
          <w:color w:val="000000"/>
          <w:szCs w:val="19"/>
          <w:lang w:eastAsia="en-US"/>
        </w:rPr>
        <w:t>Antagandet av gemensamma principer bör dock inte leda till att nya processer skapas utan bör falla inom ramen för befintliga processer. Vidare måste principerna vara breda ändamålsenliga och ta sikte på de huvudutmaningar som EU står inför; brist på tillräckliga arbetsmarknadsreformer och stort utanförskap.</w:t>
      </w:r>
    </w:p>
    <w:p w:rsidR="006D4AA5" w:rsidRPr="00A671FA" w:rsidRDefault="006D4AA5">
      <w:pPr>
        <w:pStyle w:val="Rubrik2"/>
      </w:pPr>
      <w:r w:rsidRPr="00A671FA">
        <w:t>Medlemsstaternas ståndpunkter</w:t>
      </w:r>
    </w:p>
    <w:p w:rsidR="00703058" w:rsidRPr="00A671FA" w:rsidRDefault="00703058" w:rsidP="00703058">
      <w:r w:rsidRPr="00A671FA">
        <w:t>Ännu inte kända.</w:t>
      </w:r>
    </w:p>
    <w:p w:rsidR="006D4AA5" w:rsidRPr="00A671FA" w:rsidRDefault="006D4AA5">
      <w:pPr>
        <w:pStyle w:val="Rubrik2"/>
      </w:pPr>
      <w:r w:rsidRPr="00A671FA">
        <w:t>Institutionernas ståndpunkter</w:t>
      </w:r>
    </w:p>
    <w:p w:rsidR="00703058" w:rsidRPr="00A671FA" w:rsidRDefault="00703058" w:rsidP="00703058">
      <w:r w:rsidRPr="00A671FA">
        <w:t>Ännu inte kända.</w:t>
      </w:r>
    </w:p>
    <w:p w:rsidR="006D4AA5" w:rsidRPr="00A671FA" w:rsidRDefault="006D4AA5">
      <w:pPr>
        <w:pStyle w:val="Rubrik2"/>
      </w:pPr>
      <w:r w:rsidRPr="00A671FA">
        <w:t>Remissinstansernas ståndpunkter</w:t>
      </w:r>
    </w:p>
    <w:p w:rsidR="006D4AA5" w:rsidRPr="00A671FA" w:rsidRDefault="00703058">
      <w:r w:rsidRPr="00A671FA">
        <w:t xml:space="preserve">Remiss ej genomförd. </w:t>
      </w:r>
    </w:p>
    <w:p w:rsidR="006D4AA5" w:rsidRPr="00A671FA" w:rsidRDefault="006D4AA5">
      <w:pPr>
        <w:pStyle w:val="Rubrik1"/>
      </w:pPr>
      <w:r w:rsidRPr="00A671FA">
        <w:t>Övrigt</w:t>
      </w:r>
    </w:p>
    <w:p w:rsidR="006D4AA5" w:rsidRPr="00A671FA" w:rsidRDefault="006D4AA5">
      <w:pPr>
        <w:pStyle w:val="Rubrik2"/>
      </w:pPr>
      <w:r w:rsidRPr="00A671FA">
        <w:t>Fortsatt behandling av ärendet</w:t>
      </w:r>
    </w:p>
    <w:p w:rsidR="006D4AA5" w:rsidRPr="00A671FA" w:rsidRDefault="00E84206">
      <w:r w:rsidRPr="00A671FA">
        <w:t xml:space="preserve">Meddelandet kommer att diskuteras i Sysselsättningskommittén och Kommittén för social trygghet under hösten 2007. </w:t>
      </w:r>
      <w:r w:rsidR="007C0C39" w:rsidRPr="00A671FA">
        <w:t xml:space="preserve">De båda kommittéerna kommer att presentera ett gemensamt yttrande om flexicurity som förväntas godkännas enligt nu gällande tidsplan på EPSCO-rådets möte den 5 december 2007. På rådsmötet den 5 december förväntas också EPSCO-rådet anta rådsslutsatser rörande flexicurity. Europeiska rådet förväntas den 13-14 december 2007 anta gemensamma flexicurity-principer. </w:t>
      </w:r>
    </w:p>
    <w:p w:rsidR="006D4AA5" w:rsidRPr="00A671FA" w:rsidRDefault="006D4AA5">
      <w:pPr>
        <w:pStyle w:val="Rubrik2"/>
      </w:pPr>
      <w:r w:rsidRPr="00A671FA">
        <w:t>Rättslig grund och beslutsförfarande</w:t>
      </w:r>
    </w:p>
    <w:p w:rsidR="006D4AA5" w:rsidRPr="00A671FA" w:rsidRDefault="00703058">
      <w:r w:rsidRPr="00A671FA">
        <w:t>-</w:t>
      </w:r>
    </w:p>
    <w:p w:rsidR="006D4AA5" w:rsidRPr="00A671FA" w:rsidRDefault="006D4AA5">
      <w:pPr>
        <w:pStyle w:val="Rubrik2"/>
      </w:pPr>
      <w:r w:rsidRPr="00A671FA">
        <w:t>Fackuttryck/termer</w:t>
      </w:r>
    </w:p>
    <w:p w:rsidR="006D4AA5" w:rsidRPr="00A671FA" w:rsidRDefault="00703058">
      <w:r w:rsidRPr="00A671FA">
        <w:t>-</w:t>
      </w:r>
    </w:p>
    <w:sectPr w:rsidR="006D4AA5" w:rsidRPr="00A671F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28CD" w:rsidRPr="00A671FA" w:rsidRDefault="000D28CD">
      <w:r w:rsidRPr="00A671FA">
        <w:separator/>
      </w:r>
    </w:p>
  </w:endnote>
  <w:endnote w:type="continuationSeparator" w:id="0">
    <w:p w:rsidR="000D28CD" w:rsidRPr="00A671FA" w:rsidRDefault="000D28CD">
      <w:r w:rsidRPr="00A671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99" w:rsidRPr="00A671FA" w:rsidRDefault="007565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99" w:rsidRPr="00A671FA" w:rsidRDefault="000D28CD">
    <w:pPr>
      <w:pStyle w:val="SidfotH"/>
      <w:framePr w:wrap="around"/>
    </w:pPr>
    <w:r w:rsidRPr="00A671FA">
      <w:t>2</w:t>
    </w:r>
  </w:p>
  <w:p w:rsidR="00756599" w:rsidRPr="00A671FA" w:rsidRDefault="007565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99" w:rsidRPr="00A671FA" w:rsidRDefault="000D28CD">
    <w:pPr>
      <w:pStyle w:val="SidfotH"/>
      <w:framePr w:wrap="around"/>
    </w:pPr>
    <w:r w:rsidRPr="00A671FA">
      <w:t>1</w:t>
    </w:r>
  </w:p>
  <w:p w:rsidR="00756599" w:rsidRPr="00A671FA" w:rsidRDefault="007565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28CD" w:rsidRPr="00A671FA" w:rsidRDefault="000D28CD">
      <w:r w:rsidRPr="00A671FA">
        <w:separator/>
      </w:r>
    </w:p>
  </w:footnote>
  <w:footnote w:type="continuationSeparator" w:id="0">
    <w:p w:rsidR="000D28CD" w:rsidRPr="00A671FA" w:rsidRDefault="000D28CD">
      <w:r w:rsidRPr="00A671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99" w:rsidRPr="00A671FA" w:rsidRDefault="007565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99" w:rsidRPr="00A671FA" w:rsidRDefault="00756599">
    <w:pPr>
      <w:pStyle w:val="Kantrubrik"/>
      <w:framePr w:h="1157" w:hRule="exact" w:wrap="around" w:y="738"/>
    </w:pPr>
    <w:r w:rsidRPr="00A671FA">
      <w:t>2006/07:FPM113</w:t>
    </w:r>
  </w:p>
  <w:p w:rsidR="00756599" w:rsidRPr="00A671FA" w:rsidRDefault="0075659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599" w:rsidRPr="00A671FA" w:rsidRDefault="00A671FA">
    <w:pPr>
      <w:pStyle w:val="Sidhuvud"/>
    </w:pPr>
    <w:r w:rsidRPr="00A671F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434747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6599" w:rsidRDefault="0075659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39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56599" w:rsidRDefault="00756599">
                    <w:pPr>
                      <w:pStyle w:val="Logo"/>
                    </w:pPr>
                    <w:r>
                      <w:object w:dxaOrig="840" w:dyaOrig="1545">
                        <v:shape id="_x0000_i1025" type="#_x0000_t75" style="width:42pt;height:77.15pt" filled="t">
                          <v:imagedata r:id="rId1" o:title=""/>
                        </v:shape>
                        <o:OLEObject Type="Embed" ProgID="Word.Picture.8" ShapeID="_x0000_i1025" DrawAspect="Content" ObjectID="_182745939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17508315">
    <w:abstractNumId w:val="4"/>
  </w:num>
  <w:num w:numId="2" w16cid:durableId="489903288">
    <w:abstractNumId w:val="1"/>
  </w:num>
  <w:num w:numId="3" w16cid:durableId="1571114490">
    <w:abstractNumId w:val="2"/>
  </w:num>
  <w:num w:numId="4" w16cid:durableId="781801154">
    <w:abstractNumId w:val="3"/>
  </w:num>
  <w:num w:numId="5" w16cid:durableId="267395366">
    <w:abstractNumId w:val="5"/>
  </w:num>
  <w:num w:numId="6" w16cid:durableId="1547831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8-24"/>
    <w:docVar w:name="Ar" w:val="2006/07"/>
    <w:docVar w:name="Dep" w:val="Arbetsmarknadsdepartementet"/>
    <w:docVar w:name="DepWeb" w:val="Arbetsmarknadsdepartementet"/>
    <w:docVar w:name="GDB1" w:val="KOM(2007) 359 final"/>
    <w:docVar w:name="GDB10" w:val=" "/>
    <w:docVar w:name="GDB11" w:val=" "/>
    <w:docVar w:name="GDB12" w:val=" "/>
    <w:docVar w:name="GDB13" w:val=" "/>
    <w:docVar w:name="GDB2" w:val="SEK(2007) 861"/>
    <w:docVar w:name="GDB3" w:val="SEK(2007) 862"/>
    <w:docVar w:name="GDB4" w:val=" "/>
    <w:docVar w:name="GDB5" w:val=" "/>
    <w:docVar w:name="GDB6" w:val=" "/>
    <w:docVar w:name="GDB7" w:val=" "/>
    <w:docVar w:name="GDB8" w:val=" "/>
    <w:docVar w:name="GDB9" w:val=" "/>
    <w:docVar w:name="GDT1" w:val="Communication from the Commission to the European Parliament, the Council, the European Economic and Social Committee and the Committe of the Regions - Towards Common Principles of Flexicurity: More and better jobs trhough flexibility and security"/>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359 final, SEK(2007) 861, SEK(2007) 862"/>
    <w:docVar w:name="Nr" w:val="113"/>
    <w:docVar w:name="RD_APPVERSION" w:val="3.00"/>
    <w:docVar w:name="Rub" w:val="Meddelande om Flexicurity"/>
    <w:docVar w:name="UppDat" w:val="2007-08-24"/>
    <w:docVar w:name="Utsk" w:val="Arbetsmarknadsutskottet"/>
  </w:docVars>
  <w:rsids>
    <w:rsidRoot w:val="00A671FA"/>
    <w:rsid w:val="000246EE"/>
    <w:rsid w:val="0005745B"/>
    <w:rsid w:val="000A4B3B"/>
    <w:rsid w:val="000D28CD"/>
    <w:rsid w:val="000F13E3"/>
    <w:rsid w:val="001237BF"/>
    <w:rsid w:val="001550D1"/>
    <w:rsid w:val="001C5FAE"/>
    <w:rsid w:val="001E2B9D"/>
    <w:rsid w:val="001E67E2"/>
    <w:rsid w:val="002023F4"/>
    <w:rsid w:val="002260E2"/>
    <w:rsid w:val="00236206"/>
    <w:rsid w:val="00250C57"/>
    <w:rsid w:val="00256A48"/>
    <w:rsid w:val="00261AEF"/>
    <w:rsid w:val="00271DF2"/>
    <w:rsid w:val="00281A19"/>
    <w:rsid w:val="002937B6"/>
    <w:rsid w:val="002A14A6"/>
    <w:rsid w:val="002B6252"/>
    <w:rsid w:val="002E3C45"/>
    <w:rsid w:val="003D33BE"/>
    <w:rsid w:val="003F11E6"/>
    <w:rsid w:val="003F2A03"/>
    <w:rsid w:val="004339CE"/>
    <w:rsid w:val="004410CA"/>
    <w:rsid w:val="004C545B"/>
    <w:rsid w:val="004E7AC1"/>
    <w:rsid w:val="004F5FAA"/>
    <w:rsid w:val="00516155"/>
    <w:rsid w:val="00516431"/>
    <w:rsid w:val="00533B3D"/>
    <w:rsid w:val="0055544E"/>
    <w:rsid w:val="00571E09"/>
    <w:rsid w:val="00587446"/>
    <w:rsid w:val="005A7B51"/>
    <w:rsid w:val="005B2727"/>
    <w:rsid w:val="005B4E59"/>
    <w:rsid w:val="005B56C9"/>
    <w:rsid w:val="006078CC"/>
    <w:rsid w:val="0061008B"/>
    <w:rsid w:val="00611515"/>
    <w:rsid w:val="00614DD4"/>
    <w:rsid w:val="006229B1"/>
    <w:rsid w:val="0063088C"/>
    <w:rsid w:val="006404AD"/>
    <w:rsid w:val="00662E67"/>
    <w:rsid w:val="00674805"/>
    <w:rsid w:val="00675553"/>
    <w:rsid w:val="006A1216"/>
    <w:rsid w:val="006B0138"/>
    <w:rsid w:val="006D4AA5"/>
    <w:rsid w:val="006E3089"/>
    <w:rsid w:val="00703058"/>
    <w:rsid w:val="00723FFC"/>
    <w:rsid w:val="00756599"/>
    <w:rsid w:val="007B7877"/>
    <w:rsid w:val="007C0C39"/>
    <w:rsid w:val="007F79A8"/>
    <w:rsid w:val="00805406"/>
    <w:rsid w:val="008336F4"/>
    <w:rsid w:val="00880172"/>
    <w:rsid w:val="008D5239"/>
    <w:rsid w:val="0097384C"/>
    <w:rsid w:val="00984B9B"/>
    <w:rsid w:val="009D1FB6"/>
    <w:rsid w:val="00A64AFA"/>
    <w:rsid w:val="00A671FA"/>
    <w:rsid w:val="00A73DEB"/>
    <w:rsid w:val="00AB39A7"/>
    <w:rsid w:val="00AC47D6"/>
    <w:rsid w:val="00B0702C"/>
    <w:rsid w:val="00B3776D"/>
    <w:rsid w:val="00B41E93"/>
    <w:rsid w:val="00BA2714"/>
    <w:rsid w:val="00C00810"/>
    <w:rsid w:val="00C521E3"/>
    <w:rsid w:val="00C575FD"/>
    <w:rsid w:val="00C62862"/>
    <w:rsid w:val="00CA471F"/>
    <w:rsid w:val="00CB3E37"/>
    <w:rsid w:val="00CD482B"/>
    <w:rsid w:val="00D76BCD"/>
    <w:rsid w:val="00D829A8"/>
    <w:rsid w:val="00DD22B9"/>
    <w:rsid w:val="00DF6A1B"/>
    <w:rsid w:val="00E0150F"/>
    <w:rsid w:val="00E409B3"/>
    <w:rsid w:val="00E650E9"/>
    <w:rsid w:val="00E726F9"/>
    <w:rsid w:val="00E84206"/>
    <w:rsid w:val="00E84E70"/>
    <w:rsid w:val="00E94873"/>
    <w:rsid w:val="00EF5DC7"/>
    <w:rsid w:val="00F16FEF"/>
    <w:rsid w:val="00F45ACA"/>
    <w:rsid w:val="00F96715"/>
    <w:rsid w:val="00FC604A"/>
    <w:rsid w:val="00FC7C3E"/>
    <w:rsid w:val="00FD69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C7708E-BE11-4B1D-BF2C-F2949F8E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 w:type="paragraph" w:customStyle="1" w:styleId="RKnormal">
    <w:name w:val="RKnormal"/>
    <w:basedOn w:val="Normal"/>
    <w:rsid w:val="00FD697C"/>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1004</Words>
  <Characters>7181</Characters>
  <Application>Microsoft Office Word</Application>
  <DocSecurity>4</DocSecurity>
  <Lines>184</Lines>
  <Paragraphs>71</Paragraphs>
  <ScaleCrop>false</ScaleCrop>
  <HeadingPairs>
    <vt:vector size="2" baseType="variant">
      <vt:variant>
        <vt:lpstr>Rubrik</vt:lpstr>
      </vt:variant>
      <vt:variant>
        <vt:i4>1</vt:i4>
      </vt:variant>
    </vt:vector>
  </HeadingPairs>
  <TitlesOfParts>
    <vt:vector size="1" baseType="lpstr">
      <vt:lpstr>FPM_200607__113</vt:lpstr>
    </vt:vector>
  </TitlesOfParts>
  <Company>RD-DTSL</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FPM_200607__113</dc:title>
  <dc:subject>FPM_200607__113</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2025-12-17T03:09:00Z</dcterms:created>
  <dcterms:modified xsi:type="dcterms:W3CDTF">2025-12-17T03:09:00Z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113</vt:lpwstr>
  </property>
  <property fmtid="{D5CDD505-2E9C-101B-9397-08002B2CF9AE}" pid="4" name="GDB1">
    <vt:lpwstr>KOM(2007) 359 final</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Meddelande om Flexicurity</vt:lpwstr>
  </property>
  <property fmtid="{D5CDD505-2E9C-101B-9397-08002B2CF9AE}" pid="8" name="UppDat">
    <vt:lpwstr>2007-08-24</vt:lpwstr>
  </property>
  <property fmtid="{D5CDD505-2E9C-101B-9397-08002B2CF9AE}" pid="9" name="AnkDat">
    <vt:lpwstr>2007-08-24</vt:lpwstr>
  </property>
  <property fmtid="{D5CDD505-2E9C-101B-9397-08002B2CF9AE}" pid="10" name="Utsk">
    <vt:lpwstr>Arbetsmarknadsutskottet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SEK(2007) 861</vt:lpwstr>
  </property>
  <property fmtid="{D5CDD505-2E9C-101B-9397-08002B2CF9AE}" pid="15" name="GDB3">
    <vt:lpwstr>SEK(2007) 862</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DepID">
    <vt:lpwstr>18;0;0;422</vt:lpwstr>
  </property>
  <property fmtid="{D5CDD505-2E9C-101B-9397-08002B2CF9AE}" pid="41" name="Sprak">
    <vt:lpwstr>Svenska</vt:lpwstr>
  </property>
  <property fmtid="{D5CDD505-2E9C-101B-9397-08002B2CF9AE}" pid="42" name="DokID">
    <vt:i4>80</vt:i4>
  </property>
</Properties>
</file>