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E68F0C2AC4542B1ABBDED8C08D44C18"/>
        </w:placeholder>
        <w:text/>
      </w:sdtPr>
      <w:sdtEndPr/>
      <w:sdtContent>
        <w:p w:rsidRPr="009B062B" w:rsidR="00AF30DD" w:rsidP="00E5116C" w:rsidRDefault="00AF30DD" w14:paraId="0919C14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995e3c-a107-4fa8-90ac-e4ad056a80f8"/>
        <w:id w:val="-201243237"/>
        <w:lock w:val="sdtLocked"/>
      </w:sdtPr>
      <w:sdtEndPr/>
      <w:sdtContent>
        <w:p w:rsidR="00D63465" w:rsidRDefault="00585EF9" w14:paraId="432BB0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fler åtgärder för att genom samverkan och kontroll stärka kvaliteten i folkbokföringen i syfte att motverka missbruk av folkbokföringsuppgifter i välfärdsbrottslighet, organiserad brottslighet och för att utnyttja välfärdssamhället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2AC3CC527A4D0CAD740D58830E9E26"/>
        </w:placeholder>
        <w:text/>
      </w:sdtPr>
      <w:sdtEndPr/>
      <w:sdtContent>
        <w:p w:rsidRPr="009B062B" w:rsidR="006D79C9" w:rsidP="00333E95" w:rsidRDefault="006D79C9" w14:paraId="0804D66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0061F" w:rsidP="0025517D" w:rsidRDefault="00C0061F" w14:paraId="581FBB86" w14:textId="31369030">
      <w:pPr>
        <w:pStyle w:val="Normalutanindragellerluft"/>
      </w:pPr>
      <w:r>
        <w:t>Det är av stor vikt ur ett samhällsperspektiv att stärka kontroll</w:t>
      </w:r>
      <w:r w:rsidR="00585EF9">
        <w:t>en</w:t>
      </w:r>
      <w:r>
        <w:t xml:space="preserve"> och kvalitet</w:t>
      </w:r>
      <w:r w:rsidR="00585EF9">
        <w:t>en</w:t>
      </w:r>
      <w:r>
        <w:t xml:space="preserve"> i folk</w:t>
      </w:r>
      <w:r w:rsidR="0025517D">
        <w:softHyphen/>
      </w:r>
      <w:r>
        <w:t>bokföringsverksamheten. Det är en prioriterad fråga att bryta segregationen</w:t>
      </w:r>
      <w:r w:rsidR="00585EF9">
        <w:t>,</w:t>
      </w:r>
      <w:r>
        <w:t xml:space="preserve"> bekämpa brottsligheten och ta tillbaka kontrollen över välfärden. Det är en central del att det är ordning och reda i våra register då fel får spridningseffekter i hela samhället och kan användas för att utnyttja välfärdssamhället till välfärdsbrottslighet och användas av organiserad brottslighet. Det är helt oacceptabelt – register ska inte användas för att upprätthålla ett skuggsamhälle.</w:t>
      </w:r>
    </w:p>
    <w:p w:rsidR="00C0061F" w:rsidP="00C0061F" w:rsidRDefault="00C0061F" w14:paraId="7F666653" w14:textId="4DB0FB7A">
      <w:r>
        <w:t>Den tidigare S-regeringen har redan vidtagit ett flertal åtgärder för att stärka kontrol</w:t>
      </w:r>
      <w:r w:rsidR="0025517D">
        <w:softHyphen/>
      </w:r>
      <w:r>
        <w:t>l</w:t>
      </w:r>
      <w:r w:rsidR="00585EF9">
        <w:t>en</w:t>
      </w:r>
      <w:r>
        <w:t xml:space="preserve"> och kvalitet</w:t>
      </w:r>
      <w:r w:rsidR="00585EF9">
        <w:t>en</w:t>
      </w:r>
      <w:r>
        <w:t xml:space="preserve"> i folkbokföringsverksamheten. Skatteverket har fått </w:t>
      </w:r>
      <w:r w:rsidR="00585EF9">
        <w:t xml:space="preserve">ett </w:t>
      </w:r>
      <w:r>
        <w:t>ökat anslag och möjlighet att kontrollera bosättning, ett återinförande av folkbokföringsbrott</w:t>
      </w:r>
      <w:r w:rsidR="00585EF9">
        <w:t xml:space="preserve"> har verkställts</w:t>
      </w:r>
      <w:r>
        <w:t xml:space="preserve">, flera sekretessbrytande bestämmelser för att förbättra informationsutbytet </w:t>
      </w:r>
      <w:r w:rsidR="00585EF9">
        <w:t>har</w:t>
      </w:r>
      <w:r>
        <w:t xml:space="preserve"> infört</w:t>
      </w:r>
      <w:r w:rsidR="00585EF9">
        <w:t>s,</w:t>
      </w:r>
      <w:r>
        <w:t xml:space="preserve"> liksom att myndigheter ska underrätta Skatteverket om fel i folkbokföringen. Vidare har S-regeringen infört en lag om personlig inställelse och användning av bio</w:t>
      </w:r>
      <w:r w:rsidR="0025517D">
        <w:softHyphen/>
      </w:r>
      <w:r>
        <w:t xml:space="preserve">metriska metoder för att stärka kontrollen av en persons identitet vid inflyttning till Sverige </w:t>
      </w:r>
      <w:r w:rsidR="00585EF9">
        <w:t xml:space="preserve">samt </w:t>
      </w:r>
      <w:r>
        <w:t>två lagar om samordningsnummer. Under 2021 anmäldes över 4</w:t>
      </w:r>
      <w:r w:rsidR="00585EF9">
        <w:t> </w:t>
      </w:r>
      <w:r>
        <w:t>000 personer i Sverige för folkbokföringsbrott</w:t>
      </w:r>
      <w:r w:rsidR="00585EF9">
        <w:t>,</w:t>
      </w:r>
      <w:r>
        <w:t xml:space="preserve"> vilket är en tredubbling på två år. Vid års</w:t>
      </w:r>
      <w:r w:rsidR="0025517D">
        <w:softHyphen/>
      </w:r>
      <w:r>
        <w:t>skiftet 21/22 kunde Skatteverket genom en lagändring om samordningsnummer vilande</w:t>
      </w:r>
      <w:r w:rsidR="0025517D">
        <w:softHyphen/>
      </w:r>
      <w:r>
        <w:t>förklara över 700</w:t>
      </w:r>
      <w:r w:rsidR="00585EF9">
        <w:t> </w:t>
      </w:r>
      <w:r>
        <w:t>000 nummer.</w:t>
      </w:r>
    </w:p>
    <w:p w:rsidR="00C0061F" w:rsidP="00C0061F" w:rsidRDefault="00C0061F" w14:paraId="7E67020A" w14:textId="1B97BD54">
      <w:r>
        <w:t xml:space="preserve">S-regeringen gav också Skatteverket i uppdrag att komma åt felaktig folkbokföring kopplad till organiserad brottslighet. Ett projekt bedrevs med elva andra myndigheter </w:t>
      </w:r>
      <w:r w:rsidRPr="0025517D">
        <w:rPr>
          <w:spacing w:val="-1"/>
        </w:rPr>
        <w:t>och ett antal frivilliga kommuner. Skatteverket utförde också på uppdrag av S</w:t>
      </w:r>
      <w:r w:rsidRPr="0025517D" w:rsidR="00585EF9">
        <w:rPr>
          <w:spacing w:val="-1"/>
        </w:rPr>
        <w:noBreakHyphen/>
      </w:r>
      <w:r w:rsidRPr="0025517D">
        <w:rPr>
          <w:spacing w:val="-1"/>
        </w:rPr>
        <w:t>regeringen</w:t>
      </w:r>
      <w:r>
        <w:t xml:space="preserve"> </w:t>
      </w:r>
      <w:r>
        <w:lastRenderedPageBreak/>
        <w:t>ett pilotprojekt i samverkan med åtta kommuner. Fokus i projektet var felaktig folk</w:t>
      </w:r>
      <w:r w:rsidR="0025517D">
        <w:softHyphen/>
      </w:r>
      <w:r>
        <w:t>bokföring kopplad till bland annat falsk trångboddhet, skenskrivningar och olovlig andrahandsuthyrning. Dessa båda projekt ledde till ett stort antal utredningar</w:t>
      </w:r>
      <w:r w:rsidR="00585EF9">
        <w:t>,</w:t>
      </w:r>
      <w:r>
        <w:t xml:space="preserve"> varav många resultera</w:t>
      </w:r>
      <w:r w:rsidR="00585EF9">
        <w:t>de</w:t>
      </w:r>
      <w:r>
        <w:t xml:space="preserve"> i polisanmälningar.</w:t>
      </w:r>
    </w:p>
    <w:p w:rsidR="00C0061F" w:rsidP="00C0061F" w:rsidRDefault="00C0061F" w14:paraId="5D4433E8" w14:textId="17349E34">
      <w:r>
        <w:t>I ett av uppdragen till Skatteverket ingick också att i samverkan med frivilliga kommuner hitta nya metoder för att motverka felaktig folkbokföring. Många exempel beskrevs och i rapporten finns rekommendationer om flera olika åtgärder som skapar bättre förutsättningar i detta arbete. Några av förslagen beskrivs nedan:</w:t>
      </w:r>
    </w:p>
    <w:p w:rsidR="00C0061F" w:rsidP="00C0061F" w:rsidRDefault="00C0061F" w14:paraId="2DB18BAF" w14:textId="67944F90">
      <w:r>
        <w:t xml:space="preserve">Folkbokföringen skulle kunna ges möjligheten att förelägga en juridisk person, näringsidkare eller person att lämna sådana uppgifter som behövs för kontroll och komplettering av uppgifter i folkbokföringsdatabasen, så kallat tredjemansföreläggande. </w:t>
      </w:r>
    </w:p>
    <w:p w:rsidR="00C0061F" w:rsidP="0025517D" w:rsidRDefault="00C0061F" w14:paraId="0F489663" w14:textId="77777777">
      <w:r>
        <w:t xml:space="preserve">Ett förtydligande behövs när det gäller utbetalningar i välfärdssystemen, då Skatteverket i normalfallet inte kan anmäla en misstänkt felaktig utbetalning som möjliggjorts genom en annan persons felaktiga folkbokföring, något som kommuner upplever som frustrerande. </w:t>
      </w:r>
    </w:p>
    <w:p w:rsidR="00C0061F" w:rsidP="00C0061F" w:rsidRDefault="00C0061F" w14:paraId="6EBE1753" w14:textId="5B67A4E2">
      <w:r>
        <w:t>Ett offentligt ägarregister över bostadsrätter kan ge Skatteverkets folkbokförings</w:t>
      </w:r>
      <w:r w:rsidR="0025517D">
        <w:softHyphen/>
      </w:r>
      <w:r>
        <w:t>verksamhet möjlighet att tillsammans med de uppgifter som finns i folkbokförings</w:t>
      </w:r>
      <w:r w:rsidR="0025517D">
        <w:softHyphen/>
      </w:r>
      <w:r>
        <w:t xml:space="preserve">databasen välja ut ärenden för folkbokföringskontroll, då det finns personer som äger </w:t>
      </w:r>
      <w:r w:rsidR="00585EF9">
        <w:t xml:space="preserve">en </w:t>
      </w:r>
      <w:r>
        <w:t xml:space="preserve">bostadsrätt men väljer att behålla sin hyresrätt och fortsatt vara folkbokförd på den och hyra ut olovligen. </w:t>
      </w:r>
    </w:p>
    <w:p w:rsidR="00C0061F" w:rsidP="00585EF9" w:rsidRDefault="00C0061F" w14:paraId="0D91B04F" w14:textId="322D53BC">
      <w:r>
        <w:t>Medhjälp till folkbokföringsbrott borde vara ett fristående brott med särskild straff</w:t>
      </w:r>
      <w:r w:rsidR="0025517D">
        <w:softHyphen/>
      </w:r>
      <w:r>
        <w:t xml:space="preserve">bestämmelse i folkbokföringslagen. </w:t>
      </w:r>
    </w:p>
    <w:p w:rsidRPr="00422B9E" w:rsidR="00422B9E" w:rsidP="00C0061F" w:rsidRDefault="00C0061F" w14:paraId="3CA1D761" w14:textId="0FF220C7">
      <w:r>
        <w:t>Det är sammantaget viktigt att gå vidare med att skapa bättre förutsättningar för att utveckla samverkan mellan kommuner, folkbokföringsverksamheten och andra myndig</w:t>
      </w:r>
      <w:r w:rsidR="0025517D">
        <w:softHyphen/>
      </w:r>
      <w:r>
        <w:t xml:space="preserve">heter i syfte att åstadkomma ordning och reda i folkbokföringen.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16C4C69EFF425F9B74295BEFF45F11"/>
        </w:placeholder>
      </w:sdtPr>
      <w:sdtEndPr>
        <w:rPr>
          <w:i w:val="0"/>
          <w:noProof w:val="0"/>
        </w:rPr>
      </w:sdtEndPr>
      <w:sdtContent>
        <w:p w:rsidR="00E5116C" w:rsidP="00E5116C" w:rsidRDefault="00E5116C" w14:paraId="73C728E5" w14:textId="77777777"/>
        <w:p w:rsidRPr="008E0FE2" w:rsidR="004801AC" w:rsidP="00E5116C" w:rsidRDefault="0025517D" w14:paraId="72ECBE52" w14:textId="6475242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3465" w14:paraId="40002A48" w14:textId="77777777">
        <w:trPr>
          <w:cantSplit/>
        </w:trPr>
        <w:tc>
          <w:tcPr>
            <w:tcW w:w="50" w:type="pct"/>
            <w:vAlign w:val="bottom"/>
          </w:tcPr>
          <w:p w:rsidR="00D63465" w:rsidRDefault="00585EF9" w14:paraId="56BB104F" w14:textId="77777777">
            <w:pPr>
              <w:pStyle w:val="Underskrifter"/>
            </w:pPr>
            <w:r>
              <w:t>Anna Vikström (S)</w:t>
            </w:r>
          </w:p>
        </w:tc>
        <w:tc>
          <w:tcPr>
            <w:tcW w:w="50" w:type="pct"/>
            <w:vAlign w:val="bottom"/>
          </w:tcPr>
          <w:p w:rsidR="00D63465" w:rsidRDefault="00D63465" w14:paraId="616D7A78" w14:textId="77777777">
            <w:pPr>
              <w:pStyle w:val="Underskrifter"/>
            </w:pPr>
          </w:p>
        </w:tc>
      </w:tr>
    </w:tbl>
    <w:p w:rsidR="009E29DC" w:rsidRDefault="009E29DC" w14:paraId="6EC8B4C7" w14:textId="77777777"/>
    <w:sectPr w:rsidR="009E29D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D086" w14:textId="77777777" w:rsidR="00BB2A60" w:rsidRDefault="00BB2A60" w:rsidP="000C1CAD">
      <w:pPr>
        <w:spacing w:line="240" w:lineRule="auto"/>
      </w:pPr>
      <w:r>
        <w:separator/>
      </w:r>
    </w:p>
  </w:endnote>
  <w:endnote w:type="continuationSeparator" w:id="0">
    <w:p w14:paraId="55F3F628" w14:textId="77777777" w:rsidR="00BB2A60" w:rsidRDefault="00BB2A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03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2F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0D5B" w14:textId="3E635E4B" w:rsidR="00262EA3" w:rsidRPr="00E5116C" w:rsidRDefault="00262EA3" w:rsidP="00E511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368E" w14:textId="77777777" w:rsidR="00BB2A60" w:rsidRDefault="00BB2A60" w:rsidP="000C1CAD">
      <w:pPr>
        <w:spacing w:line="240" w:lineRule="auto"/>
      </w:pPr>
      <w:r>
        <w:separator/>
      </w:r>
    </w:p>
  </w:footnote>
  <w:footnote w:type="continuationSeparator" w:id="0">
    <w:p w14:paraId="33ECAA66" w14:textId="77777777" w:rsidR="00BB2A60" w:rsidRDefault="00BB2A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29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B7F2A9" wp14:editId="70E4E1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89E30" w14:textId="2AFDC816" w:rsidR="00262EA3" w:rsidRDefault="0025517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0061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0061F">
                                <w:t>1197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B7F2A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389E30" w14:textId="2AFDC816" w:rsidR="00262EA3" w:rsidRDefault="0025517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0061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0061F">
                          <w:t>1197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8F93E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6F32" w14:textId="77777777" w:rsidR="00262EA3" w:rsidRDefault="00262EA3" w:rsidP="008563AC">
    <w:pPr>
      <w:jc w:val="right"/>
    </w:pPr>
  </w:p>
  <w:p w14:paraId="3A5695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5E71" w14:textId="77777777" w:rsidR="00262EA3" w:rsidRDefault="0025517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A94754" wp14:editId="542219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2C207E" w14:textId="2AFF3B3A" w:rsidR="00262EA3" w:rsidRDefault="0025517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11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061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061F">
          <w:t>1197</w:t>
        </w:r>
      </w:sdtContent>
    </w:sdt>
  </w:p>
  <w:p w14:paraId="56E75CF6" w14:textId="77777777" w:rsidR="00262EA3" w:rsidRPr="008227B3" w:rsidRDefault="0025517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E62562" w14:textId="7F898A8C" w:rsidR="00262EA3" w:rsidRPr="008227B3" w:rsidRDefault="0025517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116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116C">
          <w:t>:123</w:t>
        </w:r>
      </w:sdtContent>
    </w:sdt>
  </w:p>
  <w:p w14:paraId="0C34D62E" w14:textId="37243021" w:rsidR="00262EA3" w:rsidRDefault="0025517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116C">
          <w:t>av Anna Vikström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095151" w14:textId="65581D2F" w:rsidR="00262EA3" w:rsidRDefault="00C0061F" w:rsidP="00283E0F">
        <w:pPr>
          <w:pStyle w:val="FSHRub2"/>
        </w:pPr>
        <w:r>
          <w:t>Fler åtgärder för bättre folkbokföring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8169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C006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288"/>
    <w:rsid w:val="002543B3"/>
    <w:rsid w:val="00254E5A"/>
    <w:rsid w:val="0025501B"/>
    <w:rsid w:val="0025517D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5EF9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9D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A6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061F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465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16C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EF9A8B"/>
  <w15:chartTrackingRefBased/>
  <w15:docId w15:val="{F53A7BAE-1AF5-4465-9F26-059C0BDB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68F0C2AC4542B1ABBDED8C08D44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0F5AA2-43D1-4BAD-B8B6-031FC2708CD5}"/>
      </w:docPartPr>
      <w:docPartBody>
        <w:p w:rsidR="00041781" w:rsidRDefault="00092B56">
          <w:pPr>
            <w:pStyle w:val="7E68F0C2AC4542B1ABBDED8C08D44C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2AC3CC527A4D0CAD740D58830E9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676554-1783-40EB-BE87-A115BDE5F831}"/>
      </w:docPartPr>
      <w:docPartBody>
        <w:p w:rsidR="00041781" w:rsidRDefault="00092B56">
          <w:pPr>
            <w:pStyle w:val="292AC3CC527A4D0CAD740D58830E9E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16C4C69EFF425F9B74295BEFF45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FB201-9E1D-4C0C-BEE7-D5CF130F5981}"/>
      </w:docPartPr>
      <w:docPartBody>
        <w:p w:rsidR="00E32EB4" w:rsidRDefault="00E32E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56"/>
    <w:rsid w:val="00041781"/>
    <w:rsid w:val="00092B56"/>
    <w:rsid w:val="00E3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68F0C2AC4542B1ABBDED8C08D44C18">
    <w:name w:val="7E68F0C2AC4542B1ABBDED8C08D44C18"/>
  </w:style>
  <w:style w:type="paragraph" w:customStyle="1" w:styleId="292AC3CC527A4D0CAD740D58830E9E26">
    <w:name w:val="292AC3CC527A4D0CAD740D58830E9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374DA7-8DFB-44FF-BA3C-A26DA016AF29}"/>
</file>

<file path=customXml/itemProps2.xml><?xml version="1.0" encoding="utf-8"?>
<ds:datastoreItem xmlns:ds="http://schemas.openxmlformats.org/officeDocument/2006/customXml" ds:itemID="{0AA0B37E-78DE-4998-BBB0-C41F6F8A5368}"/>
</file>

<file path=customXml/itemProps3.xml><?xml version="1.0" encoding="utf-8"?>
<ds:datastoreItem xmlns:ds="http://schemas.openxmlformats.org/officeDocument/2006/customXml" ds:itemID="{FECAAE1E-5A9B-4F86-BB94-113B4D5C3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523</Words>
  <Characters>3427</Characters>
  <Application>Microsoft Office Word</Application>
  <DocSecurity>0</DocSecurity>
  <Lines>59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3935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