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8E680" w14:textId="77777777" w:rsidR="00FB32B9" w:rsidRDefault="006F23B6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2BC8E681" w14:textId="77777777" w:rsidR="00FB32B9" w:rsidRDefault="006F23B6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2BC8E682" w14:textId="77777777" w:rsidR="00FB32B9" w:rsidRDefault="006F23B6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2BC8E683" w14:textId="77777777" w:rsidR="00FB32B9" w:rsidRDefault="006F23B6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2BC8E684" w14:textId="19C870A5" w:rsidR="00FB32B9" w:rsidRDefault="006F23B6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 xml:space="preserve">Troliga A-punkter inför kommande rådsmöten som förväntas godkännas vid Coreper </w:t>
      </w:r>
      <w:r>
        <w:rPr>
          <w:rFonts w:cs="Arial"/>
          <w:sz w:val="28"/>
        </w:rPr>
        <w:t xml:space="preserve">II den 21 januari 2016 </w:t>
      </w:r>
      <w:r>
        <w:rPr>
          <w:rFonts w:cs="Arial"/>
          <w:sz w:val="28"/>
        </w:rPr>
        <w:t>vecka 3</w:t>
      </w:r>
      <w:r>
        <w:rPr>
          <w:rFonts w:cs="Arial"/>
          <w:sz w:val="28"/>
        </w:rPr>
        <w:t>.</w:t>
      </w:r>
    </w:p>
    <w:p w14:paraId="2BC8E685" w14:textId="77777777" w:rsidR="00FB32B9" w:rsidRDefault="006F23B6" w:rsidP="00FB32B9">
      <w:pPr>
        <w:pStyle w:val="Brdtext"/>
      </w:pPr>
    </w:p>
    <w:p w14:paraId="2BC8E686" w14:textId="48C8F40E" w:rsidR="00FB32B9" w:rsidRDefault="006F23B6" w:rsidP="00FB32B9">
      <w:pPr>
        <w:pStyle w:val="Brdtext"/>
      </w:pPr>
      <w:r>
        <w:t>Överlämnas för skriftligt samråd till fredag</w:t>
      </w:r>
      <w:r>
        <w:t xml:space="preserve"> den 22 januari 2016, kl. 14.00</w:t>
      </w:r>
      <w:r>
        <w:t>.</w:t>
      </w:r>
    </w:p>
    <w:p w14:paraId="2BC8E687" w14:textId="77777777" w:rsidR="00FB32B9" w:rsidRDefault="006F23B6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BC8E688" w14:textId="77777777" w:rsidR="00D957FB" w:rsidRPr="00FB32B9" w:rsidRDefault="006F23B6">
          <w:pPr>
            <w:pStyle w:val="Innehllsfrteckningsrubrik"/>
            <w:rPr>
              <w:color w:val="auto"/>
            </w:rPr>
          </w:pPr>
          <w:r w:rsidRPr="00FB32B9">
            <w:rPr>
              <w:color w:val="auto"/>
            </w:rPr>
            <w:t>Innehållsförteckning</w:t>
          </w:r>
        </w:p>
        <w:p w14:paraId="2BC8E689" w14:textId="77777777" w:rsidR="00DA7250" w:rsidRPr="00DA7250" w:rsidRDefault="006F23B6" w:rsidP="00DA7250">
          <w:pPr>
            <w:rPr>
              <w:lang w:val="en-US" w:eastAsia="ja-JP"/>
            </w:rPr>
          </w:pPr>
        </w:p>
        <w:p w14:paraId="7419B5EC" w14:textId="77777777" w:rsidR="006F23B6" w:rsidRDefault="006F23B6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41148621" w:history="1">
            <w:r w:rsidRPr="00D92A4C">
              <w:rPr>
                <w:rStyle w:val="Hyperlnk"/>
                <w:noProof/>
                <w:lang w:val="en-US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D92A4C">
              <w:rPr>
                <w:rStyle w:val="Hyperlnk"/>
                <w:noProof/>
                <w:lang w:val="en-US"/>
              </w:rPr>
              <w:t>Cases before the General Court of the European Union - Case T-705/15, Syriatel Mobile Telecom v. Council of the European Union; - Case T-708/15, Cham Holding Co. SA and Bena Properties Co. SA v. Council of the European Union; - Case T-714/15, Rami Makhlouf v. Council of the European Union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_Toc441148621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50889" w14:textId="77777777" w:rsidR="006F23B6" w:rsidRDefault="006F23B6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41148622" w:history="1">
            <w:r w:rsidRPr="00D92A4C">
              <w:rPr>
                <w:rStyle w:val="Hyperlnk"/>
                <w:noProof/>
                <w:lang w:val="en-US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D92A4C">
              <w:rPr>
                <w:rStyle w:val="Hyperlnk"/>
                <w:noProof/>
                <w:lang w:val="en-US"/>
              </w:rPr>
              <w:t>Cases before the General Court of the EU - Case T-706/15 (Ehab Makhlouf v. Council) - Case T-707/15 (Soruh SA v. Council) - Case T-710/15 (Société Drex Technologie SA v. Council) - Case T-711/15 (Razan Othman v. Council)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_Toc441148622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53587" w14:textId="77777777" w:rsidR="006F23B6" w:rsidRDefault="006F23B6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41148623" w:history="1">
            <w:r w:rsidRPr="00D92A4C">
              <w:rPr>
                <w:rStyle w:val="Hyperlnk"/>
                <w:noProof/>
                <w:lang w:val="en-US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D92A4C">
              <w:rPr>
                <w:rStyle w:val="Hyperlnk"/>
                <w:noProof/>
                <w:lang w:val="en-US"/>
              </w:rPr>
              <w:t>Case before the General Court of the EU- Case T-692/15 (HTTS Hanseatic Trade Trust &amp;amp; Shipping v. Council)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_Toc441148623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35A00" w14:textId="77777777" w:rsidR="006F23B6" w:rsidRDefault="006F23B6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41148624" w:history="1">
            <w:r w:rsidRPr="00D92A4C">
              <w:rPr>
                <w:rStyle w:val="Hyperl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D92A4C">
              <w:rPr>
                <w:rStyle w:val="Hyperlnk"/>
                <w:noProof/>
              </w:rPr>
              <w:t>Smart Borders Package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_Toc441148624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8E68E" w14:textId="77777777" w:rsidR="00D957FB" w:rsidRDefault="006F23B6">
          <w:r>
            <w:rPr>
              <w:b/>
              <w:bCs/>
              <w:noProof/>
            </w:rPr>
            <w:fldChar w:fldCharType="end"/>
          </w:r>
        </w:p>
      </w:sdtContent>
    </w:sdt>
    <w:p w14:paraId="2BC8E68F" w14:textId="77777777" w:rsidR="00D957FB" w:rsidRDefault="006F23B6">
      <w:pPr>
        <w:ind w:left="0"/>
      </w:pPr>
      <w:r>
        <w:br w:type="page"/>
      </w:r>
    </w:p>
    <w:p w14:paraId="2BC8E690" w14:textId="77777777" w:rsidR="00643D86" w:rsidRDefault="006F23B6" w:rsidP="00643D86">
      <w:pPr>
        <w:pStyle w:val="Rubrik1"/>
        <w:numPr>
          <w:ilvl w:val="0"/>
          <w:numId w:val="0"/>
        </w:numPr>
      </w:pPr>
      <w:bookmarkStart w:id="0" w:name="_Toc364854645"/>
    </w:p>
    <w:p w14:paraId="2BC8E691" w14:textId="77777777" w:rsidR="00643D86" w:rsidRPr="006F23B6" w:rsidRDefault="006F23B6" w:rsidP="00643D86">
      <w:pPr>
        <w:pStyle w:val="Rubrik1"/>
        <w:rPr>
          <w:lang w:val="en-US"/>
        </w:rPr>
      </w:pPr>
      <w:bookmarkStart w:id="1" w:name="_Toc441148621"/>
      <w:r w:rsidRPr="006F23B6">
        <w:rPr>
          <w:noProof/>
          <w:lang w:val="en-US"/>
        </w:rPr>
        <w:t>Cases before the General Court of the European Union</w:t>
      </w:r>
      <w:r w:rsidRPr="006F23B6">
        <w:rPr>
          <w:noProof/>
          <w:lang w:val="en-US"/>
        </w:rPr>
        <w:br/>
        <w:t xml:space="preserve">- Case T-705/15, Syriatel Mobile Telecom v. </w:t>
      </w:r>
      <w:r w:rsidRPr="006F23B6">
        <w:rPr>
          <w:noProof/>
          <w:lang w:val="en-US"/>
        </w:rPr>
        <w:t>Council of the European Union;</w:t>
      </w:r>
      <w:r w:rsidRPr="006F23B6">
        <w:rPr>
          <w:noProof/>
          <w:lang w:val="en-US"/>
        </w:rPr>
        <w:br/>
        <w:t>- Case T-708/15, Cham Holding Co. SA and Bena Properties Co. SA v. Council of the</w:t>
      </w:r>
      <w:r w:rsidRPr="006F23B6">
        <w:rPr>
          <w:noProof/>
          <w:lang w:val="en-US"/>
        </w:rPr>
        <w:br/>
        <w:t>European Union;</w:t>
      </w:r>
      <w:r w:rsidRPr="006F23B6">
        <w:rPr>
          <w:noProof/>
          <w:lang w:val="en-US"/>
        </w:rPr>
        <w:br/>
        <w:t>- Case T-714/15, Rami Makhlouf v. Council of the European Union</w:t>
      </w:r>
      <w:bookmarkEnd w:id="1"/>
    </w:p>
    <w:p w14:paraId="2BC8E692" w14:textId="77777777" w:rsidR="00643D86" w:rsidRDefault="006F23B6" w:rsidP="00643D86">
      <w:pPr>
        <w:rPr>
          <w:lang w:val="en-US"/>
        </w:rPr>
      </w:pPr>
      <w:r>
        <w:rPr>
          <w:noProof/>
          <w:lang w:val="en-US"/>
        </w:rPr>
        <w:t>5165</w:t>
      </w:r>
      <w:r>
        <w:rPr>
          <w:lang w:val="en-US"/>
        </w:rPr>
        <w:t>/16 JUR 16 CORLX 12 MOG 10 CONOP 9 CFSP/PESC 25</w:t>
      </w:r>
      <w:r>
        <w:rPr>
          <w:lang w:val="en-US"/>
        </w:rPr>
        <w:br/>
      </w:r>
      <w:r>
        <w:rPr>
          <w:noProof/>
          <w:lang w:val="en-US"/>
        </w:rPr>
        <w:t>5165</w:t>
      </w:r>
      <w:r>
        <w:rPr>
          <w:lang w:val="en-US"/>
        </w:rPr>
        <w:t>/16 JUR</w:t>
      </w:r>
      <w:r>
        <w:rPr>
          <w:lang w:val="en-US"/>
        </w:rPr>
        <w:t xml:space="preserve"> 16 CORLX 12 MOG 10 CONOP 9 CFSP/PESC 25</w:t>
      </w:r>
    </w:p>
    <w:p w14:paraId="2BC8E693" w14:textId="77777777" w:rsidR="00643D86" w:rsidRDefault="006F23B6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Margot Wallström</w:t>
      </w:r>
    </w:p>
    <w:p w14:paraId="2BC8E697" w14:textId="445C78A4" w:rsidR="00FC5D73" w:rsidRDefault="006F23B6" w:rsidP="006F23B6"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>Avsikt med behandlingen i rådet:</w:t>
      </w:r>
      <w:r>
        <w:t xml:space="preserve"> Information om nytt mål vid tribunalen där rådet har utsett ombud. </w:t>
      </w:r>
    </w:p>
    <w:p w14:paraId="2BC8E698" w14:textId="77777777" w:rsidR="00FC5D73" w:rsidRDefault="006F23B6">
      <w:pPr>
        <w:spacing w:after="280" w:afterAutospacing="1"/>
      </w:pPr>
      <w:r>
        <w:br/>
      </w:r>
      <w:r>
        <w:rPr>
          <w:b/>
          <w:bCs/>
        </w:rPr>
        <w:t xml:space="preserve">Hur regeringen ställer sig till den blivande A-punkten: </w:t>
      </w:r>
      <w:r>
        <w:t xml:space="preserve">Regeringen har ingen erinran mot denna informationspunkt. </w:t>
      </w:r>
    </w:p>
    <w:p w14:paraId="2BC8E69A" w14:textId="513AAEE2" w:rsidR="00FB32B9" w:rsidRDefault="006F23B6">
      <w:pPr>
        <w:spacing w:after="280" w:afterAutospacing="1"/>
        <w:rPr>
          <w:noProof/>
        </w:rPr>
      </w:pPr>
      <w:bookmarkStart w:id="2" w:name="_GoBack"/>
      <w:bookmarkEnd w:id="2"/>
      <w:r>
        <w:br/>
      </w:r>
      <w:r>
        <w:rPr>
          <w:b/>
          <w:bCs/>
        </w:rPr>
        <w:t>Bakgrund:</w:t>
      </w:r>
      <w:r>
        <w:t xml:space="preserve"> Sökandena, som har varit föremål för restriktiva åtgärder ti</w:t>
      </w:r>
      <w:r>
        <w:t>ll följd av rådets beslut 2013/255/Gusp av den 31 maj 2013 om restriktiva åtgärder mot Syrien, rådets beslut 2014/309/GUSP av den 28 maj 2014 om ändring av beslut 2013/255/Gusp om restriktiva åtgärder mot Syrien samt rådets beslut (Gusp) 2015/837 av den 28</w:t>
      </w:r>
      <w:r>
        <w:t xml:space="preserve"> maj 2015 om ändring av beslut 2013/255/Gusp om restriktiva åtgärder mot Syrien, yrkar att de ska tillerkännas skadestånd. </w:t>
      </w:r>
    </w:p>
    <w:p w14:paraId="2BC8E69B" w14:textId="77777777" w:rsidR="00643D86" w:rsidRPr="006F23B6" w:rsidRDefault="006F23B6" w:rsidP="00643D86">
      <w:pPr>
        <w:pStyle w:val="Rubrik1"/>
        <w:rPr>
          <w:lang w:val="en-US"/>
        </w:rPr>
      </w:pPr>
      <w:bookmarkStart w:id="3" w:name="_Toc441148622"/>
      <w:r w:rsidRPr="006F23B6">
        <w:rPr>
          <w:noProof/>
          <w:lang w:val="en-US"/>
        </w:rPr>
        <w:t>Cases before the General Court of the EU</w:t>
      </w:r>
      <w:r w:rsidRPr="006F23B6">
        <w:rPr>
          <w:noProof/>
          <w:lang w:val="en-US"/>
        </w:rPr>
        <w:br/>
        <w:t>- Case T-706/15 (Ehab Makhlouf v. Council)</w:t>
      </w:r>
      <w:r w:rsidRPr="006F23B6">
        <w:rPr>
          <w:noProof/>
          <w:lang w:val="en-US"/>
        </w:rPr>
        <w:br/>
        <w:t>- Case T-707/15 (Soruh SA v. Council)</w:t>
      </w:r>
      <w:r w:rsidRPr="006F23B6">
        <w:rPr>
          <w:noProof/>
          <w:lang w:val="en-US"/>
        </w:rPr>
        <w:br/>
        <w:t xml:space="preserve">- Case </w:t>
      </w:r>
      <w:r w:rsidRPr="006F23B6">
        <w:rPr>
          <w:noProof/>
          <w:lang w:val="en-US"/>
        </w:rPr>
        <w:t>T-710/15 (Société Drex Technologie SA v. Council)</w:t>
      </w:r>
      <w:r w:rsidRPr="006F23B6">
        <w:rPr>
          <w:noProof/>
          <w:lang w:val="en-US"/>
        </w:rPr>
        <w:br/>
        <w:t>- Case T-711/15 (Razan Othman v. Council)</w:t>
      </w:r>
      <w:bookmarkEnd w:id="3"/>
    </w:p>
    <w:p w14:paraId="2BC8E69C" w14:textId="77777777" w:rsidR="00643D86" w:rsidRDefault="006F23B6" w:rsidP="00643D86">
      <w:pPr>
        <w:rPr>
          <w:lang w:val="en-US"/>
        </w:rPr>
      </w:pPr>
      <w:r>
        <w:rPr>
          <w:noProof/>
          <w:lang w:val="en-US"/>
        </w:rPr>
        <w:t>5198</w:t>
      </w:r>
      <w:r>
        <w:rPr>
          <w:lang w:val="en-US"/>
        </w:rPr>
        <w:t>/1/16 REV 1 JUR 18 CORLX 14 MOG 12 CONOP 11 CFSP/PESC 28</w:t>
      </w:r>
      <w:r>
        <w:rPr>
          <w:lang w:val="en-US"/>
        </w:rPr>
        <w:br/>
      </w:r>
      <w:r>
        <w:rPr>
          <w:noProof/>
          <w:lang w:val="en-US"/>
        </w:rPr>
        <w:t>5198</w:t>
      </w:r>
      <w:r>
        <w:rPr>
          <w:lang w:val="en-US"/>
        </w:rPr>
        <w:t>/1/16 REV 1 JUR 18 CORLX 14 MOG 12 CONOP 11 CFSP/PESC 28</w:t>
      </w:r>
    </w:p>
    <w:p w14:paraId="2BC8E69D" w14:textId="77777777" w:rsidR="00643D86" w:rsidRDefault="006F23B6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Margot Wallström</w:t>
      </w:r>
    </w:p>
    <w:p w14:paraId="2BC8E6A1" w14:textId="2D6A6F21" w:rsidR="00FC5D73" w:rsidRDefault="006F23B6" w:rsidP="006F23B6"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>Avsikt med behandlingen i rådet:</w:t>
      </w:r>
      <w:r>
        <w:t xml:space="preserve"> Information om nytt mål vid tribunalen där rådet har utsett ombud. </w:t>
      </w:r>
    </w:p>
    <w:p w14:paraId="2BC8E6A2" w14:textId="77777777" w:rsidR="00FC5D73" w:rsidRDefault="006F23B6">
      <w:pPr>
        <w:spacing w:after="280" w:afterAutospacing="1"/>
      </w:pPr>
      <w:r>
        <w:rPr>
          <w:b/>
          <w:bCs/>
        </w:rPr>
        <w:t xml:space="preserve">Hur regeringen ställer sig till den blivande A-punkten: </w:t>
      </w:r>
      <w:r>
        <w:t>Regeringen har ingen eri</w:t>
      </w:r>
      <w:r>
        <w:t xml:space="preserve">nran mot denna informationspunkt. </w:t>
      </w:r>
    </w:p>
    <w:p w14:paraId="2BC8E6A4" w14:textId="5266D8CF" w:rsidR="00FB32B9" w:rsidRDefault="006F23B6">
      <w:pPr>
        <w:spacing w:after="280" w:afterAutospacing="1"/>
        <w:rPr>
          <w:noProof/>
        </w:rPr>
      </w:pPr>
      <w:r>
        <w:rPr>
          <w:b/>
          <w:bCs/>
        </w:rPr>
        <w:lastRenderedPageBreak/>
        <w:t>Bakgrund:</w:t>
      </w:r>
      <w:r>
        <w:t xml:space="preserve"> Sökandena, som har varit föremål för restriktiva åtgärder till följd av rådets beslut 2013/255/Gusp av den 31 maj 2013 om restriktiva åtgärder mot Syrien och rådets beslut 2014/309/GUSP av den 28 maj 2014 om änd</w:t>
      </w:r>
      <w:r>
        <w:t xml:space="preserve">ring av beslut 2013/255/Gusp om restriktiva åtgärder mot Syrien, yrkar att de ska tillerkännas skadestånd. </w:t>
      </w:r>
    </w:p>
    <w:p w14:paraId="2BC8E6A5" w14:textId="77777777" w:rsidR="00643D86" w:rsidRPr="006F23B6" w:rsidRDefault="006F23B6" w:rsidP="00643D86">
      <w:pPr>
        <w:pStyle w:val="Rubrik1"/>
        <w:rPr>
          <w:lang w:val="en-US"/>
        </w:rPr>
      </w:pPr>
      <w:bookmarkStart w:id="4" w:name="_Toc441148623"/>
      <w:r w:rsidRPr="006F23B6">
        <w:rPr>
          <w:noProof/>
          <w:lang w:val="en-US"/>
        </w:rPr>
        <w:t>Case before the General Court of the EU- Case T-692/15 (HTTS Hanseatic Trade Trust &amp;amp; Shipping v. Council)</w:t>
      </w:r>
      <w:bookmarkEnd w:id="4"/>
    </w:p>
    <w:p w14:paraId="2BC8E6A6" w14:textId="77777777" w:rsidR="00643D86" w:rsidRPr="006F23B6" w:rsidRDefault="006F23B6" w:rsidP="00643D86">
      <w:pPr>
        <w:rPr>
          <w:lang w:val="fr-FR"/>
        </w:rPr>
      </w:pPr>
      <w:r w:rsidRPr="006F23B6">
        <w:rPr>
          <w:noProof/>
          <w:lang w:val="fr-FR"/>
        </w:rPr>
        <w:t>5178</w:t>
      </w:r>
      <w:r w:rsidRPr="006F23B6">
        <w:rPr>
          <w:lang w:val="fr-FR"/>
        </w:rPr>
        <w:t>/16 JUR 17 COEST 3 RELEX 23</w:t>
      </w:r>
      <w:r w:rsidRPr="006F23B6">
        <w:rPr>
          <w:lang w:val="fr-FR"/>
        </w:rPr>
        <w:br/>
      </w:r>
      <w:r w:rsidRPr="006F23B6">
        <w:rPr>
          <w:noProof/>
          <w:lang w:val="fr-FR"/>
        </w:rPr>
        <w:t>5178</w:t>
      </w:r>
      <w:r w:rsidRPr="006F23B6">
        <w:rPr>
          <w:lang w:val="fr-FR"/>
        </w:rPr>
        <w:t>/</w:t>
      </w:r>
      <w:r w:rsidRPr="006F23B6">
        <w:rPr>
          <w:lang w:val="fr-FR"/>
        </w:rPr>
        <w:t>16 JUR 17 COEST 3 RELEX 23</w:t>
      </w:r>
    </w:p>
    <w:p w14:paraId="2BC8E6A7" w14:textId="77777777" w:rsidR="00643D86" w:rsidRDefault="006F23B6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Margot Wallström</w:t>
      </w:r>
    </w:p>
    <w:p w14:paraId="2BC8E6AB" w14:textId="7E36FAAF" w:rsidR="00FC5D73" w:rsidRDefault="006F23B6" w:rsidP="006F23B6"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>Avsikt med behandlingen i rådet:</w:t>
      </w:r>
      <w:r>
        <w:t xml:space="preserve"> Information om ett nytt mål vid tribunalen. </w:t>
      </w:r>
    </w:p>
    <w:p w14:paraId="2BC8E6AC" w14:textId="77777777" w:rsidR="00FC5D73" w:rsidRDefault="006F23B6">
      <w:pPr>
        <w:spacing w:after="280" w:afterAutospacing="1"/>
      </w:pPr>
      <w:r>
        <w:rPr>
          <w:b/>
          <w:bCs/>
        </w:rPr>
        <w:t>Hur regeringen ställer sig till de</w:t>
      </w:r>
      <w:r>
        <w:rPr>
          <w:b/>
          <w:bCs/>
        </w:rPr>
        <w:t>n blivande A-punkten:</w:t>
      </w:r>
      <w:r>
        <w:t xml:space="preserve"> Regeringen har ingen erinran mot denna informationspunkt. </w:t>
      </w:r>
    </w:p>
    <w:p w14:paraId="2BC8E6AE" w14:textId="7985625E" w:rsidR="00FB32B9" w:rsidRDefault="006F23B6">
      <w:pPr>
        <w:spacing w:after="280" w:afterAutospacing="1"/>
        <w:rPr>
          <w:noProof/>
        </w:rPr>
      </w:pPr>
      <w:r>
        <w:rPr>
          <w:b/>
          <w:bCs/>
        </w:rPr>
        <w:t xml:space="preserve">Bakgrund: </w:t>
      </w:r>
      <w:r>
        <w:t>Målet rör skadestånd med anledning av att sökanden har varit föremål för restriktiva åtgärder. </w:t>
      </w:r>
    </w:p>
    <w:p w14:paraId="2BC8E6AF" w14:textId="77777777" w:rsidR="00643D86" w:rsidRDefault="006F23B6" w:rsidP="00643D86">
      <w:pPr>
        <w:pStyle w:val="Rubrik1"/>
      </w:pPr>
      <w:bookmarkStart w:id="5" w:name="_Toc441148624"/>
      <w:r>
        <w:rPr>
          <w:noProof/>
        </w:rPr>
        <w:t>Smart Borders Package</w:t>
      </w:r>
      <w:bookmarkEnd w:id="5"/>
    </w:p>
    <w:p w14:paraId="2BC8E6B0" w14:textId="77777777" w:rsidR="00643D86" w:rsidRDefault="006F23B6" w:rsidP="00643D86">
      <w:pPr>
        <w:rPr>
          <w:lang w:val="en-US"/>
        </w:rPr>
      </w:pPr>
      <w:r>
        <w:rPr>
          <w:noProof/>
          <w:lang w:val="en-US"/>
        </w:rPr>
        <w:t>Wrap</w:t>
      </w:r>
      <w:r>
        <w:rPr>
          <w:lang w:val="en-US"/>
        </w:rPr>
        <w:t xml:space="preserve"> up of discussions with a view to assistin</w:t>
      </w:r>
      <w:r>
        <w:rPr>
          <w:lang w:val="en-US"/>
        </w:rPr>
        <w:t>g the Commission in the preparation of the new proposals5279/16 FRONT 18 VISA 15 CODEC 40 COMIX 225259/16 FRONT 16 VISA 14 CODEC 31 COMIX 20</w:t>
      </w:r>
      <w:r>
        <w:rPr>
          <w:lang w:val="en-US"/>
        </w:rPr>
        <w:br/>
      </w:r>
      <w:r>
        <w:rPr>
          <w:noProof/>
          <w:lang w:val="en-US"/>
        </w:rPr>
        <w:t>5279</w:t>
      </w:r>
      <w:r>
        <w:rPr>
          <w:lang w:val="en-US"/>
        </w:rPr>
        <w:t>/16 FRONT 18 VISA 15 CODEC 40 COMIX 22</w:t>
      </w:r>
    </w:p>
    <w:p w14:paraId="2BC8E6B1" w14:textId="77777777" w:rsidR="00643D86" w:rsidRPr="006F23B6" w:rsidRDefault="006F23B6" w:rsidP="00643D86">
      <w:r w:rsidRPr="006F23B6">
        <w:t>15024/15 FRONT 280 VISA 379 CODEC 1672 COMIX 662</w:t>
      </w:r>
    </w:p>
    <w:p w14:paraId="2BC8E6B2" w14:textId="77777777" w:rsidR="00643D86" w:rsidRDefault="006F23B6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Anders Ygeman</w:t>
      </w:r>
    </w:p>
    <w:p w14:paraId="2BC8E6B5" w14:textId="251C1D08" w:rsidR="00643D86" w:rsidRDefault="006F23B6" w:rsidP="00643D86">
      <w:r w:rsidRPr="00B44CE2">
        <w:rPr>
          <w:b/>
        </w:rPr>
        <w:t>Annotering</w:t>
      </w:r>
    </w:p>
    <w:p w14:paraId="2BC8E6B6" w14:textId="77777777" w:rsidR="00FC5D73" w:rsidRDefault="006F23B6">
      <w:pPr>
        <w:spacing w:after="280" w:afterAutospacing="1"/>
      </w:pPr>
      <w:r>
        <w:rPr>
          <w:b/>
          <w:bCs/>
        </w:rPr>
        <w:t>Avsikt med behandlingen i rådet:</w:t>
      </w:r>
      <w:r>
        <w:t xml:space="preserve"> Rådet bjuds in att notera de slutsatser utifrån arbetsgruppsdiskussioner som återfinns i dokument 15024/15, i ljuset av det pågående arbetet med nya förslag gällande Smarta gränser-paketet</w:t>
      </w:r>
    </w:p>
    <w:p w14:paraId="2BC8E6B7" w14:textId="77777777" w:rsidR="00FC5D73" w:rsidRDefault="006F23B6">
      <w:pPr>
        <w:spacing w:after="280" w:afterAutospacing="1"/>
      </w:pPr>
      <w:r>
        <w:rPr>
          <w:b/>
          <w:bCs/>
        </w:rPr>
        <w:t>Hur regeringen ställer sig till den blivande A-punkten:</w:t>
      </w:r>
      <w:r>
        <w:t xml:space="preserve"> Regeringen</w:t>
      </w:r>
      <w:r>
        <w:t xml:space="preserve"> avser rösta ja.</w:t>
      </w:r>
    </w:p>
    <w:p w14:paraId="2BC8E6B8" w14:textId="77777777" w:rsidR="00FC5D73" w:rsidRDefault="006F23B6">
      <w:pPr>
        <w:spacing w:after="280" w:afterAutospacing="1"/>
      </w:pPr>
      <w:r>
        <w:rPr>
          <w:b/>
          <w:bCs/>
        </w:rPr>
        <w:t xml:space="preserve">Bakgrund: </w:t>
      </w:r>
      <w:r>
        <w:t>Kommissionen lade 2013 fram förslagen om Smarta gränser, dvs. ett in- och utresesystem för tredjelandsmedborgare (Entry Exit System, EES)och ett program för registrerade resenärer (Registered Travelers Program, RTP). Förslagen ha</w:t>
      </w:r>
      <w:r>
        <w:t xml:space="preserve">r diskuterats på arbetsgruppsnivå och det har under 2014 genomförts en teknisk studie och under 2015 ett pilotprojekt som tog utgångspunkt i de politiska riktlinjer som Coreper kom överens om i december 2014. Studien och pilotprojektet genomfördes i syfte </w:t>
      </w:r>
      <w:r>
        <w:t xml:space="preserve">att skapa bättre underlag för ett reviderat förslag och fortsatta diskussioner. Kommissionen avser att i mars 2016 anta ett nytt förslag angående Smarta gränser. Som ett bidrag till kommissionens pågående arbete </w:t>
      </w:r>
      <w:r>
        <w:lastRenderedPageBreak/>
        <w:t>sammanställde ordförandelandet Luxemburg i d</w:t>
      </w:r>
      <w:r>
        <w:t>ecember 2015 dokumentet 15024/15 som innehåller en sammanfattning av pilotprojektets resultat och resultaten av de diskussioner som förts gällande politiska nyckelfrågor i Smarta gränser-paketet.</w:t>
      </w:r>
    </w:p>
    <w:p w14:paraId="2BC8E6B9" w14:textId="77777777" w:rsidR="00FC5D73" w:rsidRDefault="006F23B6">
      <w:pPr>
        <w:spacing w:after="280" w:afterAutospacing="1"/>
      </w:pPr>
      <w:r>
        <w:t>Angående pilotprojektets resultat vittnar de om att det är g</w:t>
      </w:r>
      <w:r>
        <w:t>enomförbart att utföra gränskontroll vid yttre gräns med hjälp av biometriska identifierare (avseende tredjelandsmedborgare). Påverkan i gränskontrollen varierar beroende på vilken typ av biometri som ska kontrolleras. För att undvika avsevärt ökad tidsåtg</w:t>
      </w:r>
      <w:r>
        <w:t xml:space="preserve">ång bör olika former av acceleratorer utforskas, såsom t.ex. automatiska gater. De fyra nyckelfrågor som diskuterats är 1. tillgång till in-och utresesystemet för brottsbekämpande ändamål, 2. konsekvenserna av att avskaffa stämpling (fysiskt i passen), 3. </w:t>
      </w:r>
      <w:r>
        <w:t>reservrutiner i de fall systemen inte fungerar samt andra frågor om korrigering av data och 4. organisatoriska aspekter av ansökningsprocessen för programmet för registrerade resenärer.</w:t>
      </w:r>
    </w:p>
    <w:p w14:paraId="2BC8E6BA" w14:textId="77777777" w:rsidR="00FC5D73" w:rsidRDefault="006F23B6">
      <w:pPr>
        <w:spacing w:after="280" w:afterAutospacing="1"/>
      </w:pPr>
      <w:r>
        <w:t>Rådsarbetsgruppen för gränsfrågor enades den 8 januari 2016 om att bju</w:t>
      </w:r>
      <w:r>
        <w:t>da in kommissionen att notera resultaten av pilotprojektet liksom diskussionerna gällande de fyra nyckelfrågorna.</w:t>
      </w:r>
    </w:p>
    <w:p w14:paraId="2BC8E6BB" w14:textId="77777777" w:rsidR="00FC5D73" w:rsidRDefault="006F23B6">
      <w:pPr>
        <w:spacing w:after="280" w:afterAutospacing="1"/>
      </w:pPr>
      <w:r>
        <w:t>Sverige har ännu inte tagit ställning politiskt till Smarta gränser-paketet men har deltagit i diskussionerna på operativ och teknisk nivå, li</w:t>
      </w:r>
      <w:r>
        <w:t>ksom i pilotprojektet (med verksamhet på Arlanda flygplats).</w:t>
      </w:r>
    </w:p>
    <w:p w14:paraId="2BC8E6BC" w14:textId="77777777" w:rsidR="00FB32B9" w:rsidRDefault="006F23B6">
      <w:pPr>
        <w:spacing w:after="280" w:afterAutospacing="1"/>
        <w:rPr>
          <w:noProof/>
        </w:rPr>
      </w:pPr>
    </w:p>
    <w:bookmarkEnd w:id="0"/>
    <w:p w14:paraId="2BC8E6BD" w14:textId="77777777" w:rsidR="00643D86" w:rsidRPr="006F23B6" w:rsidRDefault="006F23B6" w:rsidP="00643D86">
      <w:pPr>
        <w:ind w:left="0"/>
      </w:pPr>
    </w:p>
    <w:sectPr w:rsidR="00643D86" w:rsidRPr="006F23B6" w:rsidSect="006E71D7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8E6CF" w14:textId="77777777" w:rsidR="00000000" w:rsidRDefault="006F23B6">
      <w:pPr>
        <w:spacing w:after="0" w:line="240" w:lineRule="auto"/>
      </w:pPr>
      <w:r>
        <w:separator/>
      </w:r>
    </w:p>
  </w:endnote>
  <w:endnote w:type="continuationSeparator" w:id="0">
    <w:p w14:paraId="2BC8E6D1" w14:textId="77777777" w:rsidR="00000000" w:rsidRDefault="006F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8E6CB" w14:textId="77777777" w:rsidR="00000000" w:rsidRDefault="006F23B6">
      <w:pPr>
        <w:spacing w:after="0" w:line="240" w:lineRule="auto"/>
      </w:pPr>
      <w:r>
        <w:separator/>
      </w:r>
    </w:p>
  </w:footnote>
  <w:footnote w:type="continuationSeparator" w:id="0">
    <w:p w14:paraId="2BC8E6CD" w14:textId="77777777" w:rsidR="00000000" w:rsidRDefault="006F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8E6BE" w14:textId="77777777" w:rsidR="006E71D7" w:rsidRDefault="006F23B6" w:rsidP="006E71D7">
    <w:pPr>
      <w:pStyle w:val="Sidhuvud"/>
      <w:ind w:left="0"/>
    </w:pPr>
  </w:p>
  <w:p w14:paraId="2BC8E6BF" w14:textId="77777777" w:rsidR="006F1C0D" w:rsidRDefault="006F23B6" w:rsidP="001237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C5D73" w14:paraId="2BC8E6C5" w14:textId="77777777" w:rsidTr="006E71D7">
      <w:tc>
        <w:tcPr>
          <w:tcW w:w="4606" w:type="dxa"/>
        </w:tcPr>
        <w:p w14:paraId="2BC8E6C0" w14:textId="77777777" w:rsidR="006E71D7" w:rsidRDefault="006F23B6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2BC8E6CB" wp14:editId="2BC8E6CC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2BC8E6C1" w14:textId="77777777" w:rsidR="00FB32B9" w:rsidRDefault="006F23B6" w:rsidP="00FB32B9">
          <w:pPr>
            <w:ind w:right="916"/>
            <w:rPr>
              <w:rFonts w:ascii="TradeGothic" w:hAnsi="TradeGothic"/>
              <w:b/>
            </w:rPr>
          </w:pPr>
        </w:p>
        <w:p w14:paraId="2BC8E6C2" w14:textId="77777777" w:rsidR="00FB32B9" w:rsidRDefault="006F23B6" w:rsidP="00FB32B9">
          <w:pPr>
            <w:ind w:right="916"/>
          </w:pPr>
          <w:r>
            <w:rPr>
              <w:rFonts w:ascii="TradeGothic" w:hAnsi="TradeGothic"/>
              <w:b/>
            </w:rPr>
            <w:t>Promemoria</w:t>
          </w:r>
        </w:p>
        <w:p w14:paraId="2BC8E6C3" w14:textId="77777777" w:rsidR="00FB32B9" w:rsidRDefault="006F23B6" w:rsidP="00FB32B9">
          <w:pPr>
            <w:jc w:val="right"/>
          </w:pPr>
        </w:p>
        <w:p w14:paraId="2BC8E6C4" w14:textId="77777777" w:rsidR="006E71D7" w:rsidRDefault="006F23B6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2016-01-21</w:t>
          </w:r>
          <w:r w:rsidRPr="00934953">
            <w:t xml:space="preserve"> </w:t>
          </w:r>
        </w:p>
      </w:tc>
    </w:tr>
  </w:tbl>
  <w:p w14:paraId="2BC8E6C6" w14:textId="77777777" w:rsidR="00FB32B9" w:rsidRDefault="006F23B6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2BC8E6C7" w14:textId="77777777" w:rsidR="00FB32B9" w:rsidRDefault="006F23B6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2BC8E6C8" w14:textId="77777777" w:rsidR="00FB32B9" w:rsidRDefault="006F23B6" w:rsidP="00FB32B9">
    <w:pPr>
      <w:pStyle w:val="Avsndare"/>
      <w:framePr w:w="0" w:hRule="auto" w:hSpace="0" w:wrap="auto" w:vAnchor="margin" w:hAnchor="text" w:xAlign="left" w:yAlign="inline"/>
    </w:pPr>
  </w:p>
  <w:p w14:paraId="2BC8E6C9" w14:textId="77777777" w:rsidR="00FB32B9" w:rsidRDefault="006F23B6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2BC8E6CA" w14:textId="77777777" w:rsidR="0012376B" w:rsidRDefault="006F23B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0AE9"/>
    <w:multiLevelType w:val="hybridMultilevel"/>
    <w:tmpl w:val="5E0C4660"/>
    <w:lvl w:ilvl="0" w:tplc="852C8740">
      <w:start w:val="1"/>
      <w:numFmt w:val="decimal"/>
      <w:pStyle w:val="Rubrik1"/>
      <w:lvlText w:val="%1."/>
      <w:lvlJc w:val="left"/>
      <w:pPr>
        <w:ind w:left="720" w:hanging="360"/>
      </w:pPr>
    </w:lvl>
    <w:lvl w:ilvl="1" w:tplc="247CEED8" w:tentative="1">
      <w:start w:val="1"/>
      <w:numFmt w:val="lowerLetter"/>
      <w:lvlText w:val="%2."/>
      <w:lvlJc w:val="left"/>
      <w:pPr>
        <w:ind w:left="1440" w:hanging="360"/>
      </w:pPr>
    </w:lvl>
    <w:lvl w:ilvl="2" w:tplc="5BEAA376" w:tentative="1">
      <w:start w:val="1"/>
      <w:numFmt w:val="lowerRoman"/>
      <w:lvlText w:val="%3."/>
      <w:lvlJc w:val="right"/>
      <w:pPr>
        <w:ind w:left="2160" w:hanging="180"/>
      </w:pPr>
    </w:lvl>
    <w:lvl w:ilvl="3" w:tplc="76D671B8" w:tentative="1">
      <w:start w:val="1"/>
      <w:numFmt w:val="decimal"/>
      <w:lvlText w:val="%4."/>
      <w:lvlJc w:val="left"/>
      <w:pPr>
        <w:ind w:left="2880" w:hanging="360"/>
      </w:pPr>
    </w:lvl>
    <w:lvl w:ilvl="4" w:tplc="21169690" w:tentative="1">
      <w:start w:val="1"/>
      <w:numFmt w:val="lowerLetter"/>
      <w:lvlText w:val="%5."/>
      <w:lvlJc w:val="left"/>
      <w:pPr>
        <w:ind w:left="3600" w:hanging="360"/>
      </w:pPr>
    </w:lvl>
    <w:lvl w:ilvl="5" w:tplc="AEF802D0" w:tentative="1">
      <w:start w:val="1"/>
      <w:numFmt w:val="lowerRoman"/>
      <w:lvlText w:val="%6."/>
      <w:lvlJc w:val="right"/>
      <w:pPr>
        <w:ind w:left="4320" w:hanging="180"/>
      </w:pPr>
    </w:lvl>
    <w:lvl w:ilvl="6" w:tplc="4DD42B76" w:tentative="1">
      <w:start w:val="1"/>
      <w:numFmt w:val="decimal"/>
      <w:lvlText w:val="%7."/>
      <w:lvlJc w:val="left"/>
      <w:pPr>
        <w:ind w:left="5040" w:hanging="360"/>
      </w:pPr>
    </w:lvl>
    <w:lvl w:ilvl="7" w:tplc="DA6AAB72" w:tentative="1">
      <w:start w:val="1"/>
      <w:numFmt w:val="lowerLetter"/>
      <w:lvlText w:val="%8."/>
      <w:lvlJc w:val="left"/>
      <w:pPr>
        <w:ind w:left="5760" w:hanging="360"/>
      </w:pPr>
    </w:lvl>
    <w:lvl w:ilvl="8" w:tplc="A2CE3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90993"/>
    <w:multiLevelType w:val="hybridMultilevel"/>
    <w:tmpl w:val="3BD822EE"/>
    <w:lvl w:ilvl="0" w:tplc="5FF4A8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F7EF1C0" w:tentative="1">
      <w:start w:val="1"/>
      <w:numFmt w:val="lowerLetter"/>
      <w:lvlText w:val="%2."/>
      <w:lvlJc w:val="left"/>
      <w:pPr>
        <w:ind w:left="1080" w:hanging="360"/>
      </w:pPr>
    </w:lvl>
    <w:lvl w:ilvl="2" w:tplc="19F64796" w:tentative="1">
      <w:start w:val="1"/>
      <w:numFmt w:val="lowerRoman"/>
      <w:lvlText w:val="%3."/>
      <w:lvlJc w:val="right"/>
      <w:pPr>
        <w:ind w:left="1800" w:hanging="180"/>
      </w:pPr>
    </w:lvl>
    <w:lvl w:ilvl="3" w:tplc="A3F43C4E" w:tentative="1">
      <w:start w:val="1"/>
      <w:numFmt w:val="decimal"/>
      <w:lvlText w:val="%4."/>
      <w:lvlJc w:val="left"/>
      <w:pPr>
        <w:ind w:left="2520" w:hanging="360"/>
      </w:pPr>
    </w:lvl>
    <w:lvl w:ilvl="4" w:tplc="05F4BB4E" w:tentative="1">
      <w:start w:val="1"/>
      <w:numFmt w:val="lowerLetter"/>
      <w:lvlText w:val="%5."/>
      <w:lvlJc w:val="left"/>
      <w:pPr>
        <w:ind w:left="3240" w:hanging="360"/>
      </w:pPr>
    </w:lvl>
    <w:lvl w:ilvl="5" w:tplc="25D484F4" w:tentative="1">
      <w:start w:val="1"/>
      <w:numFmt w:val="lowerRoman"/>
      <w:lvlText w:val="%6."/>
      <w:lvlJc w:val="right"/>
      <w:pPr>
        <w:ind w:left="3960" w:hanging="180"/>
      </w:pPr>
    </w:lvl>
    <w:lvl w:ilvl="6" w:tplc="E32EFC5E" w:tentative="1">
      <w:start w:val="1"/>
      <w:numFmt w:val="decimal"/>
      <w:lvlText w:val="%7."/>
      <w:lvlJc w:val="left"/>
      <w:pPr>
        <w:ind w:left="4680" w:hanging="360"/>
      </w:pPr>
    </w:lvl>
    <w:lvl w:ilvl="7" w:tplc="356276B0" w:tentative="1">
      <w:start w:val="1"/>
      <w:numFmt w:val="lowerLetter"/>
      <w:lvlText w:val="%8."/>
      <w:lvlJc w:val="left"/>
      <w:pPr>
        <w:ind w:left="5400" w:hanging="360"/>
      </w:pPr>
    </w:lvl>
    <w:lvl w:ilvl="8" w:tplc="AB8CCC8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73"/>
    <w:rsid w:val="006F23B6"/>
    <w:rsid w:val="00FC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E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ewPointStartDate xmlns="2f7f1b23-d947-45d4-98ee-7314aad6e3e3" xsi:nil="true"/>
    <ViewPointEndDate xmlns="2f7f1b23-d947-45d4-98ee-7314aad6e3e3" xsi:nil="true"/>
    <LatestActivity xmlns="2f7f1b23-d947-45d4-98ee-7314aad6e3e3" xsi:nil="true"/>
    <DepartementsenhetId xmlns="2f7f1b23-d947-45d4-98ee-7314aad6e3e3">Statsrådsberedningen</DepartementsenhetId>
    <ViewPointInProgress xmlns="2f7f1b23-d947-45d4-98ee-7314aad6e3e3" xsi:nil="true"/>
    <AktivitetskategoriId xmlns="2f7f1b23-d947-45d4-98ee-7314aad6e3e3">4.1. Europeiska unionen</AktivitetskategoriId>
    <Delivered xmlns="2f7f1b23-d947-45d4-98ee-7314aad6e3e3" xsi:nil="true"/>
    <RegistrationNumber xmlns="2f7f1b23-d947-45d4-98ee-7314aad6e3e3" xsi:nil="true"/>
    <DocumentStatus xmlns="2f7f1b23-d947-45d4-98ee-7314aad6e3e3">Upprättad handling</Document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UPDokument" ma:contentTypeID="0x01010053E1D612BA3F4E21AA250ECD751942B300112174DC05144F4CBA4F572F89DBF098" ma:contentTypeVersion="0" ma:contentTypeDescription="EUPDokument" ma:contentTypeScope="" ma:versionID="09e9756de8b20a212aae23b255f9e18d">
  <xsd:schema xmlns:xsd="http://www.w3.org/2001/XMLSchema" xmlns:xs="http://www.w3.org/2001/XMLSchema" xmlns:p="http://schemas.microsoft.com/office/2006/metadata/properties" xmlns:ns2="2f7f1b23-d947-45d4-98ee-7314aad6e3e3" targetNamespace="http://schemas.microsoft.com/office/2006/metadata/properties" ma:root="true" ma:fieldsID="3d84861f6a2fa3b52c8db5dca6d9b638" ns2:_="">
    <xsd:import namespace="2f7f1b23-d947-45d4-98ee-7314aad6e3e3"/>
    <xsd:element name="properties">
      <xsd:complexType>
        <xsd:sequence>
          <xsd:element name="documentManagement">
            <xsd:complexType>
              <xsd:all>
                <xsd:element ref="ns2:DepartementsenhetId" minOccurs="0"/>
                <xsd:element ref="ns2:AktivitetskategoriId" minOccurs="0"/>
                <xsd:element ref="ns2:LatestActivity" minOccurs="0"/>
                <xsd:element ref="ns2:DocumentStatus" minOccurs="0"/>
                <xsd:element ref="ns2:ViewPointStartDate" minOccurs="0"/>
                <xsd:element ref="ns2:ViewPointEndDate" minOccurs="0"/>
                <xsd:element ref="ns2:ViewPointInProgress" minOccurs="0"/>
                <xsd:element ref="ns2:Delivered" minOccurs="0"/>
                <xsd:element ref="ns2:Registra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f1b23-d947-45d4-98ee-7314aad6e3e3" elementFormDefault="qualified">
    <xsd:import namespace="http://schemas.microsoft.com/office/2006/documentManagement/types"/>
    <xsd:import namespace="http://schemas.microsoft.com/office/infopath/2007/PartnerControls"/>
    <xsd:element name="DepartementsenhetId" ma:index="8" nillable="true" ma:displayName="DepartementsenhetId" ma:description="DepartementsId" ma:hidden="true" ma:internalName="DepartementsenhetId">
      <xsd:simpleType>
        <xsd:restriction base="dms:Text"/>
      </xsd:simpleType>
    </xsd:element>
    <xsd:element name="AktivitetskategoriId" ma:index="9" nillable="true" ma:displayName="AktivitetskategoriId" ma:description="AktivitetskategoriId" ma:hidden="true" ma:internalName="AktivitetskategoriId">
      <xsd:simpleType>
        <xsd:restriction base="dms:Text"/>
      </xsd:simpleType>
    </xsd:element>
    <xsd:element name="LatestActivity" ma:index="10" nillable="true" ma:displayName="Senaste händelse" ma:description="Senaste händelse" ma:hidden="true" ma:internalName="LatestActivity">
      <xsd:simpleType>
        <xsd:restriction base="dms:Text"/>
      </xsd:simpleType>
    </xsd:element>
    <xsd:element name="DocumentStatus" ma:index="11" nillable="true" ma:displayName="Dokumentstatus" ma:description="Dokumentstatus" ma:hidden="true" ma:internalName="DocumentStatus">
      <xsd:simpleType>
        <xsd:restriction base="dms:Choice">
          <xsd:enumeration value="Utkast"/>
          <xsd:enumeration value="Upprättad handling"/>
        </xsd:restriction>
      </xsd:simpleType>
    </xsd:element>
    <xsd:element name="ViewPointStartDate" ma:index="12" nillable="true" ma:displayName="Gemensamberedning startades" ma:description="Startdatum för gemensamberedning" ma:hidden="true" ma:internalName="ViewPointStartDate">
      <xsd:simpleType>
        <xsd:restriction base="dms:DateTime"/>
      </xsd:simpleType>
    </xsd:element>
    <xsd:element name="ViewPointEndDate" ma:index="13" nillable="true" ma:displayName="Gemensamberedning avslutades" ma:description="Slutdatum för gemensamberedning" ma:hidden="true" ma:internalName="ViewPointEndDate">
      <xsd:simpleType>
        <xsd:restriction base="dms:DateTime"/>
      </xsd:simpleType>
    </xsd:element>
    <xsd:element name="ViewPointInProgress" ma:index="14" nillable="true" ma:displayName="Pågående gemensamberedning" ma:description="Indikerar en pågående gemensamberedning" ma:hidden="true" ma:internalName="ViewPointInProgress">
      <xsd:simpleType>
        <xsd:restriction base="dms:Boolean"/>
      </xsd:simpleType>
    </xsd:element>
    <xsd:element name="Delivered" ma:index="15" nillable="true" ma:displayName="Levererad" ma:description="Datum då dokumentet senast levererades" ma:hidden="true" ma:internalName="Delivered">
      <xsd:simpleType>
        <xsd:restriction base="dms:DateTime"/>
      </xsd:simpleType>
    </xsd:element>
    <xsd:element name="RegistrationNumber" ma:index="16" nillable="true" ma:displayName="Diarienummer" ma:description="Diarienummer" ma:internalName="RegistrationNumb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C7A9-6D3D-4858-8E02-4A126BC5A2BF}"/>
</file>

<file path=customXml/itemProps2.xml><?xml version="1.0" encoding="utf-8"?>
<ds:datastoreItem xmlns:ds="http://schemas.openxmlformats.org/officeDocument/2006/customXml" ds:itemID="{20841AD1-07E4-4620-8305-73012AF39464}"/>
</file>

<file path=customXml/itemProps3.xml><?xml version="1.0" encoding="utf-8"?>
<ds:datastoreItem xmlns:ds="http://schemas.openxmlformats.org/officeDocument/2006/customXml" ds:itemID="{4352C912-CA49-48F7-A56D-7237E264F155}"/>
</file>

<file path=customXml/itemProps4.xml><?xml version="1.0" encoding="utf-8"?>
<ds:datastoreItem xmlns:ds="http://schemas.openxmlformats.org/officeDocument/2006/customXml" ds:itemID="{9882785E-3B25-4EDA-838F-84DB87D1A9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Wännerdahl</cp:lastModifiedBy>
  <cp:revision>2</cp:revision>
  <dcterms:created xsi:type="dcterms:W3CDTF">2016-01-21T13:08:00Z</dcterms:created>
  <dcterms:modified xsi:type="dcterms:W3CDTF">2016-01-21T13:08:00Z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0x01010053E1D612BA3F4E21AA250ECD751942B300112174DC05144F4CBA4F572F89DBF098</vt:lpwstr>
  </property>
  <property fmtid="{D5CDD505-2E9C-101B-9397-08002B2CF9AE}" pid="3" name="MCreatorEmail">
    <vt:lpwstr>anna.wannerdahl@regeringskansliet.se</vt:lpwstr>
  </property>
</Properties>
</file>