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F0EAF">
        <w:tblPrEx>
          <w:tblCellMar>
            <w:top w:w="0" w:type="dxa"/>
            <w:bottom w:w="0" w:type="dxa"/>
          </w:tblCellMar>
        </w:tblPrEx>
        <w:tc>
          <w:tcPr>
            <w:tcW w:w="2268" w:type="dxa"/>
          </w:tcPr>
          <w:p w:rsidR="006E4E11" w:rsidRPr="00CF0EA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F0EAF" w:rsidRDefault="006E4E11" w:rsidP="007242A3">
            <w:pPr>
              <w:framePr w:w="5035" w:h="1644" w:wrap="notBeside" w:vAnchor="page" w:hAnchor="page" w:x="6573" w:y="721"/>
              <w:rPr>
                <w:rFonts w:ascii="TradeGothic" w:hAnsi="TradeGothic"/>
                <w:i/>
                <w:sz w:val="18"/>
              </w:rPr>
            </w:pPr>
          </w:p>
        </w:tc>
      </w:tr>
      <w:tr w:rsidR="006E4E11" w:rsidRPr="00CF0EAF">
        <w:tblPrEx>
          <w:tblCellMar>
            <w:top w:w="0" w:type="dxa"/>
            <w:bottom w:w="0" w:type="dxa"/>
          </w:tblCellMar>
        </w:tblPrEx>
        <w:tc>
          <w:tcPr>
            <w:tcW w:w="2268" w:type="dxa"/>
          </w:tcPr>
          <w:p w:rsidR="006E4E11" w:rsidRPr="00CF0EAF" w:rsidRDefault="00F21E40" w:rsidP="007242A3">
            <w:pPr>
              <w:framePr w:w="5035" w:h="1644" w:wrap="notBeside" w:vAnchor="page" w:hAnchor="page" w:x="6573" w:y="721"/>
              <w:rPr>
                <w:rFonts w:ascii="TradeGothic" w:hAnsi="TradeGothic"/>
                <w:b/>
                <w:sz w:val="20"/>
              </w:rPr>
            </w:pPr>
            <w:r w:rsidRPr="00CF0EAF">
              <w:rPr>
                <w:rFonts w:ascii="TradeGothic" w:hAnsi="TradeGothic"/>
                <w:b/>
                <w:sz w:val="20"/>
              </w:rPr>
              <w:t>Kommenterad dagordning Konkurrenskraftsråde</w:t>
            </w:r>
            <w:r w:rsidR="000044D2" w:rsidRPr="00CF0EAF">
              <w:rPr>
                <w:rFonts w:ascii="TradeGothic" w:hAnsi="TradeGothic"/>
                <w:b/>
                <w:sz w:val="20"/>
              </w:rPr>
              <w:t>t</w:t>
            </w:r>
          </w:p>
        </w:tc>
        <w:tc>
          <w:tcPr>
            <w:tcW w:w="2999" w:type="dxa"/>
            <w:gridSpan w:val="2"/>
          </w:tcPr>
          <w:p w:rsidR="006E4E11" w:rsidRPr="00CF0EAF" w:rsidRDefault="006E4E11" w:rsidP="007242A3">
            <w:pPr>
              <w:framePr w:w="5035" w:h="1644" w:wrap="notBeside" w:vAnchor="page" w:hAnchor="page" w:x="6573" w:y="721"/>
              <w:rPr>
                <w:rFonts w:ascii="TradeGothic" w:hAnsi="TradeGothic"/>
                <w:b/>
                <w:sz w:val="22"/>
              </w:rPr>
            </w:pPr>
          </w:p>
        </w:tc>
      </w:tr>
      <w:tr w:rsidR="006E4E11" w:rsidRPr="00CF0EAF">
        <w:tblPrEx>
          <w:tblCellMar>
            <w:top w:w="0" w:type="dxa"/>
            <w:bottom w:w="0" w:type="dxa"/>
          </w:tblCellMar>
        </w:tblPrEx>
        <w:tc>
          <w:tcPr>
            <w:tcW w:w="3402" w:type="dxa"/>
            <w:gridSpan w:val="2"/>
          </w:tcPr>
          <w:p w:rsidR="006E4E11" w:rsidRPr="00CF0EAF" w:rsidRDefault="00F21E40" w:rsidP="007242A3">
            <w:pPr>
              <w:framePr w:w="5035" w:h="1644" w:wrap="notBeside" w:vAnchor="page" w:hAnchor="page" w:x="6573" w:y="721"/>
            </w:pPr>
            <w:r w:rsidRPr="00CF0EAF">
              <w:t xml:space="preserve">inför samråd med EU-nämnden </w:t>
            </w:r>
            <w:r w:rsidR="000044D2" w:rsidRPr="00CF0EAF">
              <w:t xml:space="preserve">8 oktober </w:t>
            </w:r>
            <w:r w:rsidRPr="00CF0EAF">
              <w:t>2010</w:t>
            </w:r>
          </w:p>
        </w:tc>
        <w:tc>
          <w:tcPr>
            <w:tcW w:w="1865" w:type="dxa"/>
          </w:tcPr>
          <w:p w:rsidR="006E4E11" w:rsidRPr="00CF0EAF" w:rsidRDefault="006E4E11" w:rsidP="007242A3">
            <w:pPr>
              <w:framePr w:w="5035" w:h="1644" w:wrap="notBeside" w:vAnchor="page" w:hAnchor="page" w:x="6573" w:y="721"/>
            </w:pPr>
          </w:p>
        </w:tc>
      </w:tr>
      <w:tr w:rsidR="006E4E11" w:rsidRPr="00CF0EAF">
        <w:tblPrEx>
          <w:tblCellMar>
            <w:top w:w="0" w:type="dxa"/>
            <w:bottom w:w="0" w:type="dxa"/>
          </w:tblCellMar>
        </w:tblPrEx>
        <w:tc>
          <w:tcPr>
            <w:tcW w:w="2268" w:type="dxa"/>
          </w:tcPr>
          <w:p w:rsidR="006E4E11" w:rsidRPr="00CF0EAF" w:rsidRDefault="000044D2" w:rsidP="007242A3">
            <w:pPr>
              <w:framePr w:w="5035" w:h="1644" w:wrap="notBeside" w:vAnchor="page" w:hAnchor="page" w:x="6573" w:y="721"/>
            </w:pPr>
            <w:r w:rsidRPr="00CF0EAF">
              <w:t>2010-10</w:t>
            </w:r>
            <w:r w:rsidR="00F21E40" w:rsidRPr="00CF0EAF">
              <w:t>-</w:t>
            </w:r>
            <w:r w:rsidRPr="00CF0EAF">
              <w:t>04</w:t>
            </w:r>
          </w:p>
        </w:tc>
        <w:tc>
          <w:tcPr>
            <w:tcW w:w="2999" w:type="dxa"/>
            <w:gridSpan w:val="2"/>
          </w:tcPr>
          <w:p w:rsidR="006E4E11" w:rsidRPr="00CF0EAF" w:rsidRDefault="006E4E11" w:rsidP="007242A3">
            <w:pPr>
              <w:framePr w:w="5035" w:h="1644" w:wrap="notBeside" w:vAnchor="page" w:hAnchor="page" w:x="6573" w:y="721"/>
            </w:pPr>
          </w:p>
        </w:tc>
      </w:tr>
      <w:tr w:rsidR="006E4E11" w:rsidRPr="00CF0EAF">
        <w:tblPrEx>
          <w:tblCellMar>
            <w:top w:w="0" w:type="dxa"/>
            <w:bottom w:w="0" w:type="dxa"/>
          </w:tblCellMar>
        </w:tblPrEx>
        <w:tc>
          <w:tcPr>
            <w:tcW w:w="2268" w:type="dxa"/>
          </w:tcPr>
          <w:p w:rsidR="006E4E11" w:rsidRPr="00CF0EAF" w:rsidRDefault="006E4E11" w:rsidP="007242A3">
            <w:pPr>
              <w:framePr w:w="5035" w:h="1644" w:wrap="notBeside" w:vAnchor="page" w:hAnchor="page" w:x="6573" w:y="721"/>
            </w:pPr>
          </w:p>
        </w:tc>
        <w:tc>
          <w:tcPr>
            <w:tcW w:w="2999" w:type="dxa"/>
            <w:gridSpan w:val="2"/>
          </w:tcPr>
          <w:p w:rsidR="006E4E11" w:rsidRPr="00CF0EA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F0EAF">
        <w:tblPrEx>
          <w:tblCellMar>
            <w:top w:w="0" w:type="dxa"/>
            <w:bottom w:w="0" w:type="dxa"/>
          </w:tblCellMar>
        </w:tblPrEx>
        <w:trPr>
          <w:trHeight w:val="284"/>
        </w:trPr>
        <w:tc>
          <w:tcPr>
            <w:tcW w:w="4911" w:type="dxa"/>
          </w:tcPr>
          <w:p w:rsidR="006E4E11" w:rsidRPr="00CF0EAF" w:rsidRDefault="00F21E40">
            <w:pPr>
              <w:pStyle w:val="Avsndare"/>
              <w:framePr w:h="2483" w:wrap="notBeside" w:x="1504"/>
              <w:rPr>
                <w:b/>
                <w:i w:val="0"/>
                <w:sz w:val="22"/>
              </w:rPr>
            </w:pPr>
            <w:r w:rsidRPr="00CF0EAF">
              <w:rPr>
                <w:b/>
                <w:i w:val="0"/>
                <w:sz w:val="22"/>
              </w:rPr>
              <w:t>Utrikesdepartementet</w:t>
            </w:r>
          </w:p>
          <w:p w:rsidR="002104E6" w:rsidRPr="00CF0EAF" w:rsidRDefault="002104E6">
            <w:pPr>
              <w:pStyle w:val="Avsndare"/>
              <w:framePr w:h="2483" w:wrap="notBeside" w:x="1504"/>
              <w:rPr>
                <w:b/>
                <w:i w:val="0"/>
                <w:sz w:val="22"/>
              </w:rPr>
            </w:pPr>
          </w:p>
        </w:tc>
      </w:tr>
      <w:tr w:rsidR="006E4E11" w:rsidRPr="00CF0EAF">
        <w:tblPrEx>
          <w:tblCellMar>
            <w:top w:w="0" w:type="dxa"/>
            <w:bottom w:w="0" w:type="dxa"/>
          </w:tblCellMar>
        </w:tblPrEx>
        <w:trPr>
          <w:trHeight w:val="284"/>
        </w:trPr>
        <w:tc>
          <w:tcPr>
            <w:tcW w:w="4911" w:type="dxa"/>
          </w:tcPr>
          <w:p w:rsidR="006E4E11" w:rsidRPr="00CF0EAF" w:rsidRDefault="006E4E11">
            <w:pPr>
              <w:pStyle w:val="Avsndare"/>
              <w:framePr w:h="2483" w:wrap="notBeside" w:x="1504"/>
              <w:rPr>
                <w:bCs/>
                <w:iCs/>
              </w:rPr>
            </w:pPr>
          </w:p>
        </w:tc>
      </w:tr>
      <w:tr w:rsidR="006E4E11" w:rsidRPr="00CF0EAF">
        <w:tblPrEx>
          <w:tblCellMar>
            <w:top w:w="0" w:type="dxa"/>
            <w:bottom w:w="0" w:type="dxa"/>
          </w:tblCellMar>
        </w:tblPrEx>
        <w:trPr>
          <w:trHeight w:val="284"/>
        </w:trPr>
        <w:tc>
          <w:tcPr>
            <w:tcW w:w="4911" w:type="dxa"/>
          </w:tcPr>
          <w:p w:rsidR="006E4E11" w:rsidRPr="00CF0EAF" w:rsidRDefault="006E4E11">
            <w:pPr>
              <w:pStyle w:val="Avsndare"/>
              <w:framePr w:h="2483" w:wrap="notBeside" w:x="1504"/>
              <w:rPr>
                <w:bCs/>
                <w:iCs/>
              </w:rPr>
            </w:pPr>
          </w:p>
        </w:tc>
      </w:tr>
      <w:tr w:rsidR="006E4E11" w:rsidRPr="00CF0EAF">
        <w:tblPrEx>
          <w:tblCellMar>
            <w:top w:w="0" w:type="dxa"/>
            <w:bottom w:w="0" w:type="dxa"/>
          </w:tblCellMar>
        </w:tblPrEx>
        <w:trPr>
          <w:trHeight w:val="284"/>
        </w:trPr>
        <w:tc>
          <w:tcPr>
            <w:tcW w:w="4911" w:type="dxa"/>
          </w:tcPr>
          <w:p w:rsidR="006E4E11" w:rsidRPr="00CF0EAF" w:rsidRDefault="006E4E11">
            <w:pPr>
              <w:pStyle w:val="Avsndare"/>
              <w:framePr w:h="2483" w:wrap="notBeside" w:x="1504"/>
              <w:rPr>
                <w:bCs/>
                <w:iCs/>
              </w:rPr>
            </w:pPr>
          </w:p>
        </w:tc>
      </w:tr>
      <w:tr w:rsidR="006E4E11" w:rsidRPr="00CF0EAF">
        <w:tblPrEx>
          <w:tblCellMar>
            <w:top w:w="0" w:type="dxa"/>
            <w:bottom w:w="0" w:type="dxa"/>
          </w:tblCellMar>
        </w:tblPrEx>
        <w:trPr>
          <w:trHeight w:val="284"/>
        </w:trPr>
        <w:tc>
          <w:tcPr>
            <w:tcW w:w="4911" w:type="dxa"/>
          </w:tcPr>
          <w:p w:rsidR="006E4E11" w:rsidRPr="00CF0EAF" w:rsidRDefault="006E4E11">
            <w:pPr>
              <w:pStyle w:val="Avsndare"/>
              <w:framePr w:h="2483" w:wrap="notBeside" w:x="1504"/>
              <w:rPr>
                <w:bCs/>
                <w:iCs/>
              </w:rPr>
            </w:pPr>
          </w:p>
        </w:tc>
      </w:tr>
      <w:tr w:rsidR="006E4E11" w:rsidRPr="00CF0EAF">
        <w:tblPrEx>
          <w:tblCellMar>
            <w:top w:w="0" w:type="dxa"/>
            <w:bottom w:w="0" w:type="dxa"/>
          </w:tblCellMar>
        </w:tblPrEx>
        <w:trPr>
          <w:trHeight w:val="284"/>
        </w:trPr>
        <w:tc>
          <w:tcPr>
            <w:tcW w:w="4911" w:type="dxa"/>
          </w:tcPr>
          <w:p w:rsidR="006E4E11" w:rsidRPr="00CF0EAF" w:rsidRDefault="006E4E11">
            <w:pPr>
              <w:pStyle w:val="Avsndare"/>
              <w:framePr w:h="2483" w:wrap="notBeside" w:x="1504"/>
              <w:rPr>
                <w:bCs/>
                <w:iCs/>
              </w:rPr>
            </w:pPr>
          </w:p>
        </w:tc>
      </w:tr>
      <w:tr w:rsidR="00F21E40" w:rsidRPr="00CF0EAF">
        <w:tblPrEx>
          <w:tblCellMar>
            <w:top w:w="0" w:type="dxa"/>
            <w:bottom w:w="0" w:type="dxa"/>
          </w:tblCellMar>
        </w:tblPrEx>
        <w:trPr>
          <w:trHeight w:val="284"/>
        </w:trPr>
        <w:tc>
          <w:tcPr>
            <w:tcW w:w="4911" w:type="dxa"/>
          </w:tcPr>
          <w:p w:rsidR="00F21E40" w:rsidRPr="00CF0EAF" w:rsidRDefault="00F21E40">
            <w:pPr>
              <w:pStyle w:val="Avsndare"/>
              <w:framePr w:h="2483" w:wrap="notBeside" w:x="1504"/>
              <w:rPr>
                <w:bCs/>
                <w:iCs/>
              </w:rPr>
            </w:pPr>
          </w:p>
        </w:tc>
      </w:tr>
    </w:tbl>
    <w:p w:rsidR="006E4E11" w:rsidRPr="00CF0EAF" w:rsidRDefault="006E4E11">
      <w:pPr>
        <w:framePr w:w="4400" w:h="2523" w:wrap="notBeside" w:vAnchor="page" w:hAnchor="page" w:x="6453" w:y="2445"/>
        <w:ind w:left="142"/>
      </w:pPr>
    </w:p>
    <w:p w:rsidR="006E4E11" w:rsidRPr="00CF0EAF" w:rsidRDefault="00F21E40" w:rsidP="00F21E40">
      <w:pPr>
        <w:pStyle w:val="RKrubrik"/>
        <w:pBdr>
          <w:bottom w:val="single" w:sz="4" w:space="1" w:color="000000"/>
        </w:pBdr>
        <w:spacing w:before="0" w:after="0"/>
      </w:pPr>
      <w:r w:rsidRPr="00CF0EAF">
        <w:t xml:space="preserve">Konkurrenskraftsrådet den </w:t>
      </w:r>
      <w:r w:rsidR="000044D2" w:rsidRPr="00CF0EAF">
        <w:t>11-12 oktober 2010</w:t>
      </w:r>
      <w:r w:rsidRPr="00CF0EAF">
        <w:t xml:space="preserve"> – sr Björlings ansvarsområden</w:t>
      </w:r>
    </w:p>
    <w:p w:rsidR="006E4E11" w:rsidRPr="00CF0EAF" w:rsidRDefault="00F21E40" w:rsidP="00F21E40">
      <w:pPr>
        <w:pStyle w:val="Rubrik1"/>
      </w:pPr>
      <w:r w:rsidRPr="00CF0EAF">
        <w:t>Kommenterad dagordning</w:t>
      </w:r>
    </w:p>
    <w:p w:rsidR="00F21E40" w:rsidRPr="00CF0EAF" w:rsidRDefault="00F21E40" w:rsidP="003D5B1B">
      <w:pPr>
        <w:pStyle w:val="Rubrik1"/>
        <w:numPr>
          <w:ilvl w:val="0"/>
          <w:numId w:val="4"/>
        </w:numPr>
        <w:ind w:hanging="1500"/>
      </w:pPr>
      <w:r w:rsidRPr="00CF0EAF">
        <w:t>Godkännande dagordning</w:t>
      </w:r>
    </w:p>
    <w:p w:rsidR="00F21E40" w:rsidRPr="00CF0EAF" w:rsidRDefault="00796CEC" w:rsidP="00F21E40">
      <w:pPr>
        <w:pStyle w:val="Rubrik1"/>
        <w:rPr>
          <w:u w:val="single"/>
        </w:rPr>
      </w:pPr>
      <w:r w:rsidRPr="00CF0EAF">
        <w:rPr>
          <w:u w:val="single"/>
        </w:rPr>
        <w:t>L</w:t>
      </w:r>
      <w:r w:rsidR="00F21E40" w:rsidRPr="00CF0EAF">
        <w:rPr>
          <w:u w:val="single"/>
        </w:rPr>
        <w:t>agstiftnings</w:t>
      </w:r>
      <w:r w:rsidRPr="00CF0EAF">
        <w:rPr>
          <w:u w:val="single"/>
        </w:rPr>
        <w:t>överläggningar</w:t>
      </w:r>
    </w:p>
    <w:p w:rsidR="00F21E40" w:rsidRPr="00CF0EAF" w:rsidRDefault="00F21E40" w:rsidP="001511D1">
      <w:pPr>
        <w:spacing w:line="240" w:lineRule="auto"/>
        <w:rPr>
          <w:i/>
        </w:rPr>
      </w:pPr>
      <w:r w:rsidRPr="00CF0EAF">
        <w:rPr>
          <w:i/>
          <w:lang w:eastAsia="sl-SI"/>
        </w:rPr>
        <w:t>(Offentlig överläggning enligt artikel 16.8 i fördraget om Europeiska unionen)</w:t>
      </w:r>
    </w:p>
    <w:p w:rsidR="00F21E40" w:rsidRPr="00CF0EAF" w:rsidRDefault="00F21E40" w:rsidP="003D5B1B">
      <w:pPr>
        <w:pStyle w:val="Rubrik1"/>
        <w:numPr>
          <w:ilvl w:val="0"/>
          <w:numId w:val="4"/>
        </w:numPr>
        <w:ind w:hanging="1500"/>
      </w:pPr>
      <w:r w:rsidRPr="00CF0EAF">
        <w:t>Godkännande av A-punkter</w:t>
      </w:r>
    </w:p>
    <w:p w:rsidR="00CC66D3" w:rsidRPr="00CF0EAF" w:rsidRDefault="00CC66D3" w:rsidP="00CC66D3">
      <w:pPr>
        <w:pStyle w:val="Rubrik1"/>
        <w:numPr>
          <w:ilvl w:val="0"/>
          <w:numId w:val="4"/>
        </w:numPr>
        <w:tabs>
          <w:tab w:val="clear" w:pos="1500"/>
          <w:tab w:val="num" w:pos="1134"/>
        </w:tabs>
        <w:ind w:left="1134" w:hanging="1134"/>
      </w:pPr>
      <w:r w:rsidRPr="00CF0EAF">
        <w:t xml:space="preserve">Förslag till </w:t>
      </w:r>
      <w:r w:rsidR="00796CEC" w:rsidRPr="00CF0EAF">
        <w:t xml:space="preserve">rådets förordning om översättningsarrangemang för Europeiska unionens patent                                           </w:t>
      </w:r>
      <w:r w:rsidR="004E21D1" w:rsidRPr="00CF0EAF">
        <w:rPr>
          <w:b w:val="0"/>
        </w:rPr>
        <w:t>fö</w:t>
      </w:r>
      <w:r w:rsidR="00E630C0" w:rsidRPr="00CF0EAF">
        <w:rPr>
          <w:b w:val="0"/>
        </w:rPr>
        <w:t>redragande: sr Björling</w:t>
      </w:r>
      <w:r w:rsidR="00E630C0" w:rsidRPr="00CF0EAF">
        <w:t xml:space="preserve"> </w:t>
      </w:r>
    </w:p>
    <w:p w:rsidR="00CC66D3" w:rsidRPr="00CF0EAF" w:rsidRDefault="00CC66D3" w:rsidP="00CC66D3">
      <w:pPr>
        <w:spacing w:line="240" w:lineRule="auto"/>
        <w:ind w:left="567"/>
        <w:rPr>
          <w:i/>
        </w:rPr>
      </w:pPr>
      <w:r w:rsidRPr="00CF0EAF">
        <w:rPr>
          <w:i/>
        </w:rPr>
        <w:tab/>
      </w:r>
      <w:r w:rsidRPr="00CF0EAF">
        <w:rPr>
          <w:i/>
        </w:rPr>
        <w:sym w:font="Symbol" w:char="F02D"/>
      </w:r>
      <w:r w:rsidRPr="00CF0EAF">
        <w:rPr>
          <w:i/>
        </w:rPr>
        <w:tab/>
        <w:t xml:space="preserve">Politisk överenskommelse </w:t>
      </w:r>
    </w:p>
    <w:p w:rsidR="00CC66D3" w:rsidRPr="00CF0EAF" w:rsidRDefault="00CC66D3" w:rsidP="00CC66D3">
      <w:pPr>
        <w:spacing w:line="240" w:lineRule="auto"/>
        <w:ind w:left="567"/>
        <w:rPr>
          <w:i/>
        </w:rPr>
      </w:pPr>
      <w:r w:rsidRPr="00CF0EAF">
        <w:rPr>
          <w:i/>
        </w:rPr>
        <w:tab/>
      </w:r>
      <w:r w:rsidRPr="00CF0EAF">
        <w:rPr>
          <w:i/>
        </w:rPr>
        <w:tab/>
      </w:r>
      <w:r w:rsidR="00796CEC" w:rsidRPr="00CF0EAF">
        <w:rPr>
          <w:i/>
        </w:rPr>
        <w:t>dok. 11805/10 PI 77</w:t>
      </w:r>
    </w:p>
    <w:p w:rsidR="001B5D49" w:rsidRPr="00CF0EAF" w:rsidRDefault="001B5D49" w:rsidP="00CC66D3">
      <w:pPr>
        <w:spacing w:line="240" w:lineRule="auto"/>
        <w:ind w:left="567"/>
        <w:rPr>
          <w:i/>
        </w:rPr>
      </w:pPr>
    </w:p>
    <w:p w:rsidR="005D27E4" w:rsidRPr="00CF0EAF" w:rsidRDefault="005D27E4" w:rsidP="005D27E4">
      <w:pPr>
        <w:pStyle w:val="RKnormal"/>
      </w:pPr>
      <w:r w:rsidRPr="00CF0EAF">
        <w:t>Ett förbättrat patentsystem i Europa med ett EU-patent och en enhetlig europeisk patentdomstol är en av de viktigaste åtgärderna för att främja innovation på den inre marknaden. Under det svenska ordförandeskapet antogs en allmän inriktning om förslaget till EU-patentförordning. Frågan om EU-patentets över</w:t>
      </w:r>
      <w:r w:rsidRPr="00CF0EAF">
        <w:softHyphen/>
        <w:t>sättnings</w:t>
      </w:r>
      <w:r w:rsidRPr="00CF0EAF">
        <w:softHyphen/>
        <w:t>regim fanns inte med i den allmänna inriktningen, eftersom Lissabonfördraget innebar att det krävdes ett nytt förslag från kommissionen i denna del. Kommissionen presenterade sitt förslag till förordning för EU-</w:t>
      </w:r>
      <w:r w:rsidRPr="00CF0EAF">
        <w:lastRenderedPageBreak/>
        <w:t>patentets översättnings</w:t>
      </w:r>
      <w:r w:rsidRPr="00CF0EAF">
        <w:softHyphen/>
        <w:t>regim den 30 juni 2010. En sådan förordning är nödvändig för att EU-patentförordningen ska träda i kraft. Förslaget överensstämmer i stort med det ursprungliga förslaget som kommissionens presenterade redan år 2000.</w:t>
      </w:r>
    </w:p>
    <w:p w:rsidR="005D27E4" w:rsidRPr="00CF0EAF" w:rsidRDefault="005D27E4" w:rsidP="005D27E4">
      <w:pPr>
        <w:pStyle w:val="RKnormal"/>
      </w:pPr>
    </w:p>
    <w:p w:rsidR="005D27E4" w:rsidRPr="00CF0EAF" w:rsidRDefault="005D27E4" w:rsidP="005D27E4">
      <w:pPr>
        <w:pStyle w:val="RKnormal"/>
      </w:pPr>
      <w:r w:rsidRPr="00CF0EAF">
        <w:t>Förordningen reglerar vilka språk EU-patentet ska kunna beviljas på och under vilka förutsättningar översättningar av EU-patentet ska ske. Förslaget innebär att ett EU-patent ska kunna beviljas på något av de befintliga arbetsspråken vid det Europeiska patentverket (European Patent Office, EPO) – engelska, tyska eller franska. Vidare innehåller förslaget bl.a. bestämmelser om att översättning av patentet ska kunna krävas vid händelse av tvist samt innebär att maskinöversättningar för informationsbruk ska kunna tillhandahållas. Det finns ett mycket starkt stöd för förslaget i rådet och bara två medlemsstater som motsätter sig det.</w:t>
      </w:r>
    </w:p>
    <w:p w:rsidR="005D27E4" w:rsidRPr="00CF0EAF" w:rsidRDefault="005D27E4" w:rsidP="005D27E4">
      <w:pPr>
        <w:pStyle w:val="RKnormal"/>
        <w:rPr>
          <w:u w:val="single"/>
        </w:rPr>
      </w:pPr>
    </w:p>
    <w:p w:rsidR="005D27E4" w:rsidRPr="00CF0EAF" w:rsidRDefault="005D27E4" w:rsidP="005D27E4">
      <w:pPr>
        <w:pStyle w:val="RKnormal"/>
      </w:pPr>
      <w:r w:rsidRPr="00CF0EAF">
        <w:t>Det belgiska ordförandeskapet har föreslagit att konkurrenskraftsrådet ska anta en politisk överenskommelse om förslagen. Det är emellertid tveksam om detta är möjligt, eftersom frågan om översättnings</w:t>
      </w:r>
      <w:r w:rsidRPr="00CF0EAF">
        <w:softHyphen/>
        <w:t>arrangemang sedan länge är låst genom att två medlemsstater motsätter sig det. Rådet måste fatta beslut med enhällighet. Mot denna bakgrund är det ännu svårt att förutsäga vad konkurrenskraftsrådets behandling av förslaget kommer att resultera i.</w:t>
      </w:r>
    </w:p>
    <w:p w:rsidR="005D27E4" w:rsidRPr="00CF0EAF" w:rsidRDefault="005D27E4" w:rsidP="005D27E4">
      <w:pPr>
        <w:pStyle w:val="RKnormal"/>
      </w:pPr>
    </w:p>
    <w:p w:rsidR="005D27E4" w:rsidRPr="00CF0EAF" w:rsidRDefault="005D27E4" w:rsidP="005D27E4">
      <w:r w:rsidRPr="00CF0EAF">
        <w:rPr>
          <w:u w:val="single"/>
        </w:rPr>
        <w:t>Förslag till svensk ståndpunkt</w:t>
      </w:r>
      <w:r w:rsidRPr="00CF0EAF">
        <w:t>: SE stödjer kommissionens förslag till översättnings</w:t>
      </w:r>
      <w:r w:rsidRPr="00CF0EAF">
        <w:softHyphen/>
        <w:t>arrangemang för EU-patentet. Förslaget är kostnadseffektivt och rättssäkert, samt möter användarnas krav. Förslaget banar väg för en slutlig överens</w:t>
      </w:r>
      <w:r w:rsidRPr="00CF0EAF">
        <w:softHyphen/>
        <w:t>kommelse om EU-patentet och en enhetlig patent</w:t>
      </w:r>
      <w:r w:rsidRPr="00CF0EAF">
        <w:softHyphen/>
        <w:t>domstol, vilket är av central betydelse för att främja innovation och stärka EU:s konkurrens</w:t>
      </w:r>
      <w:r w:rsidRPr="00CF0EAF">
        <w:softHyphen/>
        <w:t>kraft. Om nödvändigt är SE även öppet för att acceptera en kompromiss som bygger vidare på kommissionens förslag, men som även innebär att patent beviljade på tyska eller franska ska översättas till engelska i informations</w:t>
      </w:r>
      <w:r w:rsidRPr="00CF0EAF">
        <w:softHyphen/>
        <w:t>syfte. Skulle det visa sig omöjligt att nå enhällighet på grundval av förslaget från KOM stöder SE att arbete inleds mot ett fördjupat samarbete. SE ska i så fall vara berett att ta initiativet till att sådant arbete inleds.</w:t>
      </w:r>
    </w:p>
    <w:p w:rsidR="005D27E4" w:rsidRPr="00CF0EAF" w:rsidRDefault="005D27E4" w:rsidP="005D27E4">
      <w:pPr>
        <w:pStyle w:val="RKnormal"/>
      </w:pPr>
    </w:p>
    <w:p w:rsidR="005D27E4" w:rsidRPr="00CF0EAF" w:rsidRDefault="005D27E4" w:rsidP="005D27E4">
      <w:pPr>
        <w:pStyle w:val="RKnormal"/>
      </w:pPr>
      <w:r w:rsidRPr="00CF0EAF">
        <w:t>Se vidare rådspromemoria</w:t>
      </w:r>
    </w:p>
    <w:p w:rsidR="00007D68" w:rsidRPr="00CF0EAF" w:rsidRDefault="00007D68" w:rsidP="005D27E4">
      <w:pPr>
        <w:pStyle w:val="RKnormal"/>
      </w:pPr>
    </w:p>
    <w:p w:rsidR="00007D68" w:rsidRPr="00CF0EAF" w:rsidRDefault="00007D68" w:rsidP="005D27E4">
      <w:pPr>
        <w:pStyle w:val="RKnormal"/>
      </w:pPr>
    </w:p>
    <w:p w:rsidR="00007D68" w:rsidRPr="00CF0EAF" w:rsidRDefault="00007D68" w:rsidP="005D27E4">
      <w:pPr>
        <w:pStyle w:val="RKnormal"/>
      </w:pPr>
    </w:p>
    <w:p w:rsidR="00007D68" w:rsidRPr="00CF0EAF" w:rsidRDefault="00007D68" w:rsidP="005D27E4">
      <w:pPr>
        <w:pStyle w:val="RKnormal"/>
      </w:pPr>
    </w:p>
    <w:p w:rsidR="00007D68" w:rsidRPr="00CF0EAF" w:rsidRDefault="00007D68" w:rsidP="005D27E4">
      <w:pPr>
        <w:pStyle w:val="RKnormal"/>
      </w:pPr>
    </w:p>
    <w:p w:rsidR="00007D68" w:rsidRPr="00CF0EAF" w:rsidRDefault="00007D68" w:rsidP="005D27E4">
      <w:pPr>
        <w:pStyle w:val="RKnormal"/>
      </w:pPr>
    </w:p>
    <w:p w:rsidR="00007D68" w:rsidRPr="00CF0EAF" w:rsidRDefault="00007D68" w:rsidP="005D27E4">
      <w:pPr>
        <w:pStyle w:val="RKnormal"/>
      </w:pPr>
    </w:p>
    <w:p w:rsidR="00796CEC" w:rsidRPr="00CF0EAF" w:rsidRDefault="00796CEC" w:rsidP="001B5D49">
      <w:pPr>
        <w:pStyle w:val="RKnormal"/>
      </w:pPr>
    </w:p>
    <w:p w:rsidR="00796CEC" w:rsidRPr="00CF0EAF" w:rsidRDefault="00796CEC" w:rsidP="001B5D49">
      <w:pPr>
        <w:pStyle w:val="RKnormal"/>
        <w:rPr>
          <w:b/>
          <w:u w:val="single"/>
        </w:rPr>
      </w:pPr>
      <w:r w:rsidRPr="00CF0EAF">
        <w:rPr>
          <w:b/>
          <w:u w:val="single"/>
        </w:rPr>
        <w:t>Icke lagstiftande verksamhet</w:t>
      </w:r>
    </w:p>
    <w:p w:rsidR="00CC66D3" w:rsidRPr="00CF0EAF" w:rsidRDefault="00796CEC" w:rsidP="00CC66D3">
      <w:pPr>
        <w:pStyle w:val="Rubrik1"/>
        <w:numPr>
          <w:ilvl w:val="0"/>
          <w:numId w:val="4"/>
        </w:numPr>
        <w:tabs>
          <w:tab w:val="clear" w:pos="1500"/>
          <w:tab w:val="num" w:pos="1134"/>
        </w:tabs>
        <w:ind w:left="1134" w:hanging="1134"/>
      </w:pPr>
      <w:r w:rsidRPr="00CF0EAF">
        <w:t>Godkännande av A-punktslistan</w:t>
      </w:r>
    </w:p>
    <w:p w:rsidR="00796CEC" w:rsidRPr="00CF0EAF" w:rsidRDefault="00796CEC" w:rsidP="00C20181">
      <w:pPr>
        <w:pStyle w:val="Rubrik1"/>
        <w:numPr>
          <w:ilvl w:val="0"/>
          <w:numId w:val="4"/>
        </w:numPr>
        <w:tabs>
          <w:tab w:val="clear" w:pos="1500"/>
          <w:tab w:val="num" w:pos="1134"/>
        </w:tabs>
        <w:ind w:left="1134" w:hanging="1134"/>
      </w:pPr>
      <w:r w:rsidRPr="00CF0EAF">
        <w:t>En fungerande inre marknad                                                  a) Meddelande från kommissionen ”Om en inre marknad med smart hållbar tillväxt för alla”                                                  -   Föredragning av kommissionen</w:t>
      </w:r>
      <w:r w:rsidRPr="00CF0EAF">
        <w:tab/>
      </w:r>
      <w:r w:rsidRPr="00CF0EAF">
        <w:tab/>
      </w:r>
      <w:r w:rsidRPr="00CF0EAF">
        <w:tab/>
      </w:r>
      <w:r w:rsidRPr="00CF0EAF">
        <w:tab/>
        <w:t xml:space="preserve">  -</w:t>
      </w:r>
      <w:r w:rsidRPr="00CF0EAF">
        <w:tab/>
        <w:t>Diskussion (Offentlig debatt i enlighet med artikel 8.2 i rådes arbetsordning (förslag av ordförandeskapet)                    dok. 13977/10 COMPET 252 MI 325 SOC</w:t>
      </w:r>
      <w:r w:rsidR="00781507" w:rsidRPr="00CF0EAF">
        <w:t xml:space="preserve"> 572 ENT 119 CONSOM 79 POLGEN 136 FIN 408                                      dok. 139/1/10 COMPET 249 MI 319 SOC 567 ENT 118 CONSOM 77 POLGEN 135 FIN 406 REV 1                            </w:t>
      </w:r>
      <w:r w:rsidR="00D3568B" w:rsidRPr="00CF0EAF">
        <w:rPr>
          <w:b w:val="0"/>
        </w:rPr>
        <w:t>ansvarig och föredragande: sr Björling</w:t>
      </w:r>
      <w:r w:rsidRPr="00CF0EAF">
        <w:tab/>
      </w:r>
    </w:p>
    <w:p w:rsidR="00BB1774" w:rsidRPr="00CF0EAF" w:rsidRDefault="00BB1774" w:rsidP="00BB1774">
      <w:pPr>
        <w:pStyle w:val="RKnormal"/>
      </w:pPr>
    </w:p>
    <w:p w:rsidR="00BB1774" w:rsidRPr="00CF0EAF" w:rsidRDefault="00BB1774" w:rsidP="00BB1774">
      <w:pPr>
        <w:pStyle w:val="RKnormal"/>
      </w:pPr>
      <w:r w:rsidRPr="00CF0EAF">
        <w:t xml:space="preserve">Kommissionen kommer </w:t>
      </w:r>
      <w:r w:rsidR="006221B7" w:rsidRPr="00CF0EAF">
        <w:t xml:space="preserve">enligt uppgift </w:t>
      </w:r>
      <w:r w:rsidRPr="00CF0EAF">
        <w:t xml:space="preserve">att anta </w:t>
      </w:r>
      <w:r w:rsidR="00C65E7F" w:rsidRPr="00CF0EAF">
        <w:t>en blåbok</w:t>
      </w:r>
      <w:r w:rsidRPr="00CF0EAF">
        <w:t xml:space="preserve"> ”Om en inre marknad med smart hållbar tillväxt för alla” den 27 oktober. </w:t>
      </w:r>
      <w:r w:rsidR="009C3DAF" w:rsidRPr="00CF0EAF">
        <w:t xml:space="preserve">Det är oklart hur frågan ska hanteras vid KKR. </w:t>
      </w:r>
      <w:r w:rsidRPr="00CF0EAF">
        <w:t xml:space="preserve">En </w:t>
      </w:r>
      <w:r w:rsidR="009C3DAF" w:rsidRPr="00CF0EAF">
        <w:t xml:space="preserve">eventuell </w:t>
      </w:r>
      <w:r w:rsidR="00D3343A" w:rsidRPr="00CF0EAF">
        <w:t>diskussion om</w:t>
      </w:r>
      <w:r w:rsidRPr="00CF0EAF">
        <w:t xml:space="preserve"> </w:t>
      </w:r>
      <w:r w:rsidR="006221B7" w:rsidRPr="00CF0EAF">
        <w:t>blåboken</w:t>
      </w:r>
      <w:r w:rsidRPr="00CF0EAF">
        <w:t xml:space="preserve"> </w:t>
      </w:r>
      <w:r w:rsidR="00D3343A" w:rsidRPr="00CF0EAF">
        <w:t>kan antas ske vid KKR</w:t>
      </w:r>
      <w:r w:rsidRPr="00CF0EAF">
        <w:t xml:space="preserve">. </w:t>
      </w:r>
    </w:p>
    <w:p w:rsidR="00BB1774" w:rsidRPr="00CF0EAF" w:rsidRDefault="00BB1774" w:rsidP="00BB1774">
      <w:pPr>
        <w:pStyle w:val="RKnormal"/>
      </w:pPr>
    </w:p>
    <w:p w:rsidR="00BB1774" w:rsidRPr="00CF0EAF" w:rsidRDefault="00BB1774" w:rsidP="00BB1774">
      <w:pPr>
        <w:pStyle w:val="RKnormal"/>
      </w:pPr>
      <w:r w:rsidRPr="00CF0EAF">
        <w:t xml:space="preserve">Den inre marknaden har varit en av de främsta drivkrafterna bakom Europas integration och ekonomiska utveckling under snart två decennier. Mot bakgrund av hårdnande global konkurrens, ökad användning av IT, klimatförändringar, en åldrande befolkning och den ekonomiska krisen i många EU-länder finns dock ett behov av en modernisering och effektivisering av den inre marknaden och dess funktionssätt. Sverige har </w:t>
      </w:r>
      <w:r w:rsidRPr="00CF0EAF">
        <w:rPr>
          <w:i/>
        </w:rPr>
        <w:t>såväl</w:t>
      </w:r>
      <w:r w:rsidRPr="00CF0EAF">
        <w:t xml:space="preserve"> inför </w:t>
      </w:r>
      <w:r w:rsidRPr="00CF0EAF">
        <w:rPr>
          <w:i/>
        </w:rPr>
        <w:t>som</w:t>
      </w:r>
      <w:r w:rsidRPr="00CF0EAF">
        <w:t xml:space="preserve"> under utarbetande av meddelandet framfört svenska ståndpunkter och prioriteringar såväl muntligen som skriftligen. </w:t>
      </w:r>
    </w:p>
    <w:p w:rsidR="00BB1774" w:rsidRPr="00CF0EAF" w:rsidRDefault="00BB1774" w:rsidP="00BB1774">
      <w:pPr>
        <w:pStyle w:val="RKnormal"/>
        <w:rPr>
          <w:u w:val="single"/>
        </w:rPr>
      </w:pPr>
    </w:p>
    <w:p w:rsidR="00BB1774" w:rsidRPr="00CF0EAF" w:rsidRDefault="00BB1774" w:rsidP="00BB1774">
      <w:pPr>
        <w:pStyle w:val="RKnormal"/>
      </w:pPr>
      <w:r w:rsidRPr="00CF0EAF">
        <w:rPr>
          <w:u w:val="single"/>
        </w:rPr>
        <w:t>Förslag till svensk ståndpunkt:</w:t>
      </w:r>
      <w:r w:rsidRPr="00CF0EAF">
        <w:t xml:space="preserve"> Sverige anser att kommissionens meddelande bör ägna tjänstesektorn och tjänstedirektivet särskild uppmärksamhet och att åtgärder för att förnya och effektivisera den inre marknaden går hand i hand med en fortsatt öppenhet gentemot tredje land, bl.a. för att öka marknadstillträdet för de europeiska företagen. Det är angeläget att förslagen underlättar för produktion och konsumtion av klimatsmarta produkter och att den nödvändiga utbyggnaden av Europas transportnät möter de krav som klimatomställningen kräver. EU måste tillvarata de komparativa fördelar som en effektiv och välfungerande digital inre marknad erbjuder i form  av ökade affärsmöjligheter och gränsöverskridande kontakter även på individnivå. En väl fungerande e-förvaltning är också viktig i detta sammanhang. Endast två procent av de offentliga myndigheternas upphandling i Europa sker av företag i andra länder. Det är därför angeläget att regelverket förenklas och moderniseras. </w:t>
      </w:r>
    </w:p>
    <w:p w:rsidR="00BB1774" w:rsidRPr="00CF0EAF" w:rsidRDefault="00BB1774" w:rsidP="00BB1774">
      <w:pPr>
        <w:pStyle w:val="RKnormal"/>
      </w:pPr>
    </w:p>
    <w:p w:rsidR="00BB1774" w:rsidRPr="00CF0EAF" w:rsidRDefault="00BB1774" w:rsidP="00BB1774">
      <w:pPr>
        <w:pStyle w:val="RKnormal"/>
      </w:pPr>
      <w:r w:rsidRPr="00CF0EAF">
        <w:t>För att garantera EU-medborgarnas och företagens förtroende för EU och den inre marknaden är det grundläggande att gemensamt beslutade direktiv och åtgärder också implementeras nationellt. Sverige ställer sig därför positivt till de förslag som ska diskuteras vid rådets möte den 11 oktober om att stärka Konkurrenskraftsrådets och de deltagande ministrarnas roll vad gäller utökad kontroll, uppföljning av aktens genomförande i respektive medlemsland och rapportering av kvarvarande nationella hinder. För att garantera ett snabbt genomförande av akten bör kommissionens utarbetande av en färdplan ligga i svenskt intresse.</w:t>
      </w:r>
    </w:p>
    <w:p w:rsidR="00781507" w:rsidRPr="00CF0EAF" w:rsidRDefault="00781507" w:rsidP="00781507">
      <w:pPr>
        <w:pStyle w:val="RKnormal"/>
      </w:pPr>
    </w:p>
    <w:p w:rsidR="0086055F" w:rsidRPr="00CF0EAF" w:rsidRDefault="0086055F" w:rsidP="00781507">
      <w:pPr>
        <w:pStyle w:val="RKnormal"/>
      </w:pPr>
    </w:p>
    <w:p w:rsidR="00781507" w:rsidRPr="00CF0EAF" w:rsidRDefault="00781507" w:rsidP="00781507">
      <w:pPr>
        <w:pStyle w:val="RKnormal"/>
        <w:rPr>
          <w:b/>
        </w:rPr>
      </w:pPr>
      <w:r w:rsidRPr="00CF0EAF">
        <w:rPr>
          <w:b/>
        </w:rPr>
        <w:t xml:space="preserve">                   b) Rapport från Kommissionen om övervakning av                  marknaden för handel och distribution</w:t>
      </w:r>
      <w:r w:rsidRPr="00CF0EAF">
        <w:rPr>
          <w:b/>
        </w:rPr>
        <w:tab/>
        <w:t>- Lägesrapport                                                       dok. 11901/10 MI 232 COMPET 214 CONSOM 67</w:t>
      </w:r>
    </w:p>
    <w:p w:rsidR="00781507" w:rsidRPr="00CF0EAF" w:rsidRDefault="004E21D1" w:rsidP="00781507">
      <w:pPr>
        <w:pStyle w:val="RKnormal"/>
      </w:pPr>
      <w:r w:rsidRPr="00CF0EAF">
        <w:t>F</w:t>
      </w:r>
      <w:r w:rsidR="00781507" w:rsidRPr="00CF0EAF">
        <w:t>öredragande: Eva Björling</w:t>
      </w:r>
    </w:p>
    <w:p w:rsidR="00781507" w:rsidRPr="00CF0EAF" w:rsidRDefault="00781507" w:rsidP="00781507">
      <w:pPr>
        <w:pStyle w:val="RKnormal"/>
        <w:rPr>
          <w:b/>
        </w:rPr>
      </w:pPr>
    </w:p>
    <w:p w:rsidR="00C50F28" w:rsidRPr="00CF0EAF" w:rsidRDefault="00C50F28" w:rsidP="00C50F28">
      <w:pPr>
        <w:pStyle w:val="RKnormal"/>
      </w:pPr>
      <w:r w:rsidRPr="00CF0EAF">
        <w:t>Kommissionen har presenterat en rapport om övervakning av detaljhandeln som ett led i att förbättra handels- och distributionsföretagens utnyttjande av friheterna på den inre marknaden. En handel och distribution som är smart, hållbar och tillgänglig för alla förväntas kunna bidra till att göra EU:s strategi för 2020 framgångsrik. Sverige har, efter en inhemsk remissrunda, bidragit till det offentliga samråd som kommissionen lanserat kring rapporten.</w:t>
      </w:r>
    </w:p>
    <w:p w:rsidR="00C50F28" w:rsidRPr="00CF0EAF" w:rsidRDefault="00C50F28" w:rsidP="00C50F28">
      <w:pPr>
        <w:pStyle w:val="RKnormal"/>
        <w:rPr>
          <w:u w:val="single"/>
        </w:rPr>
      </w:pPr>
    </w:p>
    <w:p w:rsidR="00C50F28" w:rsidRPr="00CF0EAF" w:rsidRDefault="00C50F28" w:rsidP="00C50F28">
      <w:pPr>
        <w:pStyle w:val="RKnormal"/>
      </w:pPr>
      <w:r w:rsidRPr="00CF0EAF">
        <w:rPr>
          <w:u w:val="single"/>
        </w:rPr>
        <w:t>Förslag till svensk ståndpunkt:</w:t>
      </w:r>
      <w:r w:rsidRPr="00CF0EAF">
        <w:t xml:space="preserve"> Sverige välkomnar kommissionens rapport och anser det positivt att analysen är baserad på samtliga tre aspekter för hållbarhet, nämligen ekonomiskt, ekologiskt och socialt hållbar utveckling. Identifierade problemområden är samtliga relevanta och av avgörande betydelse för utvecklingen när det gäller handel och distribution inom EU. Sverige saknar dock ett mer diversifierat perspektiv när det gäller analysen av konkurrenssituationen inom detaljhandeln.</w:t>
      </w:r>
    </w:p>
    <w:p w:rsidR="00C50F28" w:rsidRPr="00CF0EAF" w:rsidRDefault="00C50F28" w:rsidP="00C50F28">
      <w:pPr>
        <w:pStyle w:val="RKnormal"/>
      </w:pPr>
    </w:p>
    <w:p w:rsidR="00D3568B" w:rsidRPr="00CF0EAF" w:rsidRDefault="00D3568B" w:rsidP="00781507">
      <w:pPr>
        <w:pStyle w:val="RKnormal"/>
        <w:rPr>
          <w:b/>
          <w:u w:val="single"/>
        </w:rPr>
      </w:pPr>
    </w:p>
    <w:p w:rsidR="00781507" w:rsidRPr="00CF0EAF" w:rsidRDefault="00781507" w:rsidP="00781507">
      <w:pPr>
        <w:pStyle w:val="RKnormal"/>
        <w:rPr>
          <w:b/>
          <w:u w:val="single"/>
        </w:rPr>
      </w:pPr>
      <w:r w:rsidRPr="00CF0EAF">
        <w:rPr>
          <w:b/>
          <w:u w:val="single"/>
        </w:rPr>
        <w:t>Övriga frågor inre marknaden</w:t>
      </w:r>
    </w:p>
    <w:p w:rsidR="00781507" w:rsidRPr="00CF0EAF" w:rsidRDefault="00781507" w:rsidP="00781507">
      <w:pPr>
        <w:pStyle w:val="RKnormal"/>
        <w:rPr>
          <w:b/>
        </w:rPr>
      </w:pPr>
    </w:p>
    <w:p w:rsidR="00781507" w:rsidRPr="00CF0EAF" w:rsidRDefault="00781507" w:rsidP="00CC66D3">
      <w:pPr>
        <w:spacing w:line="240" w:lineRule="auto"/>
        <w:ind w:left="567"/>
        <w:rPr>
          <w:b/>
        </w:rPr>
      </w:pPr>
      <w:r w:rsidRPr="00CF0EAF">
        <w:rPr>
          <w:b/>
        </w:rPr>
        <w:t>11 a)</w:t>
      </w:r>
      <w:r w:rsidRPr="00CF0EAF">
        <w:rPr>
          <w:b/>
        </w:rPr>
        <w:tab/>
        <w:t>Sena betalningar – Information från ordförandeskapet</w:t>
      </w:r>
    </w:p>
    <w:p w:rsidR="00781507" w:rsidRPr="00CF0EAF" w:rsidRDefault="00781507" w:rsidP="003B1BA4">
      <w:pPr>
        <w:spacing w:line="240" w:lineRule="auto"/>
        <w:rPr>
          <w:b/>
        </w:rPr>
      </w:pPr>
    </w:p>
    <w:p w:rsidR="009C61A8" w:rsidRPr="00CF0EAF" w:rsidRDefault="009C61A8" w:rsidP="003B1BA4">
      <w:pPr>
        <w:pStyle w:val="RKnormal"/>
        <w:rPr>
          <w:bCs/>
        </w:rPr>
      </w:pPr>
      <w:r w:rsidRPr="00CF0EAF">
        <w:rPr>
          <w:bCs/>
        </w:rPr>
        <w:t>Punkten avseende direktivet om sena betalningar har redan beretts genom att nedanstående annotering (Underlag I/A-punkter till A-punktsdatabasen) har överlämnats till SB. Frågan om sena betalningar var uppsatt som I-punkt vid Coreper I den 29 september 2010 och godkändes, varför punkten sedermera förväntas upptas A-punkt vid möte i rådet.</w:t>
      </w:r>
    </w:p>
    <w:p w:rsidR="009C61A8" w:rsidRPr="00CF0EAF" w:rsidRDefault="009C61A8" w:rsidP="003B1BA4">
      <w:pPr>
        <w:spacing w:line="240" w:lineRule="auto"/>
        <w:rPr>
          <w:b/>
        </w:rPr>
      </w:pPr>
    </w:p>
    <w:p w:rsidR="00781507" w:rsidRPr="00CF0EAF" w:rsidRDefault="00781507" w:rsidP="00CC66D3">
      <w:pPr>
        <w:spacing w:line="240" w:lineRule="auto"/>
        <w:ind w:left="567"/>
        <w:rPr>
          <w:b/>
        </w:rPr>
      </w:pPr>
      <w:r w:rsidRPr="00CF0EAF">
        <w:rPr>
          <w:b/>
        </w:rPr>
        <w:t xml:space="preserve">11 b) </w:t>
      </w:r>
      <w:r w:rsidRPr="00CF0EAF">
        <w:rPr>
          <w:b/>
        </w:rPr>
        <w:tab/>
        <w:t>De olika rådskonstellationernas roll inför den framtida ekonmomisk-politiska samordningen   - Information från den tyska delegationen</w:t>
      </w:r>
    </w:p>
    <w:p w:rsidR="00781507" w:rsidRPr="00CF0EAF" w:rsidRDefault="00781507" w:rsidP="00CC66D3">
      <w:pPr>
        <w:spacing w:line="240" w:lineRule="auto"/>
        <w:ind w:left="567"/>
        <w:rPr>
          <w:b/>
        </w:rPr>
      </w:pPr>
    </w:p>
    <w:p w:rsidR="009C61A8" w:rsidRPr="00CF0EAF" w:rsidRDefault="009C61A8" w:rsidP="003B1BA4">
      <w:pPr>
        <w:tabs>
          <w:tab w:val="left" w:pos="2145"/>
        </w:tabs>
        <w:spacing w:line="240" w:lineRule="auto"/>
      </w:pPr>
      <w:r w:rsidRPr="00CF0EAF">
        <w:t xml:space="preserve">Frågan har inte tidigare behandlats i nämnden. </w:t>
      </w:r>
    </w:p>
    <w:p w:rsidR="009C61A8" w:rsidRPr="00CF0EAF" w:rsidRDefault="009C61A8" w:rsidP="003B1BA4">
      <w:pPr>
        <w:tabs>
          <w:tab w:val="left" w:pos="2145"/>
        </w:tabs>
        <w:spacing w:line="240" w:lineRule="auto"/>
      </w:pPr>
      <w:r w:rsidRPr="00CF0EAF">
        <w:t xml:space="preserve">Ta del av informationen från den tyska delegationen. </w:t>
      </w:r>
    </w:p>
    <w:p w:rsidR="009C61A8" w:rsidRPr="00CF0EAF" w:rsidRDefault="009C61A8" w:rsidP="003B1BA4">
      <w:pPr>
        <w:tabs>
          <w:tab w:val="left" w:pos="2145"/>
        </w:tabs>
        <w:spacing w:line="240" w:lineRule="auto"/>
      </w:pPr>
      <w:r w:rsidRPr="00CF0EAF">
        <w:t>Svensk Ståndpunkt: Inte aktuell innan informationen har lämnats. Allmänt gäller att konkurrenskraftsrådets roll i förhållande till utformning och genomförande av framtida ekonomisk politik, t.ex. EU 2020 strategin, är viktig</w:t>
      </w:r>
      <w:r w:rsidRPr="00CF0EAF">
        <w:tab/>
      </w:r>
    </w:p>
    <w:p w:rsidR="009C61A8" w:rsidRPr="00CF0EAF" w:rsidRDefault="009C61A8" w:rsidP="003B1BA4">
      <w:pPr>
        <w:pStyle w:val="RKnormal"/>
      </w:pPr>
    </w:p>
    <w:p w:rsidR="00781507" w:rsidRPr="00CF0EAF" w:rsidRDefault="009C61A8" w:rsidP="003B1BA4">
      <w:pPr>
        <w:spacing w:line="240" w:lineRule="auto"/>
        <w:rPr>
          <w:b/>
        </w:rPr>
      </w:pPr>
      <w:r w:rsidRPr="00CF0EAF">
        <w:t xml:space="preserve">Generellt anser regeringen att den diskussionen om den förstärka ekonomiska samordningen inom EU och den nya styrningsstrukturen för EU 2020 bör ha sin utgångspunkt i fördraget. Viktigt att i detta skede respektera kompetensfördelning mellan olika rådskonstellationer och inte föregripa resultatet från Herman von Rompuys task force.  </w:t>
      </w:r>
    </w:p>
    <w:p w:rsidR="009C61A8" w:rsidRPr="00CF0EAF" w:rsidRDefault="009C61A8" w:rsidP="00CC66D3">
      <w:pPr>
        <w:spacing w:line="240" w:lineRule="auto"/>
        <w:ind w:left="567"/>
        <w:rPr>
          <w:b/>
          <w:u w:val="single"/>
        </w:rPr>
      </w:pPr>
    </w:p>
    <w:p w:rsidR="00781507" w:rsidRPr="00CF0EAF" w:rsidRDefault="00781507" w:rsidP="003B1BA4">
      <w:pPr>
        <w:spacing w:line="240" w:lineRule="auto"/>
        <w:rPr>
          <w:b/>
          <w:u w:val="single"/>
        </w:rPr>
      </w:pPr>
      <w:r w:rsidRPr="00CF0EAF">
        <w:rPr>
          <w:b/>
          <w:u w:val="single"/>
        </w:rPr>
        <w:t>Övriga frågor konsumenter</w:t>
      </w:r>
    </w:p>
    <w:p w:rsidR="00781507" w:rsidRPr="00CF0EAF" w:rsidRDefault="00781507" w:rsidP="00CC66D3">
      <w:pPr>
        <w:spacing w:line="240" w:lineRule="auto"/>
        <w:ind w:left="567"/>
        <w:rPr>
          <w:b/>
        </w:rPr>
      </w:pPr>
    </w:p>
    <w:p w:rsidR="009C61A8" w:rsidRPr="00CF0EAF" w:rsidRDefault="00781507" w:rsidP="00CC66D3">
      <w:pPr>
        <w:spacing w:line="240" w:lineRule="auto"/>
        <w:ind w:left="567"/>
        <w:rPr>
          <w:b/>
        </w:rPr>
      </w:pPr>
      <w:r w:rsidRPr="00CF0EAF">
        <w:rPr>
          <w:b/>
        </w:rPr>
        <w:t>11 f)</w:t>
      </w:r>
      <w:r w:rsidRPr="00CF0EAF">
        <w:rPr>
          <w:b/>
        </w:rPr>
        <w:tab/>
        <w:t>Högnivåmöte om konsumenternas ekonomiska rättigheter på den inre marknaden (Bryssel den 22 september 2010)  - Information från ordförandeskapet</w:t>
      </w:r>
      <w:r w:rsidR="00D3568B" w:rsidRPr="00CF0EAF">
        <w:rPr>
          <w:b/>
        </w:rPr>
        <w:t xml:space="preserve">                                                                   dok. 13979/10 CONSOM 78 MI 324 JUSTCIV 161</w:t>
      </w:r>
    </w:p>
    <w:p w:rsidR="009C61A8" w:rsidRPr="00CF0EAF" w:rsidRDefault="009C61A8" w:rsidP="00CC66D3">
      <w:pPr>
        <w:spacing w:line="240" w:lineRule="auto"/>
        <w:ind w:left="567"/>
        <w:rPr>
          <w:b/>
        </w:rPr>
      </w:pPr>
    </w:p>
    <w:p w:rsidR="009C61A8" w:rsidRPr="00CF0EAF" w:rsidRDefault="009C61A8" w:rsidP="009C61A8">
      <w:pPr>
        <w:spacing w:line="240" w:lineRule="auto"/>
        <w:rPr>
          <w:sz w:val="28"/>
        </w:rPr>
      </w:pPr>
      <w:r w:rsidRPr="00CF0EAF">
        <w:t xml:space="preserve">Den 22 September höll det belgiska ordförandeskapet ett högnivå möte som behandlade hur konsumenternas rättigheter ska skyddas på ett effektivt och likartat sätt på den inre marknaden. Utgångspunkten för mötet var att det finns brister när det gäller hur tillsynen fungerar inom EU och detta ansågs vara ett av skälen till att konsumenter i så låg utsträckning handlar gränsöverskridande. </w:t>
      </w:r>
    </w:p>
    <w:p w:rsidR="009C61A8" w:rsidRPr="00CF0EAF" w:rsidRDefault="009C61A8" w:rsidP="009C61A8">
      <w:pPr>
        <w:spacing w:line="240" w:lineRule="auto"/>
        <w:rPr>
          <w:u w:val="single"/>
        </w:rPr>
      </w:pPr>
    </w:p>
    <w:p w:rsidR="009C61A8" w:rsidRPr="00CF0EAF" w:rsidRDefault="009C61A8" w:rsidP="009C61A8">
      <w:pPr>
        <w:spacing w:line="240" w:lineRule="auto"/>
        <w:rPr>
          <w:color w:val="000000"/>
          <w:szCs w:val="24"/>
        </w:rPr>
      </w:pPr>
      <w:r w:rsidRPr="00CF0EAF">
        <w:rPr>
          <w:u w:val="single"/>
        </w:rPr>
        <w:t>Förslag till svensk ståndpunkt</w:t>
      </w:r>
      <w:r w:rsidRPr="00CF0EAF">
        <w:t xml:space="preserve">: Regeringen är positiv till insatser som främjar en effektiv tillsyn av att konsumentskyddslagstiftningen efterlevs. </w:t>
      </w:r>
    </w:p>
    <w:p w:rsidR="009C61A8" w:rsidRPr="00CF0EAF" w:rsidRDefault="009C61A8" w:rsidP="00CC66D3">
      <w:pPr>
        <w:spacing w:line="240" w:lineRule="auto"/>
        <w:ind w:left="567"/>
      </w:pPr>
    </w:p>
    <w:p w:rsidR="003D5B1B" w:rsidRPr="00CF0EAF" w:rsidRDefault="003D5B1B" w:rsidP="003D5B1B">
      <w:pPr>
        <w:pStyle w:val="RKnormal"/>
      </w:pPr>
    </w:p>
    <w:sectPr w:rsidR="003D5B1B" w:rsidRPr="00CF0EA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107" w:rsidRPr="00CF0EAF" w:rsidRDefault="00FA3107">
      <w:r w:rsidRPr="00CF0EAF">
        <w:separator/>
      </w:r>
    </w:p>
  </w:endnote>
  <w:endnote w:type="continuationSeparator" w:id="0">
    <w:p w:rsidR="00FA3107" w:rsidRPr="00CF0EAF" w:rsidRDefault="00FA3107">
      <w:r w:rsidRPr="00CF0E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107" w:rsidRPr="00CF0EAF" w:rsidRDefault="00FA3107">
      <w:r w:rsidRPr="00CF0EAF">
        <w:separator/>
      </w:r>
    </w:p>
  </w:footnote>
  <w:footnote w:type="continuationSeparator" w:id="0">
    <w:p w:rsidR="00FA3107" w:rsidRPr="00CF0EAF" w:rsidRDefault="00FA3107">
      <w:r w:rsidRPr="00CF0E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D1" w:rsidRPr="00CF0EAF" w:rsidRDefault="004E21D1">
    <w:pPr>
      <w:pStyle w:val="Sidhuvud"/>
      <w:framePr w:wrap="around" w:vAnchor="text" w:hAnchor="margin" w:xAlign="right" w:y="1"/>
      <w:rPr>
        <w:rStyle w:val="Sidnummer"/>
      </w:rPr>
    </w:pPr>
    <w:r w:rsidRPr="00CF0EAF">
      <w:rPr>
        <w:rStyle w:val="Sidnummer"/>
      </w:rPr>
      <w:fldChar w:fldCharType="begin" w:fldLock="1"/>
    </w:r>
    <w:r w:rsidRPr="00CF0EAF">
      <w:rPr>
        <w:rStyle w:val="Sidnummer"/>
      </w:rPr>
      <w:instrText xml:space="preserve">PAGE  </w:instrText>
    </w:r>
    <w:r w:rsidRPr="00CF0EAF">
      <w:rPr>
        <w:rStyle w:val="Sidnummer"/>
      </w:rPr>
      <w:fldChar w:fldCharType="separate"/>
    </w:r>
    <w:r w:rsidR="00BE7782" w:rsidRPr="00CF0EAF">
      <w:rPr>
        <w:rStyle w:val="Sidnummer"/>
      </w:rPr>
      <w:t>4</w:t>
    </w:r>
    <w:r w:rsidRPr="00CF0E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E21D1" w:rsidRPr="00CF0EAF">
      <w:tblPrEx>
        <w:tblCellMar>
          <w:top w:w="0" w:type="dxa"/>
          <w:bottom w:w="0" w:type="dxa"/>
        </w:tblCellMar>
      </w:tblPrEx>
      <w:trPr>
        <w:cantSplit/>
      </w:trPr>
      <w:tc>
        <w:tcPr>
          <w:tcW w:w="3119" w:type="dxa"/>
        </w:tcPr>
        <w:p w:rsidR="004E21D1" w:rsidRPr="00CF0EAF" w:rsidRDefault="004E21D1">
          <w:pPr>
            <w:pStyle w:val="Sidhuvud"/>
            <w:spacing w:line="200" w:lineRule="atLeast"/>
            <w:ind w:right="357"/>
            <w:rPr>
              <w:rFonts w:ascii="TradeGothic" w:hAnsi="TradeGothic"/>
              <w:b/>
              <w:bCs/>
              <w:sz w:val="16"/>
            </w:rPr>
          </w:pPr>
        </w:p>
      </w:tc>
      <w:tc>
        <w:tcPr>
          <w:tcW w:w="4111" w:type="dxa"/>
          <w:tcMar>
            <w:left w:w="567" w:type="dxa"/>
          </w:tcMar>
        </w:tcPr>
        <w:p w:rsidR="004E21D1" w:rsidRPr="00CF0EAF" w:rsidRDefault="004E21D1">
          <w:pPr>
            <w:pStyle w:val="Sidhuvud"/>
            <w:ind w:right="360"/>
          </w:pPr>
        </w:p>
      </w:tc>
      <w:tc>
        <w:tcPr>
          <w:tcW w:w="1525" w:type="dxa"/>
        </w:tcPr>
        <w:p w:rsidR="004E21D1" w:rsidRPr="00CF0EAF" w:rsidRDefault="004E21D1">
          <w:pPr>
            <w:pStyle w:val="Sidhuvud"/>
            <w:ind w:right="360"/>
          </w:pPr>
        </w:p>
      </w:tc>
    </w:tr>
  </w:tbl>
  <w:p w:rsidR="004E21D1" w:rsidRPr="00CF0EAF" w:rsidRDefault="004E21D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D1" w:rsidRPr="00CF0EAF" w:rsidRDefault="004E21D1">
    <w:pPr>
      <w:pStyle w:val="Sidhuvud"/>
      <w:framePr w:wrap="around" w:vAnchor="text" w:hAnchor="margin" w:xAlign="right" w:y="1"/>
      <w:rPr>
        <w:rStyle w:val="Sidnummer"/>
      </w:rPr>
    </w:pPr>
    <w:r w:rsidRPr="00CF0EAF">
      <w:rPr>
        <w:rStyle w:val="Sidnummer"/>
      </w:rPr>
      <w:fldChar w:fldCharType="begin" w:fldLock="1"/>
    </w:r>
    <w:r w:rsidRPr="00CF0EAF">
      <w:rPr>
        <w:rStyle w:val="Sidnummer"/>
      </w:rPr>
      <w:instrText xml:space="preserve">PAGE  </w:instrText>
    </w:r>
    <w:r w:rsidRPr="00CF0EAF">
      <w:rPr>
        <w:rStyle w:val="Sidnummer"/>
      </w:rPr>
      <w:fldChar w:fldCharType="separate"/>
    </w:r>
    <w:r w:rsidR="00BE7782" w:rsidRPr="00CF0EAF">
      <w:rPr>
        <w:rStyle w:val="Sidnummer"/>
      </w:rPr>
      <w:t>5</w:t>
    </w:r>
    <w:r w:rsidRPr="00CF0E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E21D1" w:rsidRPr="00CF0EAF">
      <w:tblPrEx>
        <w:tblCellMar>
          <w:top w:w="0" w:type="dxa"/>
          <w:bottom w:w="0" w:type="dxa"/>
        </w:tblCellMar>
      </w:tblPrEx>
      <w:trPr>
        <w:cantSplit/>
      </w:trPr>
      <w:tc>
        <w:tcPr>
          <w:tcW w:w="3119" w:type="dxa"/>
        </w:tcPr>
        <w:p w:rsidR="004E21D1" w:rsidRPr="00CF0EAF" w:rsidRDefault="004E21D1">
          <w:pPr>
            <w:pStyle w:val="Sidhuvud"/>
            <w:spacing w:line="200" w:lineRule="atLeast"/>
            <w:ind w:right="357"/>
            <w:rPr>
              <w:rFonts w:ascii="TradeGothic" w:hAnsi="TradeGothic"/>
              <w:b/>
              <w:bCs/>
              <w:sz w:val="16"/>
            </w:rPr>
          </w:pPr>
        </w:p>
      </w:tc>
      <w:tc>
        <w:tcPr>
          <w:tcW w:w="4111" w:type="dxa"/>
          <w:tcMar>
            <w:left w:w="567" w:type="dxa"/>
          </w:tcMar>
        </w:tcPr>
        <w:p w:rsidR="004E21D1" w:rsidRPr="00CF0EAF" w:rsidRDefault="004E21D1">
          <w:pPr>
            <w:pStyle w:val="Sidhuvud"/>
            <w:ind w:right="360"/>
          </w:pPr>
        </w:p>
      </w:tc>
      <w:tc>
        <w:tcPr>
          <w:tcW w:w="1525" w:type="dxa"/>
        </w:tcPr>
        <w:p w:rsidR="004E21D1" w:rsidRPr="00CF0EAF" w:rsidRDefault="004E21D1">
          <w:pPr>
            <w:pStyle w:val="Sidhuvud"/>
            <w:ind w:right="360"/>
          </w:pPr>
        </w:p>
      </w:tc>
    </w:tr>
  </w:tbl>
  <w:p w:rsidR="004E21D1" w:rsidRPr="00CF0EAF" w:rsidRDefault="004E21D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D1" w:rsidRPr="00CF0EAF" w:rsidRDefault="00CF0EAF">
    <w:pPr>
      <w:framePr w:w="2948" w:h="1321" w:hRule="exact" w:wrap="notBeside" w:vAnchor="page" w:hAnchor="page" w:x="1362" w:y="653"/>
    </w:pPr>
    <w:r w:rsidRPr="00CF0EA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E21D1" w:rsidRPr="00CF0EAF" w:rsidRDefault="004E21D1">
    <w:pPr>
      <w:pStyle w:val="RKrubrik"/>
      <w:keepNext w:val="0"/>
      <w:tabs>
        <w:tab w:val="clear" w:pos="1134"/>
        <w:tab w:val="clear" w:pos="2835"/>
      </w:tabs>
      <w:spacing w:before="0" w:after="0" w:line="320" w:lineRule="atLeast"/>
      <w:rPr>
        <w:bCs/>
      </w:rPr>
    </w:pPr>
  </w:p>
  <w:p w:rsidR="004E21D1" w:rsidRPr="00CF0EAF" w:rsidRDefault="004E21D1">
    <w:pPr>
      <w:rPr>
        <w:rFonts w:ascii="TradeGothic" w:hAnsi="TradeGothic"/>
        <w:b/>
        <w:bCs/>
        <w:spacing w:val="12"/>
        <w:sz w:val="22"/>
      </w:rPr>
    </w:pPr>
  </w:p>
  <w:p w:rsidR="004E21D1" w:rsidRPr="00CF0EAF" w:rsidRDefault="004E21D1">
    <w:pPr>
      <w:pStyle w:val="RKrubrik"/>
      <w:keepNext w:val="0"/>
      <w:tabs>
        <w:tab w:val="clear" w:pos="1134"/>
        <w:tab w:val="clear" w:pos="2835"/>
      </w:tabs>
      <w:spacing w:before="0" w:after="0" w:line="320" w:lineRule="atLeast"/>
      <w:rPr>
        <w:bCs/>
      </w:rPr>
    </w:pPr>
  </w:p>
  <w:p w:rsidR="004E21D1" w:rsidRPr="00CF0EAF" w:rsidRDefault="004E21D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E2"/>
    <w:multiLevelType w:val="multilevel"/>
    <w:tmpl w:val="D42C4938"/>
    <w:lvl w:ilvl="0">
      <w:start w:val="1"/>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F43C50"/>
    <w:multiLevelType w:val="hybridMultilevel"/>
    <w:tmpl w:val="07C6A2FA"/>
    <w:lvl w:ilvl="0" w:tplc="8FF8AC2A">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E27F8"/>
    <w:multiLevelType w:val="hybridMultilevel"/>
    <w:tmpl w:val="FEEE890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8882A9E"/>
    <w:multiLevelType w:val="hybridMultilevel"/>
    <w:tmpl w:val="49DE29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94454E0"/>
    <w:multiLevelType w:val="hybridMultilevel"/>
    <w:tmpl w:val="D56C234C"/>
    <w:lvl w:ilvl="0" w:tplc="52808608">
      <w:start w:val="13"/>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A454BB5"/>
    <w:multiLevelType w:val="multilevel"/>
    <w:tmpl w:val="E820AEEE"/>
    <w:lvl w:ilvl="0">
      <w:start w:val="14"/>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37C1360"/>
    <w:multiLevelType w:val="hybridMultilevel"/>
    <w:tmpl w:val="D42C4938"/>
    <w:lvl w:ilvl="0" w:tplc="6388C55C">
      <w:start w:val="1"/>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6B031C86"/>
    <w:multiLevelType w:val="hybridMultilevel"/>
    <w:tmpl w:val="E820AEEE"/>
    <w:lvl w:ilvl="0" w:tplc="DEAAD4A2">
      <w:start w:val="14"/>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5786438">
    <w:abstractNumId w:val="1"/>
  </w:num>
  <w:num w:numId="2" w16cid:durableId="469254307">
    <w:abstractNumId w:val="2"/>
  </w:num>
  <w:num w:numId="3" w16cid:durableId="1658412677">
    <w:abstractNumId w:val="3"/>
  </w:num>
  <w:num w:numId="4" w16cid:durableId="1641768760">
    <w:abstractNumId w:val="6"/>
  </w:num>
  <w:num w:numId="5" w16cid:durableId="185488516">
    <w:abstractNumId w:val="0"/>
  </w:num>
  <w:num w:numId="6" w16cid:durableId="426387759">
    <w:abstractNumId w:val="7"/>
  </w:num>
  <w:num w:numId="7" w16cid:durableId="589050372">
    <w:abstractNumId w:val="5"/>
  </w:num>
  <w:num w:numId="8" w16cid:durableId="203040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F21E40"/>
    <w:rsid w:val="000044D2"/>
    <w:rsid w:val="00007D68"/>
    <w:rsid w:val="000634C3"/>
    <w:rsid w:val="000967DA"/>
    <w:rsid w:val="00150384"/>
    <w:rsid w:val="001511D1"/>
    <w:rsid w:val="001805B7"/>
    <w:rsid w:val="001B5D49"/>
    <w:rsid w:val="002104E6"/>
    <w:rsid w:val="0025442B"/>
    <w:rsid w:val="002A2215"/>
    <w:rsid w:val="003B1BA4"/>
    <w:rsid w:val="003C47B4"/>
    <w:rsid w:val="003D5B1B"/>
    <w:rsid w:val="00411D99"/>
    <w:rsid w:val="00424B28"/>
    <w:rsid w:val="00487E16"/>
    <w:rsid w:val="004A328D"/>
    <w:rsid w:val="004E21D1"/>
    <w:rsid w:val="005D27E4"/>
    <w:rsid w:val="006221B7"/>
    <w:rsid w:val="006A2027"/>
    <w:rsid w:val="006C18A9"/>
    <w:rsid w:val="006E4E11"/>
    <w:rsid w:val="007242A3"/>
    <w:rsid w:val="00732A1B"/>
    <w:rsid w:val="00781507"/>
    <w:rsid w:val="00796CEC"/>
    <w:rsid w:val="0086055F"/>
    <w:rsid w:val="00977CE4"/>
    <w:rsid w:val="00991E82"/>
    <w:rsid w:val="009A2AC4"/>
    <w:rsid w:val="009A4896"/>
    <w:rsid w:val="009C3DAF"/>
    <w:rsid w:val="009C5651"/>
    <w:rsid w:val="009C5B78"/>
    <w:rsid w:val="009C61A8"/>
    <w:rsid w:val="00A32687"/>
    <w:rsid w:val="00A41F57"/>
    <w:rsid w:val="00A720AD"/>
    <w:rsid w:val="00A93AC3"/>
    <w:rsid w:val="00AE6810"/>
    <w:rsid w:val="00B14348"/>
    <w:rsid w:val="00BB079D"/>
    <w:rsid w:val="00BB1774"/>
    <w:rsid w:val="00BE7782"/>
    <w:rsid w:val="00C20181"/>
    <w:rsid w:val="00C50F28"/>
    <w:rsid w:val="00C65E7F"/>
    <w:rsid w:val="00CC66D3"/>
    <w:rsid w:val="00CE0ACA"/>
    <w:rsid w:val="00CF0EAF"/>
    <w:rsid w:val="00D3343A"/>
    <w:rsid w:val="00D3568B"/>
    <w:rsid w:val="00D510A9"/>
    <w:rsid w:val="00D57450"/>
    <w:rsid w:val="00E42B31"/>
    <w:rsid w:val="00E630C0"/>
    <w:rsid w:val="00EC25F9"/>
    <w:rsid w:val="00F21E40"/>
    <w:rsid w:val="00F249F7"/>
    <w:rsid w:val="00F51C62"/>
    <w:rsid w:val="00FA3107"/>
    <w:rsid w:val="00FD14B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EB403A-ED6E-4BAD-BCDC-EBB50243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18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F249F7"/>
    <w:rPr>
      <w:vertAlign w:val="superscript"/>
    </w:rPr>
  </w:style>
  <w:style w:type="paragraph" w:styleId="Fotnotstext">
    <w:name w:val="footnote text"/>
    <w:basedOn w:val="Normal"/>
    <w:semiHidden/>
    <w:rsid w:val="00F249F7"/>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8352</Characters>
  <Application>Microsoft Office Word</Application>
  <DocSecurity>4</DocSecurity>
  <Lines>232</Lines>
  <Paragraphs>49</Paragraphs>
  <ScaleCrop>false</ScaleCrop>
  <HeadingPairs>
    <vt:vector size="2" baseType="variant">
      <vt:variant>
        <vt:lpstr>Rubrik</vt:lpstr>
      </vt:variant>
      <vt:variant>
        <vt:i4>1</vt:i4>
      </vt:variant>
    </vt:vector>
  </HeadingPairs>
  <TitlesOfParts>
    <vt:vector size="1" baseType="lpstr">
      <vt:lpstr>Kommenterad dagordning inför </vt:lpstr>
    </vt:vector>
  </TitlesOfParts>
  <Company>Regeringskansliet</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dc:title>
  <dc:subject>Kommenterad dagordning inför </dc:subject>
  <dc:creator>Riksdagen</dc:creator>
  <cp:keywords>Riksdagen</cp:keywords>
  <dc:description/>
  <cp:lastModifiedBy>Lars Brink</cp:lastModifiedBy>
  <cp:revision>2</cp:revision>
  <cp:lastPrinted>2010-10-04T10:12:00Z</cp:lastPrinted>
  <dcterms:created xsi:type="dcterms:W3CDTF">2025-12-18T03:47:00Z</dcterms:created>
  <dcterms:modified xsi:type="dcterms:W3CDTF">2025-12-18T03:47:00Z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Henrik Gorbow</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Henrik Gorbow</vt:lpwstr>
  </property>
  <property fmtid="{D5CDD505-2E9C-101B-9397-08002B2CF9AE}" pid="18" name="_SharedFileIndex">
    <vt:lpwstr/>
  </property>
  <property fmtid="{D5CDD505-2E9C-101B-9397-08002B2CF9AE}" pid="19" name="QFMSP source name">
    <vt:lpwstr/>
  </property>
</Properties>
</file>