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01023F9EC64D01898D28AEC397585A"/>
        </w:placeholder>
        <w:text/>
      </w:sdtPr>
      <w:sdtEndPr/>
      <w:sdtContent>
        <w:p w:rsidRPr="009B062B" w:rsidR="00AF30DD" w:rsidP="00DA28CE" w:rsidRDefault="00AF30DD" w14:paraId="47AC001D" w14:textId="77777777">
          <w:pPr>
            <w:pStyle w:val="Rubrik1"/>
            <w:spacing w:after="300"/>
          </w:pPr>
          <w:r w:rsidRPr="009B062B">
            <w:t>Förslag till riksdagsbeslut</w:t>
          </w:r>
        </w:p>
      </w:sdtContent>
    </w:sdt>
    <w:sdt>
      <w:sdtPr>
        <w:alias w:val="Yrkande 1"/>
        <w:tag w:val="1150191b-bfd9-4f02-9a1c-32b70e0010ae"/>
        <w:id w:val="1649095879"/>
        <w:lock w:val="sdtLocked"/>
      </w:sdtPr>
      <w:sdtEndPr/>
      <w:sdtContent>
        <w:p w:rsidR="00206765" w:rsidRDefault="00D66978" w14:paraId="2C8D3E70" w14:textId="77777777">
          <w:pPr>
            <w:pStyle w:val="Frslagstext"/>
            <w:numPr>
              <w:ilvl w:val="0"/>
              <w:numId w:val="0"/>
            </w:numPr>
          </w:pPr>
          <w:r>
            <w:t>Riksdagen ställer sig bakom det som anförs i motionen om behovet av att klargöra riksdagens möjligheter att utöva sin granskande roll gentemot en övergångsregering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52495B8A494E699203042319AE6C6B"/>
        </w:placeholder>
        <w:text/>
      </w:sdtPr>
      <w:sdtEndPr/>
      <w:sdtContent>
        <w:p w:rsidRPr="009B062B" w:rsidR="006D79C9" w:rsidP="00333E95" w:rsidRDefault="006D79C9" w14:paraId="41A129BA" w14:textId="77777777">
          <w:pPr>
            <w:pStyle w:val="Rubrik1"/>
          </w:pPr>
          <w:r>
            <w:t>Motivering</w:t>
          </w:r>
        </w:p>
      </w:sdtContent>
    </w:sdt>
    <w:p w:rsidR="008D7979" w:rsidP="008D7979" w:rsidRDefault="008D7979" w14:paraId="5ECA92A5" w14:textId="7AC0AB11">
      <w:pPr>
        <w:pStyle w:val="Normalutanindragellerluft"/>
      </w:pPr>
      <w:r>
        <w:t>Enligt</w:t>
      </w:r>
      <w:r w:rsidR="004A32A4">
        <w:t xml:space="preserve"> regeringsformen 6 kap. 11 </w:t>
      </w:r>
      <w:r>
        <w:t>§ uppehåller ledamöter i regeringen som entledigats sina befattningar till dess en ny regering tillträtt. En övergångsregering har i princip samma befogenheter som en vanlig regering men den kan inte utlysa extraval.</w:t>
      </w:r>
    </w:p>
    <w:p w:rsidRPr="00E5661E" w:rsidR="008D7979" w:rsidP="00E5661E" w:rsidRDefault="008D7979" w14:paraId="1C68A81F" w14:textId="77777777">
      <w:r w:rsidRPr="00E5661E">
        <w:t>Enligt praxis brukar en övergångsregering undvika beslut och förslag som är politiskt laddade. Inte heller brukar dess ledamöter svara på frågor eller interpellationer.</w:t>
      </w:r>
    </w:p>
    <w:p w:rsidRPr="00E5661E" w:rsidR="008D7979" w:rsidP="00E5661E" w:rsidRDefault="008D7979" w14:paraId="7606817A" w14:textId="1944D679">
      <w:r w:rsidRPr="00E5661E">
        <w:t>Erfarenheterna från regeringsbildningsprocessen efter valet 2018 kommer självklart att utvärderas i särskild ordning. Sverige kan i likhet med andra länder förvänta sig längre tidsutdräkter även i framtid</w:t>
      </w:r>
      <w:r w:rsidRPr="00E5661E" w:rsidR="004A32A4">
        <w:t xml:space="preserve">en. Det innebär att </w:t>
      </w:r>
      <w:r w:rsidRPr="00E5661E" w:rsidR="004A32A4">
        <w:lastRenderedPageBreak/>
        <w:t>riksdagens k</w:t>
      </w:r>
      <w:r w:rsidRPr="00E5661E">
        <w:t>ontrollmakt måste säkras även för en övergångsr</w:t>
      </w:r>
      <w:r w:rsidRPr="00E5661E" w:rsidR="004A32A4">
        <w:t>egering. Kontrollmakten enligt regeringsformens kapitel 13 består av k</w:t>
      </w:r>
      <w:r w:rsidRPr="00E5661E">
        <w:t>onstitutionsutskottets granskning, av åtal mot statsråd, av misstroende</w:t>
      </w:r>
      <w:r w:rsidR="00E5661E">
        <w:softHyphen/>
      </w:r>
      <w:r w:rsidRPr="00E5661E">
        <w:t xml:space="preserve">förklaring, av frågor och interpellationer samt </w:t>
      </w:r>
      <w:r w:rsidRPr="00E5661E" w:rsidR="004A32A4">
        <w:t>av R</w:t>
      </w:r>
      <w:r w:rsidRPr="00E5661E">
        <w:t xml:space="preserve">iksdagens ombudsmän och </w:t>
      </w:r>
      <w:r w:rsidRPr="00E5661E" w:rsidR="004A32A4">
        <w:t>R</w:t>
      </w:r>
      <w:r w:rsidRPr="00E5661E">
        <w:t xml:space="preserve">iksrevisionen. </w:t>
      </w:r>
    </w:p>
    <w:p w:rsidRPr="00E5661E" w:rsidR="008D7979" w:rsidP="00E5661E" w:rsidRDefault="008D7979" w14:paraId="72A22BD0" w14:textId="670A740B">
      <w:r w:rsidRPr="00E5661E">
        <w:t>Det är uppenbart att en central del av riksdagens löpande kontrollmakt utgörs av frågor och interpellationer. Här har då en praxis skapats som innebär att inga frågor besvaras. Denna praxis har utgått ifrån de historiska erfarenheterna från expeditions</w:t>
      </w:r>
      <w:r w:rsidR="00E5661E">
        <w:softHyphen/>
      </w:r>
      <w:bookmarkStart w:name="_GoBack" w:id="1"/>
      <w:bookmarkEnd w:id="1"/>
      <w:r w:rsidRPr="00E5661E">
        <w:t xml:space="preserve">ministärer eller numera övergångsregeringar. De har varit kortvariga. Denna höst visar att den gamla praxisen får stor återverkan på riksdagens kontrollmakt gällande hur regeringens </w:t>
      </w:r>
      <w:r w:rsidRPr="00E5661E" w:rsidR="004D1E7A">
        <w:t xml:space="preserve">statsråd </w:t>
      </w:r>
      <w:r w:rsidRPr="00E5661E">
        <w:t>och regeringen utövar sina befogenheter. Det får inte nu läggas till grund för en uttolkning av en ny praxis. Här sker då en praxisutveckling som kan anses strida mot</w:t>
      </w:r>
      <w:r w:rsidRPr="00E5661E" w:rsidR="004A32A4">
        <w:t xml:space="preserve"> r</w:t>
      </w:r>
      <w:r w:rsidRPr="00E5661E">
        <w:t>egeringsformen. Ju längre tidsutdräkt desto tydligare blir detta.</w:t>
      </w:r>
    </w:p>
    <w:p w:rsidRPr="00E5661E" w:rsidR="00422B9E" w:rsidP="00E5661E" w:rsidRDefault="008D7979" w14:paraId="5277CC90" w14:textId="79B0D55B">
      <w:r w:rsidRPr="00E5661E">
        <w:t>Mot bakgrund av vad som här anförs krävs ett förtydligande av riksdagens kontrollmakt under en övergångsregering. Det kan ske i särskild ordning, genom utredning och förslag till förtydlig</w:t>
      </w:r>
      <w:r w:rsidRPr="00E5661E" w:rsidR="004A32A4">
        <w:t>ande av r</w:t>
      </w:r>
      <w:r w:rsidRPr="00E5661E">
        <w:t>egeringsformen i denna del.</w:t>
      </w:r>
    </w:p>
    <w:sdt>
      <w:sdtPr>
        <w:rPr>
          <w:i/>
          <w:noProof/>
        </w:rPr>
        <w:alias w:val="CC_Underskrifter"/>
        <w:tag w:val="CC_Underskrifter"/>
        <w:id w:val="583496634"/>
        <w:lock w:val="sdtContentLocked"/>
        <w:placeholder>
          <w:docPart w:val="1F7F011EB05840F4831C5F06AF3B195D"/>
        </w:placeholder>
      </w:sdtPr>
      <w:sdtEndPr>
        <w:rPr>
          <w:i w:val="0"/>
          <w:noProof w:val="0"/>
        </w:rPr>
      </w:sdtEndPr>
      <w:sdtContent>
        <w:p w:rsidR="004D1E7A" w:rsidP="00EC45F3" w:rsidRDefault="004D1E7A" w14:paraId="796E4202" w14:textId="77777777"/>
        <w:p w:rsidRPr="008E0FE2" w:rsidR="004801AC" w:rsidP="00EC45F3" w:rsidRDefault="00E5661E" w14:paraId="15E740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1F45C2" w:rsidRDefault="001F45C2" w14:paraId="632F91FE" w14:textId="77777777"/>
    <w:sectPr w:rsidR="001F45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C9678" w14:textId="77777777" w:rsidR="008D7979" w:rsidRDefault="008D7979" w:rsidP="000C1CAD">
      <w:pPr>
        <w:spacing w:line="240" w:lineRule="auto"/>
      </w:pPr>
      <w:r>
        <w:separator/>
      </w:r>
    </w:p>
  </w:endnote>
  <w:endnote w:type="continuationSeparator" w:id="0">
    <w:p w14:paraId="503026D6" w14:textId="77777777" w:rsidR="008D7979" w:rsidRDefault="008D79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3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0C0D7" w14:textId="5CFE0CF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66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8306A" w14:textId="77777777" w:rsidR="008D7979" w:rsidRDefault="008D7979" w:rsidP="000C1CAD">
      <w:pPr>
        <w:spacing w:line="240" w:lineRule="auto"/>
      </w:pPr>
      <w:r>
        <w:separator/>
      </w:r>
    </w:p>
  </w:footnote>
  <w:footnote w:type="continuationSeparator" w:id="0">
    <w:p w14:paraId="08A6FBDD" w14:textId="77777777" w:rsidR="008D7979" w:rsidRDefault="008D79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8560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2F7A67" wp14:anchorId="604871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61E" w14:paraId="76D509B0" w14:textId="77777777">
                          <w:pPr>
                            <w:jc w:val="right"/>
                          </w:pPr>
                          <w:sdt>
                            <w:sdtPr>
                              <w:alias w:val="CC_Noformat_Partikod"/>
                              <w:tag w:val="CC_Noformat_Partikod"/>
                              <w:id w:val="-53464382"/>
                              <w:placeholder>
                                <w:docPart w:val="4C59D752729346C9BE8FA635AF15826E"/>
                              </w:placeholder>
                              <w:text/>
                            </w:sdtPr>
                            <w:sdtEndPr/>
                            <w:sdtContent>
                              <w:r w:rsidR="008D7979">
                                <w:t>C</w:t>
                              </w:r>
                            </w:sdtContent>
                          </w:sdt>
                          <w:sdt>
                            <w:sdtPr>
                              <w:alias w:val="CC_Noformat_Partinummer"/>
                              <w:tag w:val="CC_Noformat_Partinummer"/>
                              <w:id w:val="-1709555926"/>
                              <w:placeholder>
                                <w:docPart w:val="B392F8134F3D4A71B4FDD57D82FA29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871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661E" w14:paraId="76D509B0" w14:textId="77777777">
                    <w:pPr>
                      <w:jc w:val="right"/>
                    </w:pPr>
                    <w:sdt>
                      <w:sdtPr>
                        <w:alias w:val="CC_Noformat_Partikod"/>
                        <w:tag w:val="CC_Noformat_Partikod"/>
                        <w:id w:val="-53464382"/>
                        <w:placeholder>
                          <w:docPart w:val="4C59D752729346C9BE8FA635AF15826E"/>
                        </w:placeholder>
                        <w:text/>
                      </w:sdtPr>
                      <w:sdtEndPr/>
                      <w:sdtContent>
                        <w:r w:rsidR="008D7979">
                          <w:t>C</w:t>
                        </w:r>
                      </w:sdtContent>
                    </w:sdt>
                    <w:sdt>
                      <w:sdtPr>
                        <w:alias w:val="CC_Noformat_Partinummer"/>
                        <w:tag w:val="CC_Noformat_Partinummer"/>
                        <w:id w:val="-1709555926"/>
                        <w:placeholder>
                          <w:docPart w:val="B392F8134F3D4A71B4FDD57D82FA29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C1E3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72E9B9" w14:textId="77777777">
    <w:pPr>
      <w:jc w:val="right"/>
    </w:pPr>
  </w:p>
  <w:p w:rsidR="00262EA3" w:rsidP="00776B74" w:rsidRDefault="00262EA3" w14:paraId="337D49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661E" w14:paraId="1FCDC5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2A230" wp14:anchorId="76779C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61E" w14:paraId="341BF4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79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661E" w14:paraId="2F7780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61E" w14:paraId="169791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:2349</w:t>
        </w:r>
      </w:sdtContent>
    </w:sdt>
  </w:p>
  <w:p w:rsidR="00262EA3" w:rsidP="00E03A3D" w:rsidRDefault="00E5661E" w14:paraId="4FA84A1A"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8D7979" w14:paraId="062FA57C" w14:textId="77777777">
        <w:pPr>
          <w:pStyle w:val="FSHRub2"/>
        </w:pPr>
        <w:r>
          <w:t xml:space="preserve">Kontrollmakten måste upprätthållas för övergångsregering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6CEC37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D79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FE"/>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C2"/>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765"/>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8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2A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7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681"/>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979"/>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F2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978"/>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61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5F3"/>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1BEBFE"/>
  <w15:chartTrackingRefBased/>
  <w15:docId w15:val="{F0344018-DB3B-4591-98EB-1C98D58A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01023F9EC64D01898D28AEC397585A"/>
        <w:category>
          <w:name w:val="Allmänt"/>
          <w:gallery w:val="placeholder"/>
        </w:category>
        <w:types>
          <w:type w:val="bbPlcHdr"/>
        </w:types>
        <w:behaviors>
          <w:behavior w:val="content"/>
        </w:behaviors>
        <w:guid w:val="{908E85D7-8904-439B-A257-3C0F3392E856}"/>
      </w:docPartPr>
      <w:docPartBody>
        <w:p w:rsidR="00E14CF4" w:rsidRDefault="00E14CF4">
          <w:pPr>
            <w:pStyle w:val="A901023F9EC64D01898D28AEC397585A"/>
          </w:pPr>
          <w:r w:rsidRPr="005A0A93">
            <w:rPr>
              <w:rStyle w:val="Platshllartext"/>
            </w:rPr>
            <w:t>Förslag till riksdagsbeslut</w:t>
          </w:r>
        </w:p>
      </w:docPartBody>
    </w:docPart>
    <w:docPart>
      <w:docPartPr>
        <w:name w:val="8652495B8A494E699203042319AE6C6B"/>
        <w:category>
          <w:name w:val="Allmänt"/>
          <w:gallery w:val="placeholder"/>
        </w:category>
        <w:types>
          <w:type w:val="bbPlcHdr"/>
        </w:types>
        <w:behaviors>
          <w:behavior w:val="content"/>
        </w:behaviors>
        <w:guid w:val="{9E35CFB3-7319-4613-978C-C20E8AB3CE14}"/>
      </w:docPartPr>
      <w:docPartBody>
        <w:p w:rsidR="00E14CF4" w:rsidRDefault="00E14CF4">
          <w:pPr>
            <w:pStyle w:val="8652495B8A494E699203042319AE6C6B"/>
          </w:pPr>
          <w:r w:rsidRPr="005A0A93">
            <w:rPr>
              <w:rStyle w:val="Platshllartext"/>
            </w:rPr>
            <w:t>Motivering</w:t>
          </w:r>
        </w:p>
      </w:docPartBody>
    </w:docPart>
    <w:docPart>
      <w:docPartPr>
        <w:name w:val="4C59D752729346C9BE8FA635AF15826E"/>
        <w:category>
          <w:name w:val="Allmänt"/>
          <w:gallery w:val="placeholder"/>
        </w:category>
        <w:types>
          <w:type w:val="bbPlcHdr"/>
        </w:types>
        <w:behaviors>
          <w:behavior w:val="content"/>
        </w:behaviors>
        <w:guid w:val="{1A31F76B-C5ED-4B82-A4CF-5DD7D6BB5AA2}"/>
      </w:docPartPr>
      <w:docPartBody>
        <w:p w:rsidR="00E14CF4" w:rsidRDefault="00E14CF4">
          <w:pPr>
            <w:pStyle w:val="4C59D752729346C9BE8FA635AF15826E"/>
          </w:pPr>
          <w:r>
            <w:rPr>
              <w:rStyle w:val="Platshllartext"/>
            </w:rPr>
            <w:t xml:space="preserve"> </w:t>
          </w:r>
        </w:p>
      </w:docPartBody>
    </w:docPart>
    <w:docPart>
      <w:docPartPr>
        <w:name w:val="B392F8134F3D4A71B4FDD57D82FA299B"/>
        <w:category>
          <w:name w:val="Allmänt"/>
          <w:gallery w:val="placeholder"/>
        </w:category>
        <w:types>
          <w:type w:val="bbPlcHdr"/>
        </w:types>
        <w:behaviors>
          <w:behavior w:val="content"/>
        </w:behaviors>
        <w:guid w:val="{B14899B3-1407-48BF-86F3-3FB5C61B67D8}"/>
      </w:docPartPr>
      <w:docPartBody>
        <w:p w:rsidR="00E14CF4" w:rsidRDefault="00E14CF4">
          <w:pPr>
            <w:pStyle w:val="B392F8134F3D4A71B4FDD57D82FA299B"/>
          </w:pPr>
          <w:r>
            <w:t xml:space="preserve"> </w:t>
          </w:r>
        </w:p>
      </w:docPartBody>
    </w:docPart>
    <w:docPart>
      <w:docPartPr>
        <w:name w:val="1F7F011EB05840F4831C5F06AF3B195D"/>
        <w:category>
          <w:name w:val="Allmänt"/>
          <w:gallery w:val="placeholder"/>
        </w:category>
        <w:types>
          <w:type w:val="bbPlcHdr"/>
        </w:types>
        <w:behaviors>
          <w:behavior w:val="content"/>
        </w:behaviors>
        <w:guid w:val="{9F25F85D-D832-4059-B0B9-763CCDE90715}"/>
      </w:docPartPr>
      <w:docPartBody>
        <w:p w:rsidR="00E80D7D" w:rsidRDefault="00E80D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F4"/>
    <w:rsid w:val="00E14CF4"/>
    <w:rsid w:val="00E80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01023F9EC64D01898D28AEC397585A">
    <w:name w:val="A901023F9EC64D01898D28AEC397585A"/>
  </w:style>
  <w:style w:type="paragraph" w:customStyle="1" w:styleId="04A2DC9519DA4AFA8CFAF101347904A4">
    <w:name w:val="04A2DC9519DA4AFA8CFAF101347904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368E87BD6D44B19B02247232301E77">
    <w:name w:val="5A368E87BD6D44B19B02247232301E77"/>
  </w:style>
  <w:style w:type="paragraph" w:customStyle="1" w:styleId="8652495B8A494E699203042319AE6C6B">
    <w:name w:val="8652495B8A494E699203042319AE6C6B"/>
  </w:style>
  <w:style w:type="paragraph" w:customStyle="1" w:styleId="96A7C0753F93417D8273C7C2BFB9C78D">
    <w:name w:val="96A7C0753F93417D8273C7C2BFB9C78D"/>
  </w:style>
  <w:style w:type="paragraph" w:customStyle="1" w:styleId="2EEB6A3B10564746ACF01B1C8B7B8ED2">
    <w:name w:val="2EEB6A3B10564746ACF01B1C8B7B8ED2"/>
  </w:style>
  <w:style w:type="paragraph" w:customStyle="1" w:styleId="4C59D752729346C9BE8FA635AF15826E">
    <w:name w:val="4C59D752729346C9BE8FA635AF15826E"/>
  </w:style>
  <w:style w:type="paragraph" w:customStyle="1" w:styleId="B392F8134F3D4A71B4FDD57D82FA299B">
    <w:name w:val="B392F8134F3D4A71B4FDD57D82FA2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4E27D-5BED-4FDB-B441-1892B7B1C193}"/>
</file>

<file path=customXml/itemProps2.xml><?xml version="1.0" encoding="utf-8"?>
<ds:datastoreItem xmlns:ds="http://schemas.openxmlformats.org/officeDocument/2006/customXml" ds:itemID="{90368A09-77F9-4748-A5A3-99BC0557BCE2}"/>
</file>

<file path=customXml/itemProps3.xml><?xml version="1.0" encoding="utf-8"?>
<ds:datastoreItem xmlns:ds="http://schemas.openxmlformats.org/officeDocument/2006/customXml" ds:itemID="{0CC3FEF2-3D6C-4A04-BE02-BE01BE4D3BF3}"/>
</file>

<file path=docProps/app.xml><?xml version="1.0" encoding="utf-8"?>
<Properties xmlns="http://schemas.openxmlformats.org/officeDocument/2006/extended-properties" xmlns:vt="http://schemas.openxmlformats.org/officeDocument/2006/docPropsVTypes">
  <Template>Normal</Template>
  <TotalTime>5</TotalTime>
  <Pages>2</Pages>
  <Words>294</Words>
  <Characters>1826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Kontrollmakten måste upprätthållas för övergångsregering</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