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A022AC" w14:paraId="06BB7457" w14:textId="77777777" w:rsidTr="00A60932">
        <w:trPr>
          <w:cantSplit/>
          <w:trHeight w:val="742"/>
        </w:trPr>
        <w:tc>
          <w:tcPr>
            <w:tcW w:w="1985" w:type="dxa"/>
          </w:tcPr>
          <w:p w14:paraId="59CF3119" w14:textId="77777777" w:rsidR="00A022AC" w:rsidRDefault="00A022AC" w:rsidP="00A60932">
            <w:pPr>
              <w:rPr>
                <w:b/>
              </w:rPr>
            </w:pPr>
            <w:r w:rsidRPr="00A44FE3">
              <w:rPr>
                <w:b/>
              </w:rPr>
              <w:t>Protokoll</w:t>
            </w:r>
          </w:p>
        </w:tc>
        <w:tc>
          <w:tcPr>
            <w:tcW w:w="6237" w:type="dxa"/>
          </w:tcPr>
          <w:p w14:paraId="7C9B7B0C" w14:textId="6282AFA8" w:rsidR="00A022AC" w:rsidRDefault="00A022AC" w:rsidP="00A60932">
            <w:pPr>
              <w:ind w:right="-269"/>
              <w:rPr>
                <w:b/>
              </w:rPr>
            </w:pPr>
            <w:r>
              <w:rPr>
                <w:b/>
              </w:rPr>
              <w:t>Utskottssammanträde 2025/26:</w:t>
            </w:r>
            <w:r w:rsidR="008B2F6F">
              <w:rPr>
                <w:b/>
              </w:rPr>
              <w:t>52</w:t>
            </w:r>
          </w:p>
          <w:p w14:paraId="73CC7BEF" w14:textId="77777777" w:rsidR="00A022AC" w:rsidRDefault="00A022AC" w:rsidP="00A60932">
            <w:pPr>
              <w:ind w:right="-269"/>
              <w:rPr>
                <w:b/>
              </w:rPr>
            </w:pPr>
          </w:p>
        </w:tc>
      </w:tr>
      <w:tr w:rsidR="00A022AC" w14:paraId="3966BDFF" w14:textId="77777777" w:rsidTr="00A60932">
        <w:tc>
          <w:tcPr>
            <w:tcW w:w="1985" w:type="dxa"/>
          </w:tcPr>
          <w:p w14:paraId="606AF277" w14:textId="77777777" w:rsidR="00A022AC" w:rsidRDefault="00A022AC" w:rsidP="00A60932">
            <w:r>
              <w:t>Datum</w:t>
            </w:r>
          </w:p>
        </w:tc>
        <w:tc>
          <w:tcPr>
            <w:tcW w:w="6237" w:type="dxa"/>
          </w:tcPr>
          <w:p w14:paraId="01E4964D" w14:textId="1B85A1B3" w:rsidR="00A022AC" w:rsidRDefault="00A022AC" w:rsidP="00A60932">
            <w:pPr>
              <w:ind w:right="355"/>
            </w:pPr>
            <w:r w:rsidRPr="007B4A70">
              <w:t>2026-</w:t>
            </w:r>
            <w:r w:rsidR="00341BEF">
              <w:t>06-11</w:t>
            </w:r>
          </w:p>
        </w:tc>
      </w:tr>
      <w:tr w:rsidR="00A022AC" w14:paraId="0EFEDC0A" w14:textId="77777777" w:rsidTr="00A60932">
        <w:tc>
          <w:tcPr>
            <w:tcW w:w="1985" w:type="dxa"/>
          </w:tcPr>
          <w:p w14:paraId="3593B80E" w14:textId="77777777" w:rsidR="00A022AC" w:rsidRDefault="00A022AC" w:rsidP="00A60932">
            <w:r>
              <w:t>Tid</w:t>
            </w:r>
          </w:p>
        </w:tc>
        <w:tc>
          <w:tcPr>
            <w:tcW w:w="6237" w:type="dxa"/>
          </w:tcPr>
          <w:p w14:paraId="7F08C873" w14:textId="6888F820" w:rsidR="00A022AC" w:rsidRDefault="00A022AC" w:rsidP="00A60932">
            <w:pPr>
              <w:ind w:right="-269"/>
            </w:pPr>
            <w:r w:rsidRPr="00CB3AFE">
              <w:t xml:space="preserve">Kl. </w:t>
            </w:r>
            <w:r w:rsidR="00341BEF" w:rsidRPr="00CB3AFE">
              <w:t>10.30-</w:t>
            </w:r>
            <w:r w:rsidR="00CB3AFE" w:rsidRPr="00CB3AFE">
              <w:t>10</w:t>
            </w:r>
            <w:r w:rsidR="00CB3AFE">
              <w:t>.45</w:t>
            </w:r>
          </w:p>
        </w:tc>
      </w:tr>
      <w:tr w:rsidR="00A022AC" w14:paraId="35B98EB5" w14:textId="77777777" w:rsidTr="00A60932">
        <w:tc>
          <w:tcPr>
            <w:tcW w:w="1985" w:type="dxa"/>
          </w:tcPr>
          <w:p w14:paraId="624C33A3" w14:textId="77777777" w:rsidR="00A022AC" w:rsidRDefault="00A022AC" w:rsidP="00A60932">
            <w:r>
              <w:t>Närvarande</w:t>
            </w:r>
          </w:p>
        </w:tc>
        <w:tc>
          <w:tcPr>
            <w:tcW w:w="6237" w:type="dxa"/>
          </w:tcPr>
          <w:p w14:paraId="2065E369" w14:textId="77777777" w:rsidR="00A022AC" w:rsidRDefault="00A022AC" w:rsidP="00A60932">
            <w:pPr>
              <w:ind w:right="-269"/>
            </w:pPr>
            <w:r>
              <w:t>Se bilaga 1</w:t>
            </w:r>
          </w:p>
          <w:p w14:paraId="7FD1FBE5" w14:textId="77777777" w:rsidR="00A022AC" w:rsidRDefault="00A022AC" w:rsidP="00A60932">
            <w:pPr>
              <w:ind w:right="-269"/>
            </w:pPr>
          </w:p>
        </w:tc>
      </w:tr>
    </w:tbl>
    <w:p w14:paraId="2AA47BD0" w14:textId="77777777" w:rsidR="00A022AC" w:rsidRDefault="00A022AC" w:rsidP="00A022AC">
      <w:pPr>
        <w:tabs>
          <w:tab w:val="left" w:pos="1701"/>
        </w:tabs>
        <w:rPr>
          <w:snapToGrid w:val="0"/>
          <w:color w:val="000000"/>
        </w:rPr>
      </w:pPr>
    </w:p>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7C6E34BD" w14:textId="77777777" w:rsidTr="008035C8">
        <w:tc>
          <w:tcPr>
            <w:tcW w:w="567" w:type="dxa"/>
          </w:tcPr>
          <w:p w14:paraId="59DE8C7E" w14:textId="765E942F" w:rsidR="002A3730" w:rsidRPr="00C92C53" w:rsidRDefault="002A3730" w:rsidP="002A3730">
            <w:pPr>
              <w:pStyle w:val="Default"/>
              <w:rPr>
                <w:b/>
              </w:rPr>
            </w:pPr>
            <w:r>
              <w:rPr>
                <w:b/>
                <w:snapToGrid w:val="0"/>
              </w:rPr>
              <w:t xml:space="preserve">§ </w:t>
            </w:r>
            <w:r w:rsidR="006A74AC">
              <w:rPr>
                <w:b/>
                <w:snapToGrid w:val="0"/>
              </w:rPr>
              <w:t>1</w:t>
            </w:r>
          </w:p>
        </w:tc>
        <w:tc>
          <w:tcPr>
            <w:tcW w:w="7655" w:type="dxa"/>
          </w:tcPr>
          <w:p w14:paraId="49C09703" w14:textId="15AAF142" w:rsidR="002A3730" w:rsidRPr="008C732E" w:rsidRDefault="008C732E" w:rsidP="002A3730">
            <w:pPr>
              <w:outlineLvl w:val="0"/>
              <w:rPr>
                <w:bCs/>
                <w:szCs w:val="24"/>
              </w:rPr>
            </w:pPr>
            <w:r w:rsidRPr="008C732E">
              <w:rPr>
                <w:b/>
                <w:szCs w:val="24"/>
              </w:rPr>
              <w:t>Uppföljning och utvärdering av Riksbankens penningpolitik 2025 (FiU24)</w:t>
            </w:r>
            <w:r w:rsidRPr="008C732E">
              <w:rPr>
                <w:b/>
                <w:szCs w:val="24"/>
              </w:rPr>
              <w:br/>
            </w:r>
            <w:r>
              <w:rPr>
                <w:bCs/>
                <w:szCs w:val="24"/>
              </w:rPr>
              <w:t xml:space="preserve">Utskottet fortsatte beredningen av </w:t>
            </w:r>
            <w:hyperlink r:id="rId8" w:history="1">
              <w:r w:rsidRPr="008C732E">
                <w:rPr>
                  <w:bCs/>
                  <w:szCs w:val="24"/>
                </w:rPr>
                <w:t>Riksbankens redogörelse för penningpolitiken 2025</w:t>
              </w:r>
            </w:hyperlink>
            <w:r w:rsidRPr="008C732E">
              <w:rPr>
                <w:bCs/>
                <w:szCs w:val="24"/>
              </w:rPr>
              <w:t xml:space="preserve"> och </w:t>
            </w:r>
            <w:hyperlink r:id="rId9" w:history="1">
              <w:r w:rsidRPr="008C732E">
                <w:rPr>
                  <w:bCs/>
                  <w:szCs w:val="24"/>
                </w:rPr>
                <w:t>rapporten Svensk penningpolitik 2025</w:t>
              </w:r>
            </w:hyperlink>
            <w:r w:rsidRPr="008C732E">
              <w:rPr>
                <w:bCs/>
                <w:szCs w:val="24"/>
              </w:rPr>
              <w:t xml:space="preserve"> (2025/26:RFR17)</w:t>
            </w:r>
            <w:r>
              <w:rPr>
                <w:bCs/>
                <w:szCs w:val="24"/>
              </w:rPr>
              <w:t>.</w:t>
            </w:r>
            <w:r>
              <w:rPr>
                <w:bCs/>
                <w:szCs w:val="24"/>
              </w:rPr>
              <w:br/>
            </w:r>
            <w:r>
              <w:rPr>
                <w:bCs/>
                <w:szCs w:val="24"/>
              </w:rPr>
              <w:br/>
              <w:t>Utskottet justerade betänkande 2025/26:FiU24.</w:t>
            </w:r>
            <w:r>
              <w:rPr>
                <w:bCs/>
                <w:szCs w:val="24"/>
              </w:rPr>
              <w:br/>
            </w:r>
          </w:p>
        </w:tc>
      </w:tr>
      <w:tr w:rsidR="002A3730" w14:paraId="2C8ABE0A" w14:textId="77777777" w:rsidTr="008035C8">
        <w:tc>
          <w:tcPr>
            <w:tcW w:w="567" w:type="dxa"/>
          </w:tcPr>
          <w:p w14:paraId="442699FD" w14:textId="1887FF90" w:rsidR="002A3730" w:rsidRPr="00C92C53" w:rsidRDefault="002A3730" w:rsidP="002A3730">
            <w:pPr>
              <w:pStyle w:val="Default"/>
              <w:rPr>
                <w:b/>
              </w:rPr>
            </w:pPr>
            <w:r w:rsidRPr="00C92C53">
              <w:rPr>
                <w:b/>
              </w:rPr>
              <w:t xml:space="preserve">§ </w:t>
            </w:r>
            <w:r w:rsidR="006A74AC">
              <w:rPr>
                <w:b/>
              </w:rPr>
              <w:t>2</w:t>
            </w:r>
          </w:p>
        </w:tc>
        <w:tc>
          <w:tcPr>
            <w:tcW w:w="7655" w:type="dxa"/>
          </w:tcPr>
          <w:p w14:paraId="17EE5049" w14:textId="27E9427D" w:rsidR="002A3730" w:rsidRPr="002A3730" w:rsidRDefault="008C732E" w:rsidP="002A3730">
            <w:pPr>
              <w:outlineLvl w:val="0"/>
              <w:rPr>
                <w:bCs/>
                <w:szCs w:val="24"/>
              </w:rPr>
            </w:pPr>
            <w:r w:rsidRPr="008C732E">
              <w:rPr>
                <w:b/>
                <w:szCs w:val="24"/>
              </w:rPr>
              <w:t>Utvärdering av svensk penningpolitik 2015–2024 (FiU27)</w:t>
            </w:r>
            <w:r>
              <w:rPr>
                <w:b/>
                <w:szCs w:val="24"/>
              </w:rPr>
              <w:br/>
            </w:r>
            <w:r>
              <w:rPr>
                <w:bCs/>
                <w:szCs w:val="24"/>
              </w:rPr>
              <w:t xml:space="preserve">Utskottet fortsatte beredningen av </w:t>
            </w:r>
            <w:r w:rsidRPr="00C673A5">
              <w:rPr>
                <w:bCs/>
                <w:color w:val="000000"/>
              </w:rPr>
              <w:t>2025/26:RFR8</w:t>
            </w:r>
            <w:r w:rsidRPr="00C673A5">
              <w:rPr>
                <w:b/>
                <w:color w:val="000000"/>
              </w:rPr>
              <w:t xml:space="preserve"> </w:t>
            </w:r>
            <w:r w:rsidRPr="00C673A5">
              <w:rPr>
                <w:bCs/>
              </w:rPr>
              <w:t>Utvärdering av Riksbankens penningpolitik 2015–2024</w:t>
            </w:r>
            <w:r>
              <w:rPr>
                <w:bCs/>
              </w:rPr>
              <w:t xml:space="preserve"> </w:t>
            </w:r>
            <w:r w:rsidRPr="00C673A5">
              <w:rPr>
                <w:bCs/>
                <w:color w:val="000000"/>
              </w:rPr>
              <w:t>och remissvar över 2025/26:RFR8</w:t>
            </w:r>
            <w:r>
              <w:rPr>
                <w:bCs/>
                <w:color w:val="000000"/>
              </w:rPr>
              <w:br/>
            </w:r>
            <w:r>
              <w:rPr>
                <w:bCs/>
                <w:szCs w:val="24"/>
              </w:rPr>
              <w:br/>
              <w:t>Utskottet justerade betänkande 2025/26:FiU27.</w:t>
            </w:r>
            <w:r w:rsidR="002A3730" w:rsidRPr="002A3730">
              <w:rPr>
                <w:b/>
                <w:szCs w:val="24"/>
              </w:rPr>
              <w:br/>
            </w:r>
          </w:p>
        </w:tc>
      </w:tr>
      <w:tr w:rsidR="006A74AC" w14:paraId="381DDF23" w14:textId="77777777" w:rsidTr="008035C8">
        <w:tc>
          <w:tcPr>
            <w:tcW w:w="567" w:type="dxa"/>
          </w:tcPr>
          <w:p w14:paraId="3B83AFC3" w14:textId="080432CE" w:rsidR="006A74AC" w:rsidRDefault="006A74AC" w:rsidP="002A3730">
            <w:pPr>
              <w:tabs>
                <w:tab w:val="left" w:pos="1701"/>
              </w:tabs>
              <w:rPr>
                <w:b/>
                <w:snapToGrid w:val="0"/>
              </w:rPr>
            </w:pPr>
            <w:r w:rsidRPr="00C92C53">
              <w:rPr>
                <w:b/>
              </w:rPr>
              <w:t>§</w:t>
            </w:r>
            <w:r w:rsidR="008C732E">
              <w:rPr>
                <w:b/>
              </w:rPr>
              <w:t xml:space="preserve"> 3</w:t>
            </w:r>
          </w:p>
        </w:tc>
        <w:tc>
          <w:tcPr>
            <w:tcW w:w="7655" w:type="dxa"/>
          </w:tcPr>
          <w:p w14:paraId="3BAB142E" w14:textId="6CCC19EB" w:rsidR="006A74AC" w:rsidRPr="008C732E" w:rsidRDefault="008C732E" w:rsidP="002A3730">
            <w:pPr>
              <w:outlineLvl w:val="0"/>
            </w:pPr>
            <w:r>
              <w:rPr>
                <w:b/>
                <w:color w:val="000000"/>
              </w:rPr>
              <w:t>Stickprovsinsamling av uppgifter om hushållens skulder (FiU45)</w:t>
            </w:r>
            <w:r>
              <w:rPr>
                <w:b/>
                <w:color w:val="000000"/>
              </w:rPr>
              <w:br/>
            </w:r>
            <w:r>
              <w:rPr>
                <w:bCs/>
                <w:szCs w:val="24"/>
              </w:rPr>
              <w:t>Utskottet fortsatte beredningen av</w:t>
            </w:r>
            <w:r w:rsidR="00800AAD">
              <w:rPr>
                <w:bCs/>
                <w:szCs w:val="24"/>
              </w:rPr>
              <w:t xml:space="preserve"> </w:t>
            </w:r>
            <w:r w:rsidR="00800AAD">
              <w:rPr>
                <w:bCs/>
                <w:color w:val="000000"/>
              </w:rPr>
              <w:t>proposition 2025/26:255 och motioner.</w:t>
            </w:r>
            <w:r w:rsidR="00800AAD">
              <w:rPr>
                <w:bCs/>
                <w:color w:val="000000"/>
              </w:rPr>
              <w:br/>
            </w:r>
            <w:r w:rsidR="00800AAD">
              <w:rPr>
                <w:bCs/>
                <w:color w:val="000000"/>
              </w:rPr>
              <w:br/>
              <w:t>Utskottet justerade betänkande 2025/26:FiU45.</w:t>
            </w:r>
            <w:r w:rsidR="00800AAD" w:rsidRPr="008C732E">
              <w:rPr>
                <w:b/>
                <w:szCs w:val="24"/>
              </w:rPr>
              <w:br/>
            </w:r>
            <w:r w:rsidRPr="008C732E">
              <w:rPr>
                <w:b/>
                <w:szCs w:val="24"/>
              </w:rPr>
              <w:br/>
            </w:r>
            <w:r w:rsidR="00800AAD" w:rsidRPr="00800AAD">
              <w:rPr>
                <w:bCs/>
                <w:szCs w:val="24"/>
              </w:rPr>
              <w:t>S-, V- och MP-ledamöterna anmälde reservationer.</w:t>
            </w:r>
          </w:p>
          <w:p w14:paraId="45FA8DC7" w14:textId="6462C1A0" w:rsidR="006A74AC" w:rsidRDefault="006A74AC" w:rsidP="002A3730">
            <w:pPr>
              <w:outlineLvl w:val="0"/>
              <w:rPr>
                <w:b/>
                <w:bCs/>
              </w:rPr>
            </w:pPr>
          </w:p>
        </w:tc>
      </w:tr>
      <w:tr w:rsidR="006A74AC" w14:paraId="20B894FB" w14:textId="77777777" w:rsidTr="008035C8">
        <w:tc>
          <w:tcPr>
            <w:tcW w:w="567" w:type="dxa"/>
          </w:tcPr>
          <w:p w14:paraId="34A9F0DB" w14:textId="21ABF34F" w:rsidR="006A74AC" w:rsidRDefault="006A74AC" w:rsidP="002A3730">
            <w:pPr>
              <w:tabs>
                <w:tab w:val="left" w:pos="1701"/>
              </w:tabs>
              <w:rPr>
                <w:b/>
                <w:snapToGrid w:val="0"/>
              </w:rPr>
            </w:pPr>
            <w:r w:rsidRPr="00C92C53">
              <w:rPr>
                <w:b/>
              </w:rPr>
              <w:t>§</w:t>
            </w:r>
            <w:r w:rsidR="008C732E">
              <w:rPr>
                <w:b/>
              </w:rPr>
              <w:t xml:space="preserve"> 4</w:t>
            </w:r>
          </w:p>
        </w:tc>
        <w:tc>
          <w:tcPr>
            <w:tcW w:w="7655" w:type="dxa"/>
          </w:tcPr>
          <w:p w14:paraId="7381826B" w14:textId="569C4A23" w:rsidR="006A74AC" w:rsidRPr="008C732E" w:rsidRDefault="008C732E" w:rsidP="002A3730">
            <w:pPr>
              <w:outlineLvl w:val="0"/>
            </w:pPr>
            <w:r>
              <w:rPr>
                <w:b/>
                <w:color w:val="000000"/>
              </w:rPr>
              <w:t>Utvärdering av statens upplåning och skuldförvaltning 2021–2025 (FiU49)</w:t>
            </w:r>
            <w:r>
              <w:rPr>
                <w:b/>
                <w:color w:val="000000"/>
              </w:rPr>
              <w:br/>
            </w:r>
            <w:r>
              <w:rPr>
                <w:bCs/>
                <w:szCs w:val="24"/>
              </w:rPr>
              <w:t>Utskottet fortsatte beredningen av</w:t>
            </w:r>
            <w:r w:rsidR="00800AAD">
              <w:rPr>
                <w:bCs/>
                <w:szCs w:val="24"/>
              </w:rPr>
              <w:t xml:space="preserve"> </w:t>
            </w:r>
            <w:r w:rsidR="004334ED">
              <w:rPr>
                <w:bCs/>
                <w:color w:val="000000"/>
              </w:rPr>
              <w:t>skrivelse 2025/26:104.</w:t>
            </w:r>
            <w:r w:rsidR="004334ED">
              <w:rPr>
                <w:bCs/>
                <w:color w:val="000000"/>
              </w:rPr>
              <w:br/>
            </w:r>
            <w:r w:rsidR="004334ED">
              <w:rPr>
                <w:bCs/>
                <w:color w:val="000000"/>
              </w:rPr>
              <w:br/>
              <w:t>Utskottet justerade betänkande 2025/26:FiU49.</w:t>
            </w:r>
          </w:p>
          <w:p w14:paraId="7689D4E0" w14:textId="2D32089F" w:rsidR="006A74AC" w:rsidRDefault="006A74AC" w:rsidP="002A3730">
            <w:pPr>
              <w:outlineLvl w:val="0"/>
              <w:rPr>
                <w:b/>
                <w:bCs/>
              </w:rPr>
            </w:pPr>
          </w:p>
        </w:tc>
      </w:tr>
      <w:tr w:rsidR="008C732E" w14:paraId="79147ECE" w14:textId="77777777" w:rsidTr="008035C8">
        <w:tc>
          <w:tcPr>
            <w:tcW w:w="567" w:type="dxa"/>
          </w:tcPr>
          <w:p w14:paraId="0224B70F" w14:textId="59FF63E6" w:rsidR="008C732E" w:rsidRPr="00C92C53" w:rsidRDefault="008C732E" w:rsidP="002A3730">
            <w:pPr>
              <w:tabs>
                <w:tab w:val="left" w:pos="1701"/>
              </w:tabs>
              <w:rPr>
                <w:b/>
              </w:rPr>
            </w:pPr>
            <w:r>
              <w:rPr>
                <w:b/>
              </w:rPr>
              <w:t>§ 5</w:t>
            </w:r>
          </w:p>
        </w:tc>
        <w:tc>
          <w:tcPr>
            <w:tcW w:w="7655" w:type="dxa"/>
          </w:tcPr>
          <w:p w14:paraId="558F64A2" w14:textId="7F5B2ECD" w:rsidR="008C732E" w:rsidRPr="000857A7" w:rsidRDefault="000857A7" w:rsidP="002A3730">
            <w:pPr>
              <w:outlineLvl w:val="0"/>
              <w:rPr>
                <w:bCs/>
              </w:rPr>
            </w:pPr>
            <w:r w:rsidRPr="00F2356C">
              <w:rPr>
                <w:b/>
                <w:color w:val="000000"/>
              </w:rPr>
              <w:t>Punktskattebefrielse för jetbränsle</w:t>
            </w:r>
            <w:r>
              <w:rPr>
                <w:b/>
                <w:color w:val="000000"/>
              </w:rPr>
              <w:br/>
            </w:r>
            <w:r>
              <w:rPr>
                <w:bCs/>
                <w:color w:val="000000"/>
              </w:rPr>
              <w:t xml:space="preserve">Statssekreterare Carolina Lindholm med medarbetare </w:t>
            </w:r>
            <w:r w:rsidRPr="00CB3AFE">
              <w:rPr>
                <w:bCs/>
                <w:color w:val="000000"/>
              </w:rPr>
              <w:t>gav utskottet upplysningar om</w:t>
            </w:r>
            <w:r w:rsidR="004F04C5" w:rsidRPr="00CB3AFE">
              <w:rPr>
                <w:bCs/>
                <w:color w:val="000000"/>
              </w:rPr>
              <w:t xml:space="preserve"> en hemställan till Finansdepartement om avsaknad av energiskattebefrielse för jetbränsle.</w:t>
            </w:r>
            <w:r w:rsidR="00917E41">
              <w:rPr>
                <w:bCs/>
                <w:color w:val="000000"/>
              </w:rPr>
              <w:br/>
            </w:r>
            <w:r>
              <w:rPr>
                <w:bCs/>
                <w:color w:val="000000"/>
              </w:rPr>
              <w:t xml:space="preserve"> </w:t>
            </w:r>
          </w:p>
        </w:tc>
      </w:tr>
      <w:tr w:rsidR="008C732E" w14:paraId="33AEE47E" w14:textId="77777777" w:rsidTr="008035C8">
        <w:tc>
          <w:tcPr>
            <w:tcW w:w="567" w:type="dxa"/>
          </w:tcPr>
          <w:p w14:paraId="743E643F" w14:textId="3FDAF894" w:rsidR="008C732E" w:rsidRPr="00C92C53" w:rsidRDefault="008C732E" w:rsidP="002A3730">
            <w:pPr>
              <w:tabs>
                <w:tab w:val="left" w:pos="1701"/>
              </w:tabs>
              <w:rPr>
                <w:b/>
              </w:rPr>
            </w:pPr>
            <w:r>
              <w:rPr>
                <w:b/>
              </w:rPr>
              <w:t>§ 6</w:t>
            </w:r>
          </w:p>
        </w:tc>
        <w:tc>
          <w:tcPr>
            <w:tcW w:w="7655" w:type="dxa"/>
          </w:tcPr>
          <w:p w14:paraId="149DD49F" w14:textId="3C03E977" w:rsidR="00CB3AFE" w:rsidRDefault="00917E41" w:rsidP="002A3730">
            <w:pPr>
              <w:outlineLvl w:val="0"/>
            </w:pPr>
            <w:r w:rsidRPr="00C91656">
              <w:rPr>
                <w:b/>
                <w:color w:val="000000"/>
              </w:rPr>
              <w:t xml:space="preserve">Fråga om </w:t>
            </w:r>
            <w:r>
              <w:rPr>
                <w:b/>
                <w:color w:val="000000"/>
              </w:rPr>
              <w:t>utskottsinitiativ om punktskattebefrielse för jetbränsle</w:t>
            </w:r>
            <w:r>
              <w:rPr>
                <w:b/>
                <w:color w:val="000000"/>
              </w:rPr>
              <w:br/>
            </w:r>
            <w:r w:rsidRPr="00917E41">
              <w:rPr>
                <w:bCs/>
                <w:color w:val="000000"/>
              </w:rPr>
              <w:t>U</w:t>
            </w:r>
            <w:r>
              <w:t>tskottet fortsatte behandlingen av frågan om ett initiativ om punktskattebefrielse för jetbränsle</w:t>
            </w:r>
            <w:r w:rsidR="0021756B">
              <w:t xml:space="preserve">. Utskottet </w:t>
            </w:r>
            <w:r w:rsidR="00CB3AFE">
              <w:t xml:space="preserve">beslutade att </w:t>
            </w:r>
            <w:r w:rsidR="0021756B">
              <w:t>inleda ett beredningsarbete i syfte att kunna ta ett utskottsinitiativ i frågan.</w:t>
            </w:r>
            <w:r w:rsidR="0021756B">
              <w:br/>
            </w:r>
            <w:r w:rsidR="004642D5">
              <w:br/>
              <w:t>V- och MP-ledamöterna reserverade sig mot beslutet.</w:t>
            </w:r>
            <w:r w:rsidR="0021756B">
              <w:br/>
            </w:r>
            <w:r w:rsidR="004642D5">
              <w:br/>
            </w:r>
            <w:r w:rsidR="0021756B">
              <w:t>Ärendet bordlades.</w:t>
            </w:r>
          </w:p>
          <w:p w14:paraId="1898A998" w14:textId="60E32BCE" w:rsidR="008C732E" w:rsidRDefault="00CB3AFE" w:rsidP="002A3730">
            <w:pPr>
              <w:outlineLvl w:val="0"/>
              <w:rPr>
                <w:b/>
                <w:bCs/>
              </w:rPr>
            </w:pPr>
            <w:r>
              <w:br/>
            </w:r>
            <w:r w:rsidR="00917E41">
              <w:br/>
            </w:r>
            <w:r w:rsidR="00917E41">
              <w:br/>
            </w:r>
          </w:p>
        </w:tc>
      </w:tr>
      <w:tr w:rsidR="008C732E" w14:paraId="63293E2B" w14:textId="77777777" w:rsidTr="008035C8">
        <w:tc>
          <w:tcPr>
            <w:tcW w:w="567" w:type="dxa"/>
          </w:tcPr>
          <w:p w14:paraId="3EDCB536" w14:textId="6683F39C" w:rsidR="008C732E" w:rsidRPr="00C92C53" w:rsidRDefault="00A91AE6" w:rsidP="002A3730">
            <w:pPr>
              <w:tabs>
                <w:tab w:val="left" w:pos="1701"/>
              </w:tabs>
              <w:rPr>
                <w:b/>
              </w:rPr>
            </w:pPr>
            <w:r>
              <w:rPr>
                <w:b/>
              </w:rPr>
              <w:lastRenderedPageBreak/>
              <w:t>§</w:t>
            </w:r>
            <w:r w:rsidR="00CB3AFE">
              <w:rPr>
                <w:b/>
              </w:rPr>
              <w:t xml:space="preserve"> 7</w:t>
            </w:r>
          </w:p>
        </w:tc>
        <w:tc>
          <w:tcPr>
            <w:tcW w:w="7655" w:type="dxa"/>
          </w:tcPr>
          <w:p w14:paraId="3420A366" w14:textId="4A0D7A73" w:rsidR="008C732E" w:rsidRPr="003D51B7" w:rsidRDefault="008C732E" w:rsidP="002A3730">
            <w:pPr>
              <w:outlineLvl w:val="0"/>
            </w:pPr>
            <w:r w:rsidRPr="002A3730">
              <w:rPr>
                <w:b/>
                <w:szCs w:val="24"/>
              </w:rPr>
              <w:t>Justering av protokoll</w:t>
            </w:r>
            <w:r w:rsidRPr="002A3730">
              <w:rPr>
                <w:b/>
                <w:szCs w:val="24"/>
              </w:rPr>
              <w:br/>
            </w:r>
            <w:r w:rsidR="003D51B7">
              <w:t>Utskottet justerade protokoll nr 2025/26:51.</w:t>
            </w:r>
            <w:r w:rsidR="003D51B7">
              <w:br/>
            </w:r>
          </w:p>
        </w:tc>
      </w:tr>
      <w:tr w:rsidR="00917E41" w14:paraId="106EB075" w14:textId="77777777" w:rsidTr="008035C8">
        <w:tc>
          <w:tcPr>
            <w:tcW w:w="567" w:type="dxa"/>
          </w:tcPr>
          <w:p w14:paraId="274B0191" w14:textId="62EBC354" w:rsidR="00917E41" w:rsidRPr="00C92C53" w:rsidRDefault="003D51B7" w:rsidP="002A3730">
            <w:pPr>
              <w:tabs>
                <w:tab w:val="left" w:pos="1701"/>
              </w:tabs>
              <w:rPr>
                <w:b/>
              </w:rPr>
            </w:pPr>
            <w:r>
              <w:rPr>
                <w:b/>
              </w:rPr>
              <w:t>§</w:t>
            </w:r>
            <w:r w:rsidR="00CB3AFE">
              <w:rPr>
                <w:b/>
              </w:rPr>
              <w:t xml:space="preserve"> 8</w:t>
            </w:r>
          </w:p>
        </w:tc>
        <w:tc>
          <w:tcPr>
            <w:tcW w:w="7655" w:type="dxa"/>
          </w:tcPr>
          <w:p w14:paraId="4077240B" w14:textId="6B2B3E7B" w:rsidR="003D51B7" w:rsidRPr="00E87115" w:rsidRDefault="00917E41" w:rsidP="003D51B7">
            <w:pPr>
              <w:widowControl/>
              <w:spacing w:after="200" w:line="280" w:lineRule="exact"/>
              <w:rPr>
                <w:b/>
              </w:rPr>
            </w:pPr>
            <w:r>
              <w:rPr>
                <w:b/>
                <w:szCs w:val="24"/>
              </w:rPr>
              <w:t>Inkommen skrivelse</w:t>
            </w:r>
            <w:r w:rsidR="00A91AE6">
              <w:rPr>
                <w:b/>
                <w:szCs w:val="24"/>
              </w:rPr>
              <w:br/>
            </w:r>
            <w:r w:rsidR="00A91AE6">
              <w:rPr>
                <w:bCs/>
                <w:szCs w:val="24"/>
              </w:rPr>
              <w:t xml:space="preserve">En inkommen skrivelse anmäldes (dnr </w:t>
            </w:r>
            <w:r w:rsidR="003D51B7">
              <w:rPr>
                <w:bCs/>
              </w:rPr>
              <w:t>2060–2025/26)</w:t>
            </w:r>
            <w:r w:rsidR="00637E9F">
              <w:rPr>
                <w:bCs/>
              </w:rPr>
              <w:t>.</w:t>
            </w:r>
          </w:p>
          <w:p w14:paraId="0387EBD3" w14:textId="35AE8A8C" w:rsidR="00917E41" w:rsidRPr="00A91AE6" w:rsidRDefault="00917E41" w:rsidP="002A3730">
            <w:pPr>
              <w:outlineLvl w:val="0"/>
              <w:rPr>
                <w:bCs/>
                <w:szCs w:val="24"/>
              </w:rPr>
            </w:pPr>
          </w:p>
        </w:tc>
      </w:tr>
      <w:tr w:rsidR="00917E41" w14:paraId="431BB452" w14:textId="77777777" w:rsidTr="008035C8">
        <w:tc>
          <w:tcPr>
            <w:tcW w:w="567" w:type="dxa"/>
          </w:tcPr>
          <w:p w14:paraId="1BCB8696" w14:textId="747DB806" w:rsidR="00917E41" w:rsidRPr="00C92C53" w:rsidRDefault="00917E41" w:rsidP="002A3730">
            <w:pPr>
              <w:tabs>
                <w:tab w:val="left" w:pos="1701"/>
              </w:tabs>
              <w:rPr>
                <w:b/>
              </w:rPr>
            </w:pPr>
            <w:r>
              <w:rPr>
                <w:b/>
              </w:rPr>
              <w:t>§</w:t>
            </w:r>
            <w:r w:rsidR="00CB3AFE">
              <w:rPr>
                <w:b/>
              </w:rPr>
              <w:t xml:space="preserve"> 9</w:t>
            </w:r>
          </w:p>
        </w:tc>
        <w:tc>
          <w:tcPr>
            <w:tcW w:w="7655" w:type="dxa"/>
          </w:tcPr>
          <w:p w14:paraId="68A0047D" w14:textId="6389BFA5" w:rsidR="00917E41" w:rsidRPr="00917E41" w:rsidRDefault="00917E41" w:rsidP="00917E41">
            <w:pPr>
              <w:widowControl/>
              <w:rPr>
                <w:bCs/>
                <w:color w:val="000000"/>
              </w:rPr>
            </w:pPr>
            <w:r>
              <w:rPr>
                <w:b/>
                <w:color w:val="000000"/>
              </w:rPr>
              <w:t>Extra ändringsbudget för 2026 – Stöd till Ukraina samt stöd till hushåll och andra åtgärder med anledning av kriget i Mellanöstern (FiU47)</w:t>
            </w:r>
            <w:r>
              <w:rPr>
                <w:b/>
                <w:color w:val="000000"/>
              </w:rPr>
              <w:br/>
            </w:r>
            <w:r>
              <w:rPr>
                <w:bCs/>
                <w:color w:val="000000"/>
              </w:rPr>
              <w:t>Utskottet inledde beredningen av proposition 2025/26:275.</w:t>
            </w:r>
            <w:r>
              <w:rPr>
                <w:bCs/>
                <w:color w:val="000000"/>
              </w:rPr>
              <w:br/>
            </w:r>
            <w:r>
              <w:rPr>
                <w:bCs/>
                <w:color w:val="000000"/>
              </w:rPr>
              <w:br/>
              <w:t>Ärendet bordlades.</w:t>
            </w:r>
          </w:p>
          <w:p w14:paraId="69F6FB83" w14:textId="77777777" w:rsidR="00917E41" w:rsidRDefault="00917E41" w:rsidP="002A3730">
            <w:pPr>
              <w:outlineLvl w:val="0"/>
              <w:rPr>
                <w:b/>
                <w:szCs w:val="24"/>
              </w:rPr>
            </w:pPr>
          </w:p>
        </w:tc>
      </w:tr>
      <w:tr w:rsidR="00A91AE6" w14:paraId="354A1845" w14:textId="77777777" w:rsidTr="008035C8">
        <w:tc>
          <w:tcPr>
            <w:tcW w:w="567" w:type="dxa"/>
          </w:tcPr>
          <w:p w14:paraId="5160125E" w14:textId="71877345" w:rsidR="00A91AE6" w:rsidRDefault="00A91AE6" w:rsidP="002A3730">
            <w:pPr>
              <w:tabs>
                <w:tab w:val="left" w:pos="1701"/>
              </w:tabs>
              <w:rPr>
                <w:b/>
                <w:snapToGrid w:val="0"/>
              </w:rPr>
            </w:pPr>
            <w:r>
              <w:rPr>
                <w:b/>
                <w:snapToGrid w:val="0"/>
              </w:rPr>
              <w:t>§</w:t>
            </w:r>
            <w:r w:rsidR="00CB3AFE">
              <w:rPr>
                <w:b/>
                <w:snapToGrid w:val="0"/>
              </w:rPr>
              <w:t xml:space="preserve"> 10</w:t>
            </w:r>
          </w:p>
        </w:tc>
        <w:tc>
          <w:tcPr>
            <w:tcW w:w="7655" w:type="dxa"/>
          </w:tcPr>
          <w:p w14:paraId="6DAD8812" w14:textId="4786130D" w:rsidR="00A91AE6" w:rsidRPr="00A91AE6" w:rsidRDefault="00A91AE6" w:rsidP="002A3730">
            <w:pPr>
              <w:outlineLvl w:val="0"/>
            </w:pPr>
            <w:r>
              <w:rPr>
                <w:b/>
                <w:bCs/>
              </w:rPr>
              <w:t>Sammanträdestid</w:t>
            </w:r>
            <w:r>
              <w:rPr>
                <w:b/>
                <w:bCs/>
              </w:rPr>
              <w:br/>
            </w:r>
            <w:r>
              <w:t>Utskottet beslutade att sammanträdet måndagen den 15 juni och tisdagen den 16 juni får pågå under arbetsplenum i kammaren.</w:t>
            </w:r>
            <w:r>
              <w:br/>
            </w:r>
          </w:p>
        </w:tc>
      </w:tr>
      <w:tr w:rsidR="002A3730" w14:paraId="3BC19977" w14:textId="77777777" w:rsidTr="008035C8">
        <w:tc>
          <w:tcPr>
            <w:tcW w:w="567" w:type="dxa"/>
          </w:tcPr>
          <w:p w14:paraId="6B43BC28" w14:textId="58465FA0" w:rsidR="002A3730" w:rsidRDefault="002A3730" w:rsidP="002A3730">
            <w:pPr>
              <w:tabs>
                <w:tab w:val="left" w:pos="1701"/>
              </w:tabs>
              <w:rPr>
                <w:b/>
                <w:snapToGrid w:val="0"/>
              </w:rPr>
            </w:pPr>
            <w:r>
              <w:rPr>
                <w:b/>
                <w:snapToGrid w:val="0"/>
              </w:rPr>
              <w:t xml:space="preserve">§ </w:t>
            </w:r>
            <w:r w:rsidR="00CB3AFE">
              <w:rPr>
                <w:b/>
                <w:snapToGrid w:val="0"/>
              </w:rPr>
              <w:t>11</w:t>
            </w:r>
          </w:p>
        </w:tc>
        <w:tc>
          <w:tcPr>
            <w:tcW w:w="7655" w:type="dxa"/>
          </w:tcPr>
          <w:p w14:paraId="7C0B322C" w14:textId="4CC410D3" w:rsidR="002B2848" w:rsidRPr="00A54C40" w:rsidRDefault="002A3730" w:rsidP="002B2848">
            <w:pPr>
              <w:rPr>
                <w:rFonts w:ascii="Baton Turbo" w:hAnsi="Baton Turbo"/>
                <w:sz w:val="32"/>
                <w:szCs w:val="32"/>
              </w:rPr>
            </w:pPr>
            <w:r>
              <w:rPr>
                <w:b/>
                <w:bCs/>
              </w:rPr>
              <w:t>Övriga frågor</w:t>
            </w:r>
            <w:r w:rsidR="002B2848">
              <w:rPr>
                <w:b/>
                <w:bCs/>
              </w:rPr>
              <w:br/>
            </w:r>
            <w:r w:rsidR="002B2848">
              <w:t xml:space="preserve">C-ledamoten föreslog att utskottet skulle ta ett initiativ om </w:t>
            </w:r>
            <w:r w:rsidR="002B2848" w:rsidRPr="002B2848">
              <w:t>offentligfinansiella konsekvenser av kompetensutvisningarna</w:t>
            </w:r>
            <w:r w:rsidR="002B2848">
              <w:t>, se bilaga 2.</w:t>
            </w:r>
            <w:r w:rsidR="002B2848">
              <w:br/>
            </w:r>
            <w:r w:rsidR="002B2848">
              <w:br/>
            </w:r>
            <w:r w:rsidR="00BA0B13">
              <w:t>Frågan</w:t>
            </w:r>
            <w:r w:rsidR="002B2848">
              <w:t xml:space="preserve"> bordlades.</w:t>
            </w:r>
          </w:p>
          <w:p w14:paraId="20962978" w14:textId="156CF243" w:rsidR="002A3730" w:rsidRDefault="002A3730" w:rsidP="002A3730">
            <w:pPr>
              <w:outlineLvl w:val="0"/>
              <w:rPr>
                <w:b/>
                <w:bCs/>
              </w:rPr>
            </w:pPr>
          </w:p>
        </w:tc>
      </w:tr>
      <w:tr w:rsidR="002A3730" w14:paraId="448AFCE1" w14:textId="77777777" w:rsidTr="008035C8">
        <w:tc>
          <w:tcPr>
            <w:tcW w:w="567" w:type="dxa"/>
          </w:tcPr>
          <w:p w14:paraId="265C4579" w14:textId="14114A5A" w:rsidR="002A3730" w:rsidRDefault="002A3730" w:rsidP="002A3730">
            <w:pPr>
              <w:tabs>
                <w:tab w:val="left" w:pos="1701"/>
              </w:tabs>
              <w:rPr>
                <w:b/>
                <w:snapToGrid w:val="0"/>
              </w:rPr>
            </w:pPr>
            <w:r>
              <w:rPr>
                <w:b/>
                <w:snapToGrid w:val="0"/>
              </w:rPr>
              <w:t xml:space="preserve">§ </w:t>
            </w:r>
            <w:r w:rsidR="00CB3AFE">
              <w:rPr>
                <w:b/>
                <w:snapToGrid w:val="0"/>
              </w:rPr>
              <w:t>12</w:t>
            </w:r>
          </w:p>
        </w:tc>
        <w:tc>
          <w:tcPr>
            <w:tcW w:w="7655" w:type="dxa"/>
          </w:tcPr>
          <w:p w14:paraId="00914D18" w14:textId="2BA5A168" w:rsidR="002A3730" w:rsidRPr="00341BEF" w:rsidRDefault="002A3730" w:rsidP="002A3730">
            <w:pPr>
              <w:outlineLvl w:val="0"/>
              <w:rPr>
                <w:bCs/>
              </w:rPr>
            </w:pPr>
            <w:r>
              <w:rPr>
                <w:b/>
              </w:rPr>
              <w:t>Nästa sammanträde</w:t>
            </w:r>
            <w:r w:rsidR="00341BEF">
              <w:rPr>
                <w:b/>
              </w:rPr>
              <w:br/>
            </w:r>
            <w:r w:rsidR="00341BEF">
              <w:rPr>
                <w:bCs/>
              </w:rPr>
              <w:t>Måndag 15 juni kl. 15.30</w:t>
            </w:r>
            <w:r w:rsidR="00565BEB">
              <w:rPr>
                <w:bCs/>
              </w:rPr>
              <w:t>.</w:t>
            </w:r>
          </w:p>
          <w:p w14:paraId="3CE1FBF0" w14:textId="145C5433" w:rsidR="002A3730" w:rsidRPr="002B3CE9" w:rsidRDefault="002A3730" w:rsidP="002A3730">
            <w:pPr>
              <w:outlineLvl w:val="0"/>
              <w:rPr>
                <w:b/>
                <w:bCs/>
              </w:rPr>
            </w:pPr>
          </w:p>
        </w:tc>
      </w:tr>
      <w:tr w:rsidR="002A3730" w14:paraId="3025882C" w14:textId="77777777" w:rsidTr="008035C8">
        <w:tc>
          <w:tcPr>
            <w:tcW w:w="8222" w:type="dxa"/>
            <w:gridSpan w:val="2"/>
          </w:tcPr>
          <w:p w14:paraId="4E614365" w14:textId="77777777" w:rsidR="002A3730" w:rsidRDefault="002A3730" w:rsidP="002A3730">
            <w:pPr>
              <w:outlineLvl w:val="0"/>
            </w:pPr>
          </w:p>
          <w:p w14:paraId="084E077C" w14:textId="77777777" w:rsidR="00341BEF" w:rsidRDefault="00341BEF" w:rsidP="002A3730">
            <w:pPr>
              <w:outlineLvl w:val="0"/>
            </w:pPr>
          </w:p>
          <w:p w14:paraId="729CB8DC" w14:textId="77777777" w:rsidR="00341BEF" w:rsidRDefault="00341BEF" w:rsidP="002A3730">
            <w:pPr>
              <w:outlineLvl w:val="0"/>
            </w:pPr>
          </w:p>
          <w:p w14:paraId="43E12B2C" w14:textId="77777777" w:rsidR="00341BEF" w:rsidRDefault="00341BEF" w:rsidP="002A3730">
            <w:pPr>
              <w:outlineLvl w:val="0"/>
            </w:pPr>
          </w:p>
          <w:p w14:paraId="2274DDAD" w14:textId="77777777" w:rsidR="002A3730" w:rsidRDefault="002A3730" w:rsidP="002A3730">
            <w:pPr>
              <w:outlineLvl w:val="0"/>
            </w:pPr>
          </w:p>
          <w:p w14:paraId="2F50798C" w14:textId="3D53B133" w:rsidR="002A3730" w:rsidRDefault="002A3730" w:rsidP="002A3730">
            <w:pPr>
              <w:outlineLvl w:val="0"/>
            </w:pPr>
          </w:p>
          <w:p w14:paraId="16576EC6" w14:textId="33415794" w:rsidR="002A3730" w:rsidRDefault="002A3730" w:rsidP="002A3730">
            <w:pPr>
              <w:outlineLvl w:val="0"/>
            </w:pPr>
          </w:p>
          <w:p w14:paraId="78B460B2" w14:textId="77777777" w:rsidR="00483033" w:rsidRDefault="00483033" w:rsidP="002A3730">
            <w:pPr>
              <w:outlineLvl w:val="0"/>
            </w:pPr>
          </w:p>
          <w:p w14:paraId="7B13580B" w14:textId="61CEBCD2" w:rsidR="002A3730" w:rsidRPr="00BD39D1" w:rsidRDefault="002A3730" w:rsidP="002A3730">
            <w:pPr>
              <w:outlineLvl w:val="0"/>
            </w:pPr>
            <w:r>
              <w:t>Justera</w:t>
            </w:r>
            <w:r w:rsidR="00507D82">
              <w:t>t</w:t>
            </w:r>
            <w:r>
              <w:t xml:space="preserve"> den </w:t>
            </w:r>
            <w:r w:rsidR="00341BEF">
              <w:t xml:space="preserve">15 juni 2026 </w:t>
            </w:r>
            <w:r w:rsidR="00341BEF">
              <w:br/>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481B43F3"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FB48E6">
        <w:rPr>
          <w:sz w:val="22"/>
          <w:szCs w:val="22"/>
        </w:rPr>
        <w:t>5</w:t>
      </w:r>
      <w:r>
        <w:rPr>
          <w:sz w:val="22"/>
          <w:szCs w:val="22"/>
        </w:rPr>
        <w:t>/2</w:t>
      </w:r>
      <w:r w:rsidR="00FB48E6">
        <w:rPr>
          <w:sz w:val="22"/>
          <w:szCs w:val="22"/>
        </w:rPr>
        <w:t>6</w:t>
      </w:r>
      <w:r w:rsidRPr="00282678">
        <w:rPr>
          <w:sz w:val="22"/>
          <w:szCs w:val="22"/>
        </w:rPr>
        <w:t>:</w:t>
      </w:r>
      <w:r w:rsidR="00F0553B">
        <w:rPr>
          <w:sz w:val="22"/>
          <w:szCs w:val="22"/>
        </w:rPr>
        <w:t>52</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0AB33F9B" w:rsidR="00EF6F88" w:rsidRPr="000E151F" w:rsidRDefault="00565BEB" w:rsidP="002B2C82">
            <w:pPr>
              <w:spacing w:line="360" w:lineRule="auto"/>
              <w:rPr>
                <w:sz w:val="22"/>
                <w:szCs w:val="22"/>
              </w:rPr>
            </w:pPr>
            <w:r>
              <w:rPr>
                <w:sz w:val="22"/>
                <w:szCs w:val="22"/>
              </w:rPr>
              <w:t>§1-</w:t>
            </w:r>
            <w:r w:rsidR="009368C1">
              <w:rPr>
                <w:sz w:val="22"/>
                <w:szCs w:val="22"/>
              </w:rPr>
              <w:t>4</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13FC1F5" w:rsidR="00EF6F88" w:rsidRPr="000E151F" w:rsidRDefault="009368C1" w:rsidP="002B2C82">
            <w:pPr>
              <w:rPr>
                <w:sz w:val="22"/>
                <w:szCs w:val="22"/>
              </w:rPr>
            </w:pPr>
            <w:r>
              <w:rPr>
                <w:sz w:val="22"/>
                <w:szCs w:val="22"/>
              </w:rPr>
              <w:t>§5-12</w:t>
            </w: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4642D5"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4642D5" w:rsidRPr="000E151F" w:rsidRDefault="004642D5" w:rsidP="004642D5">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19653740" w:rsidR="004642D5" w:rsidRPr="000E151F" w:rsidRDefault="004642D5" w:rsidP="004642D5">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027A23DB" w:rsidR="004642D5" w:rsidRPr="000E151F" w:rsidRDefault="004642D5" w:rsidP="004642D5">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4642D5" w:rsidRPr="000E151F" w:rsidRDefault="004642D5" w:rsidP="004642D5">
            <w:pPr>
              <w:rPr>
                <w:sz w:val="22"/>
                <w:szCs w:val="22"/>
              </w:rPr>
            </w:pPr>
          </w:p>
        </w:tc>
      </w:tr>
      <w:tr w:rsidR="004642D5"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4642D5" w:rsidRPr="00A946FF" w:rsidRDefault="004642D5" w:rsidP="004642D5">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7F35617A"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4642D5" w:rsidRPr="000E151F" w:rsidRDefault="004642D5" w:rsidP="004642D5">
            <w:pPr>
              <w:rPr>
                <w:sz w:val="22"/>
                <w:szCs w:val="22"/>
              </w:rPr>
            </w:pPr>
          </w:p>
        </w:tc>
      </w:tr>
      <w:tr w:rsidR="004642D5"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4642D5" w:rsidRPr="00A946FF" w:rsidRDefault="004642D5" w:rsidP="004642D5">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39782BC6" w:rsidR="004642D5" w:rsidRPr="000E151F" w:rsidRDefault="004642D5" w:rsidP="004642D5">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22BE3C7C" w:rsidR="004642D5" w:rsidRPr="000E151F" w:rsidRDefault="004642D5" w:rsidP="004642D5">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4642D5" w:rsidRPr="000E151F" w:rsidRDefault="004642D5" w:rsidP="004642D5">
            <w:pPr>
              <w:rPr>
                <w:sz w:val="22"/>
                <w:szCs w:val="22"/>
              </w:rPr>
            </w:pPr>
          </w:p>
        </w:tc>
      </w:tr>
      <w:tr w:rsidR="004642D5"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4642D5" w:rsidRPr="000E151F" w:rsidRDefault="004642D5" w:rsidP="004642D5">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5EE66982" w:rsidR="004642D5" w:rsidRPr="000E151F" w:rsidRDefault="004642D5" w:rsidP="004642D5">
            <w:pPr>
              <w:rPr>
                <w:sz w:val="22"/>
                <w:szCs w:val="22"/>
              </w:rPr>
            </w:pPr>
            <w:r w:rsidRPr="005268D9">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23362A" w:rsidR="004642D5" w:rsidRPr="000E151F" w:rsidRDefault="004642D5" w:rsidP="004642D5">
            <w:pPr>
              <w:rPr>
                <w:sz w:val="22"/>
                <w:szCs w:val="22"/>
              </w:rPr>
            </w:pPr>
            <w:r w:rsidRPr="005268D9">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4642D5" w:rsidRPr="000E151F" w:rsidRDefault="004642D5" w:rsidP="004642D5">
            <w:pPr>
              <w:rPr>
                <w:sz w:val="22"/>
                <w:szCs w:val="22"/>
              </w:rPr>
            </w:pPr>
          </w:p>
        </w:tc>
      </w:tr>
      <w:tr w:rsidR="004642D5"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4642D5" w:rsidRDefault="004642D5" w:rsidP="004642D5">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486A769E" w:rsidR="004642D5" w:rsidRPr="000E151F" w:rsidRDefault="004642D5" w:rsidP="004642D5">
            <w:pPr>
              <w:rPr>
                <w:sz w:val="22"/>
                <w:szCs w:val="22"/>
              </w:rPr>
            </w:pPr>
            <w:r w:rsidRPr="005268D9">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1CE1E74A" w:rsidR="004642D5" w:rsidRPr="000E151F" w:rsidRDefault="004642D5" w:rsidP="004642D5">
            <w:pPr>
              <w:rPr>
                <w:sz w:val="22"/>
                <w:szCs w:val="22"/>
              </w:rPr>
            </w:pPr>
            <w:r w:rsidRPr="005268D9">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4642D5" w:rsidRPr="000E151F" w:rsidRDefault="004642D5" w:rsidP="004642D5">
            <w:pPr>
              <w:rPr>
                <w:sz w:val="22"/>
                <w:szCs w:val="22"/>
              </w:rPr>
            </w:pPr>
          </w:p>
        </w:tc>
      </w:tr>
      <w:tr w:rsidR="004642D5"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27EF7548" w:rsidR="004642D5" w:rsidRDefault="004642D5" w:rsidP="004642D5">
            <w:pPr>
              <w:tabs>
                <w:tab w:val="left" w:pos="-70"/>
              </w:tabs>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56B6B2A4" w14:textId="375575CC" w:rsidR="004642D5" w:rsidRPr="000E151F" w:rsidRDefault="004642D5" w:rsidP="004642D5">
            <w:pPr>
              <w:rPr>
                <w:sz w:val="22"/>
                <w:szCs w:val="22"/>
              </w:rPr>
            </w:pPr>
            <w:r w:rsidRPr="005268D9">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2172C971" w:rsidR="004642D5" w:rsidRPr="000E151F" w:rsidRDefault="004642D5" w:rsidP="004642D5">
            <w:pPr>
              <w:rPr>
                <w:sz w:val="22"/>
                <w:szCs w:val="22"/>
              </w:rPr>
            </w:pPr>
            <w:r w:rsidRPr="005268D9">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4642D5" w:rsidRPr="000E151F" w:rsidRDefault="004642D5" w:rsidP="004642D5">
            <w:pPr>
              <w:rPr>
                <w:sz w:val="22"/>
                <w:szCs w:val="22"/>
              </w:rPr>
            </w:pPr>
          </w:p>
        </w:tc>
      </w:tr>
      <w:tr w:rsidR="004642D5"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4642D5" w:rsidRDefault="004642D5" w:rsidP="004642D5">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6494EA40" w:rsidR="004642D5" w:rsidRPr="000E151F" w:rsidRDefault="004642D5" w:rsidP="004642D5">
            <w:pPr>
              <w:rPr>
                <w:sz w:val="22"/>
                <w:szCs w:val="22"/>
              </w:rPr>
            </w:pPr>
            <w:r w:rsidRPr="005268D9">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4BA6B96F" w:rsidR="004642D5" w:rsidRPr="000E151F" w:rsidRDefault="004642D5" w:rsidP="004642D5">
            <w:pPr>
              <w:rPr>
                <w:sz w:val="22"/>
                <w:szCs w:val="22"/>
              </w:rPr>
            </w:pPr>
            <w:r w:rsidRPr="005268D9">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4642D5" w:rsidRPr="000E151F" w:rsidRDefault="004642D5" w:rsidP="004642D5">
            <w:pPr>
              <w:rPr>
                <w:sz w:val="22"/>
                <w:szCs w:val="22"/>
              </w:rPr>
            </w:pPr>
          </w:p>
        </w:tc>
      </w:tr>
      <w:tr w:rsidR="004642D5"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4642D5" w:rsidRDefault="004642D5" w:rsidP="004642D5">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3FEB7C9B" w:rsidR="004642D5" w:rsidRPr="000E151F" w:rsidRDefault="004642D5" w:rsidP="004642D5">
            <w:pPr>
              <w:rPr>
                <w:sz w:val="22"/>
                <w:szCs w:val="22"/>
              </w:rPr>
            </w:pPr>
            <w:r w:rsidRPr="005268D9">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5624B8CE" w:rsidR="004642D5" w:rsidRPr="000E151F" w:rsidRDefault="004642D5" w:rsidP="004642D5">
            <w:pPr>
              <w:rPr>
                <w:sz w:val="22"/>
                <w:szCs w:val="22"/>
              </w:rPr>
            </w:pPr>
            <w:r w:rsidRPr="005268D9">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4642D5" w:rsidRPr="000E151F" w:rsidRDefault="004642D5" w:rsidP="004642D5">
            <w:pPr>
              <w:rPr>
                <w:sz w:val="22"/>
                <w:szCs w:val="22"/>
              </w:rPr>
            </w:pPr>
          </w:p>
        </w:tc>
      </w:tr>
      <w:tr w:rsidR="004642D5"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4642D5" w:rsidRDefault="004642D5" w:rsidP="004642D5">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48181A9A" w:rsidR="004642D5" w:rsidRPr="000E151F" w:rsidRDefault="004642D5" w:rsidP="004642D5">
            <w:pPr>
              <w:rPr>
                <w:sz w:val="22"/>
                <w:szCs w:val="22"/>
              </w:rPr>
            </w:pPr>
            <w:r w:rsidRPr="005268D9">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59D29CBD" w:rsidR="004642D5" w:rsidRPr="000E151F" w:rsidRDefault="004642D5" w:rsidP="004642D5">
            <w:pPr>
              <w:rPr>
                <w:sz w:val="22"/>
                <w:szCs w:val="22"/>
              </w:rPr>
            </w:pPr>
            <w:r w:rsidRPr="005268D9">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4642D5" w:rsidRPr="000E151F" w:rsidRDefault="004642D5" w:rsidP="004642D5">
            <w:pPr>
              <w:rPr>
                <w:sz w:val="22"/>
                <w:szCs w:val="22"/>
              </w:rPr>
            </w:pPr>
          </w:p>
        </w:tc>
      </w:tr>
      <w:tr w:rsidR="004642D5"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4642D5" w:rsidRDefault="004642D5" w:rsidP="004642D5">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5582A39F"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45A4ECA3" w:rsidR="004642D5" w:rsidRPr="000E151F" w:rsidRDefault="004642D5" w:rsidP="004642D5">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4642D5" w:rsidRPr="000E151F" w:rsidRDefault="004642D5" w:rsidP="004642D5">
            <w:pPr>
              <w:rPr>
                <w:sz w:val="22"/>
                <w:szCs w:val="22"/>
              </w:rPr>
            </w:pPr>
          </w:p>
        </w:tc>
      </w:tr>
      <w:tr w:rsidR="004642D5"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4642D5" w:rsidRPr="000E151F" w:rsidRDefault="004642D5" w:rsidP="004642D5">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1A813CCE" w:rsidR="004642D5" w:rsidRPr="000E151F" w:rsidRDefault="004642D5" w:rsidP="004642D5">
            <w:pPr>
              <w:rPr>
                <w:sz w:val="22"/>
                <w:szCs w:val="22"/>
              </w:rPr>
            </w:pPr>
            <w:r w:rsidRPr="005268D9">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4BB15F1D" w:rsidR="004642D5" w:rsidRPr="000E151F" w:rsidRDefault="004642D5" w:rsidP="004642D5">
            <w:pPr>
              <w:rPr>
                <w:sz w:val="22"/>
                <w:szCs w:val="22"/>
              </w:rPr>
            </w:pPr>
            <w:r w:rsidRPr="005268D9">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4642D5" w:rsidRPr="000E151F" w:rsidRDefault="004642D5" w:rsidP="004642D5">
            <w:pPr>
              <w:rPr>
                <w:sz w:val="22"/>
                <w:szCs w:val="22"/>
              </w:rPr>
            </w:pPr>
          </w:p>
        </w:tc>
      </w:tr>
      <w:tr w:rsidR="004642D5"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4642D5" w:rsidRPr="000E151F" w:rsidRDefault="004642D5" w:rsidP="004642D5">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1D32EC6E"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4642D5" w:rsidRPr="000E151F" w:rsidRDefault="004642D5" w:rsidP="004642D5">
            <w:pPr>
              <w:rPr>
                <w:sz w:val="22"/>
                <w:szCs w:val="22"/>
              </w:rPr>
            </w:pPr>
          </w:p>
        </w:tc>
      </w:tr>
      <w:tr w:rsidR="004642D5"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4642D5" w:rsidRPr="000E151F" w:rsidRDefault="004642D5" w:rsidP="004642D5">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6E37966A" w:rsidR="004642D5" w:rsidRPr="000E151F" w:rsidRDefault="004642D5" w:rsidP="004642D5">
            <w:pPr>
              <w:rPr>
                <w:sz w:val="22"/>
                <w:szCs w:val="22"/>
              </w:rPr>
            </w:pPr>
            <w:r w:rsidRPr="005268D9">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6E9AAD34" w:rsidR="004642D5" w:rsidRPr="000E151F" w:rsidRDefault="004642D5" w:rsidP="004642D5">
            <w:pPr>
              <w:rPr>
                <w:sz w:val="22"/>
                <w:szCs w:val="22"/>
              </w:rPr>
            </w:pPr>
            <w:r w:rsidRPr="005268D9">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4642D5" w:rsidRPr="000E151F" w:rsidRDefault="004642D5" w:rsidP="004642D5">
            <w:pPr>
              <w:rPr>
                <w:sz w:val="22"/>
                <w:szCs w:val="22"/>
              </w:rPr>
            </w:pPr>
          </w:p>
        </w:tc>
      </w:tr>
      <w:tr w:rsidR="004642D5"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4642D5" w:rsidRPr="000E151F" w:rsidRDefault="004642D5" w:rsidP="004642D5">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0FCBEC3F"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4642D5" w:rsidRPr="000E151F" w:rsidRDefault="004642D5" w:rsidP="004642D5">
            <w:pPr>
              <w:rPr>
                <w:sz w:val="22"/>
                <w:szCs w:val="22"/>
              </w:rPr>
            </w:pPr>
          </w:p>
        </w:tc>
      </w:tr>
      <w:tr w:rsidR="004642D5"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4642D5" w:rsidRPr="000E151F" w:rsidRDefault="004642D5" w:rsidP="004642D5">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380E6079" w:rsidR="004642D5" w:rsidRPr="000E151F" w:rsidRDefault="004642D5" w:rsidP="004642D5">
            <w:pPr>
              <w:rPr>
                <w:sz w:val="22"/>
                <w:szCs w:val="22"/>
              </w:rPr>
            </w:pPr>
            <w:r w:rsidRPr="005268D9">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3EF3A3A5" w:rsidR="004642D5" w:rsidRPr="000E151F" w:rsidRDefault="004642D5" w:rsidP="004642D5">
            <w:pPr>
              <w:rPr>
                <w:sz w:val="22"/>
                <w:szCs w:val="22"/>
              </w:rPr>
            </w:pPr>
            <w:r w:rsidRPr="005268D9">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4642D5" w:rsidRPr="000E151F" w:rsidRDefault="004642D5" w:rsidP="004642D5">
            <w:pPr>
              <w:rPr>
                <w:sz w:val="22"/>
                <w:szCs w:val="22"/>
              </w:rPr>
            </w:pPr>
          </w:p>
        </w:tc>
      </w:tr>
      <w:tr w:rsidR="004642D5"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4642D5" w:rsidRDefault="004642D5" w:rsidP="004642D5">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1A97D7FA" w:rsidR="004642D5" w:rsidRPr="000E151F" w:rsidRDefault="004642D5" w:rsidP="004642D5">
            <w:pPr>
              <w:rPr>
                <w:sz w:val="22"/>
                <w:szCs w:val="22"/>
              </w:rPr>
            </w:pPr>
            <w:r w:rsidRPr="005268D9">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23D9BF3E" w:rsidR="004642D5" w:rsidRPr="000E151F" w:rsidRDefault="004642D5" w:rsidP="004642D5">
            <w:pPr>
              <w:rPr>
                <w:sz w:val="22"/>
                <w:szCs w:val="22"/>
              </w:rPr>
            </w:pPr>
            <w:r w:rsidRPr="005268D9">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4642D5" w:rsidRPr="000E151F" w:rsidRDefault="004642D5" w:rsidP="004642D5">
            <w:pPr>
              <w:rPr>
                <w:sz w:val="22"/>
                <w:szCs w:val="22"/>
              </w:rPr>
            </w:pPr>
          </w:p>
        </w:tc>
      </w:tr>
      <w:tr w:rsidR="004642D5"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4642D5" w:rsidRPr="000E151F" w:rsidRDefault="004642D5" w:rsidP="004642D5">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4E455960" w:rsidR="004642D5" w:rsidRPr="000E151F" w:rsidRDefault="004642D5" w:rsidP="004642D5">
            <w:pPr>
              <w:rPr>
                <w:sz w:val="22"/>
                <w:szCs w:val="22"/>
              </w:rPr>
            </w:pPr>
            <w:r w:rsidRPr="005268D9">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38A803E" w:rsidR="004642D5" w:rsidRPr="000E151F" w:rsidRDefault="004642D5" w:rsidP="004642D5">
            <w:pPr>
              <w:rPr>
                <w:sz w:val="22"/>
                <w:szCs w:val="22"/>
              </w:rPr>
            </w:pPr>
            <w:r w:rsidRPr="005268D9">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4642D5" w:rsidRPr="000E151F" w:rsidRDefault="004642D5" w:rsidP="004642D5">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4642D5"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4642D5" w:rsidRPr="000E151F" w:rsidRDefault="004642D5" w:rsidP="004642D5">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2C635A21" w:rsidR="004642D5" w:rsidRPr="000E151F" w:rsidRDefault="004642D5" w:rsidP="004642D5">
            <w:pPr>
              <w:rPr>
                <w:sz w:val="22"/>
                <w:szCs w:val="22"/>
              </w:rPr>
            </w:pPr>
            <w:r w:rsidRPr="005268D9">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1078C7C7" w:rsidR="004642D5" w:rsidRPr="000E151F" w:rsidRDefault="004642D5" w:rsidP="004642D5">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4642D5" w:rsidRPr="000E151F" w:rsidRDefault="004642D5" w:rsidP="004642D5">
            <w:pPr>
              <w:rPr>
                <w:sz w:val="22"/>
                <w:szCs w:val="22"/>
              </w:rPr>
            </w:pPr>
          </w:p>
        </w:tc>
      </w:tr>
      <w:tr w:rsidR="004642D5"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4642D5" w:rsidRPr="000E151F" w:rsidRDefault="004642D5" w:rsidP="004642D5">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4EE20965"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4642D5" w:rsidRPr="000E151F" w:rsidRDefault="004642D5" w:rsidP="004642D5">
            <w:pPr>
              <w:rPr>
                <w:sz w:val="22"/>
                <w:szCs w:val="22"/>
              </w:rPr>
            </w:pPr>
          </w:p>
        </w:tc>
      </w:tr>
      <w:tr w:rsidR="004642D5"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2137E83A" w:rsidR="004642D5" w:rsidRPr="000E151F" w:rsidRDefault="004642D5" w:rsidP="004642D5">
            <w:pPr>
              <w:tabs>
                <w:tab w:val="left" w:pos="1701"/>
              </w:tabs>
              <w:rPr>
                <w:snapToGrid w:val="0"/>
                <w:sz w:val="22"/>
                <w:szCs w:val="22"/>
                <w:lang w:val="en-US"/>
              </w:rPr>
            </w:pPr>
            <w:r>
              <w:rPr>
                <w:snapToGrid w:val="0"/>
                <w:sz w:val="22"/>
                <w:szCs w:val="22"/>
              </w:rPr>
              <w:t>Patrik Lundqvist</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617D822B" w14:textId="6860E278"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4642D5" w:rsidRPr="000E151F" w:rsidRDefault="004642D5" w:rsidP="004642D5">
            <w:pPr>
              <w:rPr>
                <w:sz w:val="22"/>
                <w:szCs w:val="22"/>
              </w:rPr>
            </w:pPr>
          </w:p>
        </w:tc>
      </w:tr>
      <w:tr w:rsidR="004642D5"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4642D5" w:rsidRDefault="004642D5" w:rsidP="004642D5">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4642D5" w:rsidRPr="000E151F" w:rsidRDefault="004642D5" w:rsidP="004642D5">
            <w:pPr>
              <w:rPr>
                <w:sz w:val="22"/>
                <w:szCs w:val="22"/>
              </w:rPr>
            </w:pPr>
          </w:p>
        </w:tc>
      </w:tr>
      <w:tr w:rsidR="004642D5"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4642D5" w:rsidRPr="000E151F" w:rsidRDefault="004642D5" w:rsidP="004642D5">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67DD157F"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4642D5" w:rsidRPr="000E151F" w:rsidRDefault="004642D5" w:rsidP="004642D5">
            <w:pPr>
              <w:rPr>
                <w:sz w:val="22"/>
                <w:szCs w:val="22"/>
              </w:rPr>
            </w:pPr>
          </w:p>
        </w:tc>
      </w:tr>
      <w:tr w:rsidR="004642D5"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4642D5" w:rsidRPr="000E151F" w:rsidRDefault="004642D5" w:rsidP="004642D5">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0494D0C6" w:rsidR="004642D5" w:rsidRPr="000E151F" w:rsidRDefault="004642D5" w:rsidP="004642D5">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5C19E73D" w:rsidR="004642D5" w:rsidRPr="000E151F" w:rsidRDefault="004642D5" w:rsidP="004642D5">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4642D5" w:rsidRPr="000E151F" w:rsidRDefault="004642D5" w:rsidP="004642D5">
            <w:pPr>
              <w:rPr>
                <w:sz w:val="22"/>
                <w:szCs w:val="22"/>
              </w:rPr>
            </w:pPr>
          </w:p>
        </w:tc>
      </w:tr>
      <w:tr w:rsidR="004642D5"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4642D5" w:rsidRPr="000E151F" w:rsidRDefault="004642D5" w:rsidP="004642D5">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219C9E7C"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4642D5" w:rsidRPr="000E151F" w:rsidRDefault="004642D5" w:rsidP="004642D5">
            <w:pPr>
              <w:rPr>
                <w:sz w:val="22"/>
                <w:szCs w:val="22"/>
              </w:rPr>
            </w:pPr>
          </w:p>
        </w:tc>
      </w:tr>
      <w:tr w:rsidR="004642D5"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4642D5" w:rsidRDefault="004642D5" w:rsidP="004642D5">
            <w:pPr>
              <w:tabs>
                <w:tab w:val="left" w:pos="1701"/>
              </w:tabs>
              <w:rPr>
                <w:snapToGrid w:val="0"/>
                <w:sz w:val="22"/>
                <w:szCs w:val="22"/>
              </w:rPr>
            </w:pPr>
            <w:r>
              <w:rPr>
                <w:snapToGrid w:val="0"/>
                <w:sz w:val="22"/>
                <w:szCs w:val="22"/>
                <w:lang w:val="en-US"/>
              </w:rPr>
              <w:t>Pia Trollehjelm</w:t>
            </w:r>
            <w:r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4642D5" w:rsidRPr="000E151F" w:rsidRDefault="004642D5" w:rsidP="004642D5">
            <w:pPr>
              <w:rPr>
                <w:sz w:val="22"/>
                <w:szCs w:val="22"/>
              </w:rPr>
            </w:pPr>
          </w:p>
        </w:tc>
      </w:tr>
      <w:tr w:rsidR="004642D5" w:rsidRPr="000E151F" w14:paraId="7E8ECC06" w14:textId="77777777" w:rsidTr="002B2C82">
        <w:tc>
          <w:tcPr>
            <w:tcW w:w="4395" w:type="dxa"/>
            <w:tcBorders>
              <w:top w:val="single" w:sz="6" w:space="0" w:color="auto"/>
              <w:left w:val="single" w:sz="6" w:space="0" w:color="auto"/>
              <w:bottom w:val="single" w:sz="6" w:space="0" w:color="auto"/>
              <w:right w:val="single" w:sz="6" w:space="0" w:color="auto"/>
            </w:tcBorders>
          </w:tcPr>
          <w:p w14:paraId="5CD4292F" w14:textId="00C8F893" w:rsidR="004642D5" w:rsidRPr="00A946FF" w:rsidRDefault="004642D5" w:rsidP="004642D5">
            <w:pPr>
              <w:tabs>
                <w:tab w:val="left" w:pos="1701"/>
              </w:tabs>
              <w:rPr>
                <w:snapToGrid w:val="0"/>
                <w:sz w:val="22"/>
                <w:szCs w:val="22"/>
              </w:rPr>
            </w:pPr>
            <w:r>
              <w:rPr>
                <w:snapToGrid w:val="0"/>
                <w:sz w:val="22"/>
                <w:szCs w:val="22"/>
              </w:rPr>
              <w:t>Niklas Sigvardsson (S)</w:t>
            </w:r>
          </w:p>
        </w:tc>
        <w:tc>
          <w:tcPr>
            <w:tcW w:w="488" w:type="dxa"/>
            <w:tcBorders>
              <w:top w:val="single" w:sz="6" w:space="0" w:color="auto"/>
              <w:left w:val="single" w:sz="6" w:space="0" w:color="auto"/>
              <w:bottom w:val="single" w:sz="6" w:space="0" w:color="auto"/>
              <w:right w:val="single" w:sz="6" w:space="0" w:color="auto"/>
            </w:tcBorders>
          </w:tcPr>
          <w:p w14:paraId="523CD454"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AA75B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725667"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69895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C75407"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F86E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8320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3062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3CC5"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381E4B"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EF0B78"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7EDE9" w14:textId="77777777" w:rsidR="004642D5" w:rsidRPr="000E151F" w:rsidRDefault="004642D5" w:rsidP="004642D5">
            <w:pPr>
              <w:rPr>
                <w:sz w:val="22"/>
                <w:szCs w:val="22"/>
              </w:rPr>
            </w:pPr>
          </w:p>
        </w:tc>
      </w:tr>
      <w:tr w:rsidR="004642D5"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4642D5" w:rsidRPr="000E151F" w:rsidRDefault="004642D5" w:rsidP="004642D5">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4642D5" w:rsidRPr="000E151F" w:rsidRDefault="004642D5" w:rsidP="004642D5">
            <w:pPr>
              <w:rPr>
                <w:sz w:val="22"/>
                <w:szCs w:val="22"/>
              </w:rPr>
            </w:pPr>
          </w:p>
        </w:tc>
      </w:tr>
      <w:tr w:rsidR="004642D5"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4642D5" w:rsidRDefault="004642D5" w:rsidP="004642D5">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4642D5" w:rsidRPr="000E151F" w:rsidRDefault="004642D5" w:rsidP="004642D5">
            <w:pPr>
              <w:rPr>
                <w:sz w:val="22"/>
                <w:szCs w:val="22"/>
              </w:rPr>
            </w:pPr>
          </w:p>
        </w:tc>
      </w:tr>
      <w:tr w:rsidR="004642D5"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27EBF25A" w:rsidR="004642D5" w:rsidRPr="000E151F" w:rsidRDefault="004642D5" w:rsidP="004642D5">
            <w:pPr>
              <w:tabs>
                <w:tab w:val="left" w:pos="1701"/>
              </w:tabs>
              <w:rPr>
                <w:snapToGrid w:val="0"/>
                <w:sz w:val="22"/>
                <w:szCs w:val="22"/>
              </w:rPr>
            </w:pPr>
            <w:r>
              <w:rPr>
                <w:snapToGrid w:val="0"/>
                <w:sz w:val="22"/>
                <w:szCs w:val="22"/>
              </w:rPr>
              <w:t>Camilla Rinaldo Miller</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686656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4642D5" w:rsidRPr="000E151F" w:rsidRDefault="004642D5" w:rsidP="004642D5">
            <w:pPr>
              <w:rPr>
                <w:sz w:val="22"/>
                <w:szCs w:val="22"/>
              </w:rPr>
            </w:pPr>
          </w:p>
        </w:tc>
      </w:tr>
      <w:tr w:rsidR="004642D5"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5AA20C2" w:rsidR="004642D5" w:rsidRPr="000E151F" w:rsidRDefault="004642D5" w:rsidP="004642D5">
            <w:pPr>
              <w:tabs>
                <w:tab w:val="left" w:pos="1701"/>
              </w:tabs>
              <w:rPr>
                <w:snapToGrid w:val="0"/>
                <w:sz w:val="22"/>
                <w:szCs w:val="22"/>
              </w:rPr>
            </w:pPr>
            <w:r>
              <w:rPr>
                <w:snapToGrid w:val="0"/>
                <w:sz w:val="22"/>
                <w:szCs w:val="22"/>
              </w:rPr>
              <w:t>Vakant</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4642D5" w:rsidRPr="000E151F" w:rsidRDefault="004642D5" w:rsidP="004642D5">
            <w:pPr>
              <w:rPr>
                <w:sz w:val="22"/>
                <w:szCs w:val="22"/>
              </w:rPr>
            </w:pPr>
          </w:p>
        </w:tc>
      </w:tr>
      <w:tr w:rsidR="004642D5"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0CED5572" w:rsidR="004642D5" w:rsidRPr="00A946FF" w:rsidRDefault="004642D5" w:rsidP="004642D5">
            <w:pPr>
              <w:tabs>
                <w:tab w:val="left" w:pos="1701"/>
              </w:tabs>
              <w:rPr>
                <w:snapToGrid w:val="0"/>
                <w:sz w:val="22"/>
                <w:szCs w:val="22"/>
              </w:rPr>
            </w:pPr>
            <w:r>
              <w:rPr>
                <w:snapToGrid w:val="0"/>
                <w:sz w:val="22"/>
                <w:szCs w:val="22"/>
              </w:rPr>
              <w:t xml:space="preserve">Martin Melin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4642D5" w:rsidRPr="000E151F" w:rsidRDefault="004642D5" w:rsidP="004642D5">
            <w:pPr>
              <w:rPr>
                <w:sz w:val="22"/>
                <w:szCs w:val="22"/>
              </w:rPr>
            </w:pPr>
          </w:p>
        </w:tc>
      </w:tr>
      <w:tr w:rsidR="004642D5"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4642D5" w:rsidRPr="000E151F" w:rsidRDefault="004642D5" w:rsidP="004642D5">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4642D5" w:rsidRPr="000E151F" w:rsidRDefault="004642D5" w:rsidP="004642D5">
            <w:pPr>
              <w:rPr>
                <w:sz w:val="22"/>
                <w:szCs w:val="22"/>
              </w:rPr>
            </w:pPr>
          </w:p>
        </w:tc>
      </w:tr>
      <w:tr w:rsidR="004642D5"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4642D5" w:rsidRPr="000E151F" w:rsidRDefault="004642D5" w:rsidP="004642D5">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4642D5" w:rsidRPr="000E151F" w:rsidRDefault="004642D5" w:rsidP="004642D5">
            <w:pPr>
              <w:rPr>
                <w:sz w:val="22"/>
                <w:szCs w:val="22"/>
              </w:rPr>
            </w:pPr>
          </w:p>
        </w:tc>
      </w:tr>
      <w:tr w:rsidR="004642D5"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4642D5" w:rsidRPr="000E151F" w:rsidRDefault="004642D5" w:rsidP="004642D5">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C2610EE" w:rsidR="004642D5" w:rsidRPr="000E151F" w:rsidRDefault="004642D5" w:rsidP="004642D5">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5B646C0D" w:rsidR="004642D5" w:rsidRPr="000E151F" w:rsidRDefault="004642D5" w:rsidP="004642D5">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4642D5" w:rsidRPr="000E151F" w:rsidRDefault="004642D5" w:rsidP="004642D5">
            <w:pPr>
              <w:rPr>
                <w:sz w:val="22"/>
                <w:szCs w:val="22"/>
              </w:rPr>
            </w:pPr>
          </w:p>
        </w:tc>
      </w:tr>
      <w:tr w:rsidR="004642D5"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4642D5" w:rsidRPr="000E151F" w:rsidRDefault="004642D5" w:rsidP="004642D5">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4642D5" w:rsidRPr="000E151F" w:rsidRDefault="004642D5" w:rsidP="004642D5">
            <w:pPr>
              <w:rPr>
                <w:sz w:val="22"/>
                <w:szCs w:val="22"/>
              </w:rPr>
            </w:pPr>
          </w:p>
        </w:tc>
      </w:tr>
      <w:tr w:rsidR="004642D5"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4642D5" w:rsidRPr="000E151F" w:rsidRDefault="004642D5" w:rsidP="004642D5">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4642D5" w:rsidRPr="000E151F" w:rsidRDefault="004642D5" w:rsidP="004642D5">
            <w:pPr>
              <w:rPr>
                <w:sz w:val="22"/>
                <w:szCs w:val="22"/>
              </w:rPr>
            </w:pPr>
          </w:p>
        </w:tc>
      </w:tr>
      <w:tr w:rsidR="004642D5"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4642D5" w:rsidRPr="007E32F7" w:rsidRDefault="004642D5" w:rsidP="004642D5">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4642D5" w:rsidRPr="000E151F" w:rsidRDefault="004642D5" w:rsidP="004642D5">
            <w:pPr>
              <w:rPr>
                <w:sz w:val="22"/>
                <w:szCs w:val="22"/>
              </w:rPr>
            </w:pPr>
          </w:p>
        </w:tc>
      </w:tr>
      <w:tr w:rsidR="004642D5"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4642D5" w:rsidRPr="007E32F7" w:rsidRDefault="004642D5" w:rsidP="004642D5">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4642D5" w:rsidRPr="000E151F" w:rsidRDefault="004642D5" w:rsidP="004642D5">
            <w:pPr>
              <w:rPr>
                <w:sz w:val="22"/>
                <w:szCs w:val="22"/>
              </w:rPr>
            </w:pPr>
          </w:p>
        </w:tc>
      </w:tr>
      <w:tr w:rsidR="004642D5"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4642D5" w:rsidRPr="000E151F" w:rsidRDefault="004642D5" w:rsidP="004642D5">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4642D5" w:rsidRPr="000E151F" w:rsidRDefault="004642D5" w:rsidP="004642D5">
            <w:pPr>
              <w:rPr>
                <w:sz w:val="22"/>
                <w:szCs w:val="22"/>
              </w:rPr>
            </w:pPr>
          </w:p>
        </w:tc>
      </w:tr>
      <w:tr w:rsidR="004642D5"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4642D5" w:rsidRPr="007E32F7" w:rsidRDefault="004642D5" w:rsidP="004642D5">
            <w:pPr>
              <w:tabs>
                <w:tab w:val="left" w:pos="497"/>
              </w:tabs>
              <w:rPr>
                <w:snapToGrid w:val="0"/>
                <w:sz w:val="22"/>
                <w:szCs w:val="22"/>
              </w:rPr>
            </w:pPr>
            <w:r>
              <w:rPr>
                <w:snapToGrid w:val="0"/>
                <w:sz w:val="22"/>
                <w:szCs w:val="22"/>
              </w:rPr>
              <w:t xml:space="preserve">Mauricio Rojas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4642D5" w:rsidRPr="000E151F" w:rsidRDefault="004642D5" w:rsidP="004642D5">
            <w:pPr>
              <w:rPr>
                <w:sz w:val="22"/>
                <w:szCs w:val="22"/>
              </w:rPr>
            </w:pPr>
          </w:p>
        </w:tc>
      </w:tr>
      <w:tr w:rsidR="004642D5"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4642D5" w:rsidRPr="000E151F" w:rsidRDefault="004642D5" w:rsidP="004642D5">
            <w:pPr>
              <w:tabs>
                <w:tab w:val="left" w:pos="497"/>
              </w:tabs>
              <w:rPr>
                <w:snapToGrid w:val="0"/>
                <w:sz w:val="22"/>
                <w:szCs w:val="22"/>
              </w:rPr>
            </w:pPr>
            <w:r w:rsidRPr="00A946FF">
              <w:rPr>
                <w:snapToGrid w:val="0"/>
                <w:sz w:val="22"/>
                <w:szCs w:val="22"/>
              </w:rPr>
              <w:t>An</w:t>
            </w:r>
            <w:r>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4642D5" w:rsidRPr="000E151F" w:rsidRDefault="004642D5" w:rsidP="004642D5">
            <w:pPr>
              <w:rPr>
                <w:sz w:val="22"/>
                <w:szCs w:val="22"/>
              </w:rPr>
            </w:pPr>
          </w:p>
        </w:tc>
      </w:tr>
      <w:tr w:rsidR="004642D5"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4642D5" w:rsidRPr="000E151F" w:rsidRDefault="004642D5" w:rsidP="004642D5">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4642D5" w:rsidRPr="000E151F" w:rsidRDefault="004642D5" w:rsidP="004642D5">
            <w:pPr>
              <w:rPr>
                <w:sz w:val="22"/>
                <w:szCs w:val="22"/>
              </w:rPr>
            </w:pPr>
          </w:p>
        </w:tc>
      </w:tr>
      <w:tr w:rsidR="004642D5"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4642D5" w:rsidRPr="000E151F" w:rsidRDefault="004642D5" w:rsidP="004642D5">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4642D5" w:rsidRPr="000E151F" w:rsidRDefault="004642D5" w:rsidP="004642D5">
            <w:pPr>
              <w:rPr>
                <w:sz w:val="22"/>
                <w:szCs w:val="22"/>
              </w:rPr>
            </w:pPr>
          </w:p>
        </w:tc>
      </w:tr>
      <w:tr w:rsidR="004642D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4642D5" w:rsidRDefault="004642D5" w:rsidP="004642D5">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4642D5" w:rsidRPr="000E151F" w:rsidRDefault="004642D5" w:rsidP="004642D5">
            <w:pPr>
              <w:rPr>
                <w:sz w:val="22"/>
                <w:szCs w:val="22"/>
              </w:rPr>
            </w:pPr>
          </w:p>
        </w:tc>
      </w:tr>
      <w:tr w:rsidR="004642D5"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4642D5" w:rsidRDefault="004642D5" w:rsidP="004642D5">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369216A6" w:rsidR="004642D5" w:rsidRPr="000E151F" w:rsidRDefault="004642D5" w:rsidP="004642D5">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1D7BB5AC" w:rsidR="004642D5" w:rsidRPr="000E151F" w:rsidRDefault="004642D5" w:rsidP="004642D5">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4642D5" w:rsidRPr="000E151F" w:rsidRDefault="004642D5" w:rsidP="004642D5">
            <w:pPr>
              <w:rPr>
                <w:sz w:val="22"/>
                <w:szCs w:val="22"/>
              </w:rPr>
            </w:pPr>
          </w:p>
        </w:tc>
      </w:tr>
      <w:tr w:rsidR="004642D5"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4642D5" w:rsidRDefault="004642D5" w:rsidP="004642D5">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2DF55962" w:rsidR="004642D5" w:rsidRPr="000E151F" w:rsidRDefault="004642D5" w:rsidP="004642D5">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3872CC89" w:rsidR="004642D5" w:rsidRPr="000E151F" w:rsidRDefault="004642D5" w:rsidP="004642D5">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4642D5" w:rsidRPr="000E151F" w:rsidRDefault="004642D5" w:rsidP="004642D5">
            <w:pPr>
              <w:rPr>
                <w:sz w:val="22"/>
                <w:szCs w:val="22"/>
              </w:rPr>
            </w:pPr>
          </w:p>
        </w:tc>
      </w:tr>
      <w:tr w:rsidR="004642D5" w:rsidRPr="000E151F" w14:paraId="4B452364"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31C37A2" w14:textId="47A7DEF0" w:rsidR="004642D5" w:rsidRDefault="004642D5" w:rsidP="004642D5">
            <w:pPr>
              <w:tabs>
                <w:tab w:val="left" w:pos="497"/>
              </w:tabs>
              <w:rPr>
                <w:snapToGrid w:val="0"/>
                <w:sz w:val="22"/>
                <w:szCs w:val="22"/>
              </w:rPr>
            </w:pPr>
            <w:r>
              <w:rPr>
                <w:snapToGrid w:val="0"/>
                <w:sz w:val="22"/>
                <w:szCs w:val="22"/>
              </w:rPr>
              <w:t>Jim Svensk Larm (S)</w:t>
            </w:r>
          </w:p>
        </w:tc>
        <w:tc>
          <w:tcPr>
            <w:tcW w:w="488" w:type="dxa"/>
            <w:tcBorders>
              <w:top w:val="single" w:sz="6" w:space="0" w:color="auto"/>
              <w:left w:val="single" w:sz="6" w:space="0" w:color="auto"/>
              <w:bottom w:val="single" w:sz="6" w:space="0" w:color="auto"/>
              <w:right w:val="single" w:sz="6" w:space="0" w:color="auto"/>
            </w:tcBorders>
          </w:tcPr>
          <w:p w14:paraId="3C8EED89" w14:textId="77777777" w:rsidR="004642D5" w:rsidRPr="000E151F" w:rsidRDefault="004642D5" w:rsidP="004642D5">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23B76A3"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32B33"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DD112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E7E5E7"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6B9581"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534464"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737198"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D98FB6" w14:textId="77777777" w:rsidR="004642D5" w:rsidRPr="000E151F" w:rsidRDefault="004642D5" w:rsidP="004642D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B1B80" w14:textId="77777777" w:rsidR="004642D5" w:rsidRPr="000E151F" w:rsidRDefault="004642D5" w:rsidP="004642D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0AC402" w14:textId="77777777" w:rsidR="004642D5" w:rsidRPr="000E151F" w:rsidRDefault="004642D5" w:rsidP="004642D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0E57A6" w14:textId="77777777" w:rsidR="004642D5" w:rsidRPr="000E151F" w:rsidRDefault="004642D5" w:rsidP="004642D5">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478F379D" w14:textId="77777777" w:rsidR="00F0553B" w:rsidRDefault="00F0553B" w:rsidP="00EF6F88">
      <w:pPr>
        <w:ind w:left="-709"/>
        <w:rPr>
          <w:spacing w:val="2"/>
          <w:sz w:val="18"/>
        </w:rPr>
      </w:pPr>
    </w:p>
    <w:p w14:paraId="549530CF" w14:textId="32C5BBB0" w:rsidR="00F0553B" w:rsidRDefault="00F0553B" w:rsidP="00F0553B">
      <w:pPr>
        <w:ind w:left="1899" w:firstLine="2013"/>
        <w:rPr>
          <w:spacing w:val="2"/>
          <w:sz w:val="18"/>
        </w:rPr>
      </w:pPr>
      <w:r>
        <w:rPr>
          <w:sz w:val="22"/>
        </w:rPr>
        <w:lastRenderedPageBreak/>
        <w:t xml:space="preserve">                                Bilaga </w:t>
      </w:r>
      <w:r w:rsidR="000D65B8">
        <w:rPr>
          <w:sz w:val="22"/>
        </w:rPr>
        <w:t>2</w:t>
      </w:r>
      <w:r w:rsidRPr="00282678">
        <w:rPr>
          <w:sz w:val="22"/>
        </w:rPr>
        <w:t xml:space="preserve"> </w:t>
      </w:r>
      <w:r>
        <w:rPr>
          <w:sz w:val="22"/>
        </w:rPr>
        <w:t xml:space="preserve">till protokoll </w:t>
      </w:r>
      <w:r>
        <w:rPr>
          <w:sz w:val="22"/>
          <w:szCs w:val="22"/>
        </w:rPr>
        <w:t>2025/26</w:t>
      </w:r>
      <w:r w:rsidRPr="00282678">
        <w:rPr>
          <w:sz w:val="22"/>
          <w:szCs w:val="22"/>
        </w:rPr>
        <w:t>:</w:t>
      </w:r>
      <w:r>
        <w:rPr>
          <w:sz w:val="22"/>
          <w:szCs w:val="22"/>
        </w:rPr>
        <w:t>52</w:t>
      </w:r>
    </w:p>
    <w:p w14:paraId="6C2ADBE2" w14:textId="5EF51032" w:rsidR="004C6601" w:rsidRDefault="004C6601" w:rsidP="00EF6F88">
      <w:pPr>
        <w:pStyle w:val="Sidhuvud"/>
        <w:tabs>
          <w:tab w:val="clear" w:pos="4536"/>
          <w:tab w:val="left" w:pos="3402"/>
          <w:tab w:val="left" w:pos="5529"/>
        </w:tabs>
        <w:ind w:left="-851"/>
        <w:rPr>
          <w:spacing w:val="2"/>
          <w:sz w:val="18"/>
        </w:rPr>
      </w:pPr>
    </w:p>
    <w:p w14:paraId="2C9BA38D" w14:textId="77777777" w:rsidR="000D65B8" w:rsidRPr="00936424" w:rsidRDefault="000D65B8" w:rsidP="000D65B8">
      <w:pPr>
        <w:rPr>
          <w:rFonts w:ascii="Baton Turbo" w:hAnsi="Baton Turbo"/>
          <w:b/>
          <w:bCs/>
        </w:rPr>
      </w:pPr>
      <w:r w:rsidRPr="00936424">
        <w:rPr>
          <w:rFonts w:ascii="Baton Turbo" w:hAnsi="Baton Turbo"/>
          <w:b/>
          <w:bCs/>
        </w:rPr>
        <w:t xml:space="preserve">Utskottsinitiativ Finansutskottet </w:t>
      </w:r>
    </w:p>
    <w:p w14:paraId="3DDD6ABA" w14:textId="77777777" w:rsidR="000D65B8" w:rsidRDefault="000D65B8" w:rsidP="000D65B8">
      <w:pPr>
        <w:rPr>
          <w:rFonts w:ascii="Baton Turbo" w:hAnsi="Baton Turbo"/>
          <w:sz w:val="32"/>
          <w:szCs w:val="32"/>
        </w:rPr>
      </w:pPr>
    </w:p>
    <w:p w14:paraId="23C5C4D6" w14:textId="77777777" w:rsidR="000D65B8" w:rsidRDefault="000D65B8" w:rsidP="000D65B8">
      <w:pPr>
        <w:rPr>
          <w:rFonts w:ascii="Baton Turbo" w:hAnsi="Baton Turbo"/>
          <w:sz w:val="32"/>
          <w:szCs w:val="32"/>
        </w:rPr>
      </w:pPr>
      <w:r w:rsidRPr="00A54C40">
        <w:rPr>
          <w:rFonts w:ascii="Baton Turbo" w:hAnsi="Baton Turbo"/>
          <w:sz w:val="32"/>
          <w:szCs w:val="32"/>
        </w:rPr>
        <w:t xml:space="preserve">Oredovisade offentligfinansiella konsekvenser av </w:t>
      </w:r>
    </w:p>
    <w:p w14:paraId="69DE1B5B" w14:textId="12979CD5" w:rsidR="000D65B8" w:rsidRDefault="000D65B8" w:rsidP="000D65B8">
      <w:pPr>
        <w:rPr>
          <w:rFonts w:ascii="Baton Turbo" w:hAnsi="Baton Turbo"/>
          <w:sz w:val="32"/>
          <w:szCs w:val="32"/>
        </w:rPr>
      </w:pPr>
      <w:r w:rsidRPr="00A54C40">
        <w:rPr>
          <w:rFonts w:ascii="Baton Turbo" w:hAnsi="Baton Turbo"/>
          <w:sz w:val="32"/>
          <w:szCs w:val="32"/>
        </w:rPr>
        <w:t>Kompetensutvisningarna</w:t>
      </w:r>
    </w:p>
    <w:p w14:paraId="774C0014" w14:textId="77777777" w:rsidR="000D65B8" w:rsidRPr="00A54C40" w:rsidRDefault="000D65B8" w:rsidP="000D65B8">
      <w:pPr>
        <w:rPr>
          <w:rFonts w:ascii="Baton Turbo" w:hAnsi="Baton Turbo"/>
          <w:sz w:val="32"/>
          <w:szCs w:val="32"/>
        </w:rPr>
      </w:pPr>
    </w:p>
    <w:p w14:paraId="08CC68AC" w14:textId="77777777" w:rsidR="000D65B8" w:rsidRPr="00E45027" w:rsidRDefault="000D65B8" w:rsidP="000D65B8">
      <w:pPr>
        <w:rPr>
          <w:rFonts w:ascii="Baton Turbo" w:hAnsi="Baton Turbo"/>
        </w:rPr>
      </w:pPr>
      <w:r w:rsidRPr="00E45027">
        <w:rPr>
          <w:rFonts w:ascii="Baton Turbo" w:hAnsi="Baton Turbo"/>
        </w:rPr>
        <w:t>Regeringen har under innevarande mandatperiod höjt lönekrave</w:t>
      </w:r>
      <w:r>
        <w:rPr>
          <w:rFonts w:ascii="Baton Turbo" w:hAnsi="Baton Turbo"/>
        </w:rPr>
        <w:t>t</w:t>
      </w:r>
      <w:r w:rsidRPr="00E45027">
        <w:rPr>
          <w:rFonts w:ascii="Baton Turbo" w:hAnsi="Baton Turbo"/>
        </w:rPr>
        <w:t xml:space="preserve"> för arbetstillstånd, vilket i praktiken omöjliggör fortsatt uppehåll i Sverige för ett stort antal individer som är förvärvsarbetande och bidrar till de offentliga finanserna via skattebetalningar. Dessa utvisningar berör inte enbart enskilda individer utan har direkta</w:t>
      </w:r>
      <w:r>
        <w:rPr>
          <w:rFonts w:ascii="Baton Turbo" w:hAnsi="Baton Turbo"/>
        </w:rPr>
        <w:t xml:space="preserve"> och </w:t>
      </w:r>
      <w:r w:rsidRPr="00E45027">
        <w:rPr>
          <w:rFonts w:ascii="Baton Turbo" w:hAnsi="Baton Turbo"/>
        </w:rPr>
        <w:t>mätbara konsekvenser för statsfinanserna i vid mening.</w:t>
      </w:r>
    </w:p>
    <w:p w14:paraId="368D92D4" w14:textId="77777777" w:rsidR="00D93AB6" w:rsidRDefault="00D93AB6" w:rsidP="000D65B8">
      <w:pPr>
        <w:rPr>
          <w:rFonts w:ascii="Baton Turbo" w:hAnsi="Baton Turbo"/>
        </w:rPr>
      </w:pPr>
    </w:p>
    <w:p w14:paraId="24D85691" w14:textId="40848275" w:rsidR="000D65B8" w:rsidRDefault="000D65B8" w:rsidP="000D65B8">
      <w:pPr>
        <w:rPr>
          <w:rFonts w:ascii="Baton Turbo" w:hAnsi="Baton Turbo"/>
        </w:rPr>
      </w:pPr>
      <w:r w:rsidRPr="00E45027">
        <w:rPr>
          <w:rFonts w:ascii="Baton Turbo" w:hAnsi="Baton Turbo"/>
        </w:rPr>
        <w:t xml:space="preserve">Det är anmärkningsvärt att budgetpropositionen saknar en sammanhållen och kvantitativ redovisning av de offentligfinansiella effekterna av denna politik. De kostnadskonsekvenser som kan identifieras dels som direkta skattebortfall av att skattebetalare utvisas, dels som ökade utgifter för rekrytering, utbildning och produktionsbortfall. </w:t>
      </w:r>
    </w:p>
    <w:p w14:paraId="602ABDDA" w14:textId="77777777" w:rsidR="00D93AB6" w:rsidRDefault="00D93AB6" w:rsidP="000D65B8">
      <w:pPr>
        <w:rPr>
          <w:rFonts w:ascii="Baton Turbo" w:hAnsi="Baton Turbo"/>
        </w:rPr>
      </w:pPr>
    </w:p>
    <w:p w14:paraId="1A7DC87A" w14:textId="70469E10" w:rsidR="000D65B8" w:rsidRPr="00E45027" w:rsidRDefault="000D65B8" w:rsidP="000D65B8">
      <w:pPr>
        <w:rPr>
          <w:rFonts w:ascii="Baton Turbo" w:hAnsi="Baton Turbo"/>
        </w:rPr>
      </w:pPr>
      <w:r>
        <w:rPr>
          <w:rFonts w:ascii="Baton Turbo" w:hAnsi="Baton Turbo"/>
        </w:rPr>
        <w:t>I en rapport beräknade Svenskt Näringsliv att en höjning av lönekravet från 80 till 100 procent av medianlönen att förädlingsvärdet kopplade till arbetskraftsinvandrares arbetsinsatser kan minska med 5,8 miljarder kronor. I samma rapport beräknas skatteintäkterna minska med 1,9 miljarder kronor</w:t>
      </w:r>
      <w:r>
        <w:rPr>
          <w:rStyle w:val="Fotnotsreferens"/>
          <w:rFonts w:ascii="Baton Turbo" w:hAnsi="Baton Turbo"/>
        </w:rPr>
        <w:footnoteReference w:id="1"/>
      </w:r>
      <w:r>
        <w:rPr>
          <w:rFonts w:ascii="Baton Turbo" w:hAnsi="Baton Turbo"/>
        </w:rPr>
        <w:t>. Konjunkturinstitutet konstaterade i en specialstudie att utlandsfödda som grupp lämnar ett positivt nettobidrag till de offentliga finanserna, med störst effekt från arbetskraftsinvandrare</w:t>
      </w:r>
      <w:r>
        <w:rPr>
          <w:rStyle w:val="Fotnotsreferens"/>
          <w:rFonts w:ascii="Baton Turbo" w:hAnsi="Baton Turbo"/>
        </w:rPr>
        <w:footnoteReference w:id="2"/>
      </w:r>
      <w:r>
        <w:rPr>
          <w:rFonts w:ascii="Baton Turbo" w:hAnsi="Baton Turbo"/>
        </w:rPr>
        <w:t>.</w:t>
      </w:r>
    </w:p>
    <w:p w14:paraId="0B83D7E2" w14:textId="77777777" w:rsidR="00D93AB6" w:rsidRDefault="00D93AB6" w:rsidP="000D65B8">
      <w:pPr>
        <w:rPr>
          <w:rFonts w:ascii="Baton Turbo" w:hAnsi="Baton Turbo"/>
        </w:rPr>
      </w:pPr>
    </w:p>
    <w:p w14:paraId="6680B4F4" w14:textId="39EB1B51" w:rsidR="000D65B8" w:rsidRPr="00E45027" w:rsidRDefault="000D65B8" w:rsidP="000D65B8">
      <w:pPr>
        <w:rPr>
          <w:rFonts w:ascii="Baton Turbo" w:hAnsi="Baton Turbo"/>
        </w:rPr>
      </w:pPr>
      <w:r w:rsidRPr="00E45027">
        <w:rPr>
          <w:rFonts w:ascii="Baton Turbo" w:hAnsi="Baton Turbo"/>
        </w:rPr>
        <w:t xml:space="preserve">Det är angeläget att kostnadsbedömningar redovisas kvantitativt, och att ett intervall för uppskattade kostnader alltid är att föredra framför avsaknad av beräkning, även när osäkerheten är stor. Den nu aktuella politiken uppfyller inte detta krav. </w:t>
      </w:r>
    </w:p>
    <w:p w14:paraId="2D7C3F52" w14:textId="77777777" w:rsidR="00D93AB6" w:rsidRDefault="00D93AB6" w:rsidP="000D65B8">
      <w:pPr>
        <w:rPr>
          <w:rFonts w:ascii="Baton Turbo" w:hAnsi="Baton Turbo"/>
        </w:rPr>
      </w:pPr>
    </w:p>
    <w:p w14:paraId="72AADD2A" w14:textId="5BFDAA54" w:rsidR="000D65B8" w:rsidRPr="00E45027" w:rsidRDefault="000D65B8" w:rsidP="000D65B8">
      <w:pPr>
        <w:rPr>
          <w:rFonts w:ascii="Baton Turbo" w:hAnsi="Baton Turbo"/>
        </w:rPr>
      </w:pPr>
      <w:r w:rsidRPr="00E45027">
        <w:rPr>
          <w:rFonts w:ascii="Baton Turbo" w:hAnsi="Baton Turbo"/>
        </w:rPr>
        <w:t>När regeringen genom det höjda lönegolvet direkt orsakar att kommuner och regioner tvingas avsätta resurser för att rekrytera och utbilda ersättningspersonal, uppstår en situation som är analog med åläggandet av en ny obligatorisk uppgift: en otvetydig och tvingande kostnadsökning som härrör från ett statligt politiskt beslut. Finansieringsprincipen borde i detta fall föranleda en ekonomisk reglering till kommunsektorns fördel. Att en sådan reglering inte återfinns i vare sig budgetpropositionen eller i en separat kompensationsordning är en brist som berör grunderna i det finanspolitiska ramverket och relationen mellan stat och kommunsektor.</w:t>
      </w:r>
    </w:p>
    <w:p w14:paraId="1BFFD469" w14:textId="77777777" w:rsidR="00D93AB6" w:rsidRDefault="00D93AB6" w:rsidP="000D65B8">
      <w:pPr>
        <w:rPr>
          <w:rFonts w:ascii="Baton Turbo" w:hAnsi="Baton Turbo"/>
        </w:rPr>
      </w:pPr>
    </w:p>
    <w:p w14:paraId="1FF37D03" w14:textId="1295E85C" w:rsidR="000D65B8" w:rsidRPr="00E45027" w:rsidRDefault="000D65B8" w:rsidP="000D65B8">
      <w:pPr>
        <w:rPr>
          <w:rFonts w:ascii="Baton Turbo" w:hAnsi="Baton Turbo"/>
        </w:rPr>
      </w:pPr>
      <w:r w:rsidRPr="00E45027">
        <w:rPr>
          <w:rFonts w:ascii="Baton Turbo" w:hAnsi="Baton Turbo"/>
        </w:rPr>
        <w:t>Det finanspolitiska ramverket är konstruerat för att skapa förutsägbarhet, ansvarsskyldighet och möjlighet för riksdagen att utöva meningsfull budgetkontroll. Denna kontroll förutsätter att de offentligfinansiella konsekvenserna av politiska beslut synliggörs och redovisas samlat i de propositioner där besluten presenteras. En politik vars kostnader inte är redovisade kan inte undergå den granskning som riksdagens ställning som budgetmyndighet kräver.</w:t>
      </w:r>
    </w:p>
    <w:p w14:paraId="3652DD42" w14:textId="77777777" w:rsidR="00D93AB6" w:rsidRDefault="00D93AB6" w:rsidP="00D93AB6">
      <w:pPr>
        <w:ind w:left="1899" w:firstLine="2013"/>
        <w:rPr>
          <w:spacing w:val="2"/>
          <w:sz w:val="18"/>
        </w:rPr>
      </w:pPr>
      <w:r>
        <w:rPr>
          <w:sz w:val="22"/>
        </w:rPr>
        <w:lastRenderedPageBreak/>
        <w:t xml:space="preserve">                                Bilaga 2</w:t>
      </w:r>
      <w:r w:rsidRPr="00282678">
        <w:rPr>
          <w:sz w:val="22"/>
        </w:rPr>
        <w:t xml:space="preserve"> </w:t>
      </w:r>
      <w:r>
        <w:rPr>
          <w:sz w:val="22"/>
        </w:rPr>
        <w:t xml:space="preserve">till protokoll </w:t>
      </w:r>
      <w:r>
        <w:rPr>
          <w:sz w:val="22"/>
          <w:szCs w:val="22"/>
        </w:rPr>
        <w:t>2025/26</w:t>
      </w:r>
      <w:r w:rsidRPr="00282678">
        <w:rPr>
          <w:sz w:val="22"/>
          <w:szCs w:val="22"/>
        </w:rPr>
        <w:t>:</w:t>
      </w:r>
      <w:r>
        <w:rPr>
          <w:sz w:val="22"/>
          <w:szCs w:val="22"/>
        </w:rPr>
        <w:t>52</w:t>
      </w:r>
    </w:p>
    <w:p w14:paraId="46B57234" w14:textId="77777777" w:rsidR="00D93AB6" w:rsidRDefault="00D93AB6" w:rsidP="000D65B8">
      <w:pPr>
        <w:rPr>
          <w:rFonts w:ascii="Baton Turbo" w:hAnsi="Baton Turbo"/>
        </w:rPr>
      </w:pPr>
    </w:p>
    <w:p w14:paraId="5113426B" w14:textId="77777777" w:rsidR="00D93AB6" w:rsidRDefault="00D93AB6" w:rsidP="000D65B8">
      <w:pPr>
        <w:rPr>
          <w:rFonts w:ascii="Baton Turbo" w:hAnsi="Baton Turbo"/>
        </w:rPr>
      </w:pPr>
    </w:p>
    <w:p w14:paraId="1B480E22" w14:textId="77777777" w:rsidR="00D93AB6" w:rsidRDefault="00D93AB6" w:rsidP="000D65B8">
      <w:pPr>
        <w:rPr>
          <w:rFonts w:ascii="Baton Turbo" w:hAnsi="Baton Turbo"/>
        </w:rPr>
      </w:pPr>
    </w:p>
    <w:p w14:paraId="5B0F8D2B" w14:textId="5FB419A1" w:rsidR="000D65B8" w:rsidRPr="00E45027" w:rsidRDefault="000D65B8" w:rsidP="000D65B8">
      <w:pPr>
        <w:rPr>
          <w:rFonts w:ascii="Baton Turbo" w:hAnsi="Baton Turbo"/>
        </w:rPr>
      </w:pPr>
      <w:r w:rsidRPr="00E45027">
        <w:rPr>
          <w:rFonts w:ascii="Baton Turbo" w:hAnsi="Baton Turbo"/>
        </w:rPr>
        <w:t>Det är vidare svårförenligt med arbetslinjen som bärande princip i finanspolitiken att genomföra en reform som systematiskt avlägsnar förvärvsarbetande individer ur den svenska ekonomin, utan att de offentligfinansiella konsekvenserna av detta redovisas. Att inte redovisa dessa kostnader ger en ofullständig bild av de offentliga finanserna och försvårar en korrekt tillämpning av budgetlagens krav på effektiv resursanvändning.</w:t>
      </w:r>
    </w:p>
    <w:p w14:paraId="69FA86A6" w14:textId="77777777" w:rsidR="000D65B8" w:rsidRDefault="000D65B8" w:rsidP="000D65B8">
      <w:pPr>
        <w:rPr>
          <w:rFonts w:ascii="Baton Turbo" w:hAnsi="Baton Turbo"/>
        </w:rPr>
      </w:pPr>
    </w:p>
    <w:p w14:paraId="7EA7837C" w14:textId="6FB410EF" w:rsidR="000D65B8" w:rsidRPr="00E45027" w:rsidRDefault="000D65B8" w:rsidP="000D65B8">
      <w:pPr>
        <w:rPr>
          <w:rFonts w:ascii="Baton Turbo" w:hAnsi="Baton Turbo"/>
        </w:rPr>
      </w:pPr>
      <w:r w:rsidRPr="00E45027">
        <w:rPr>
          <w:rFonts w:ascii="Baton Turbo" w:hAnsi="Baton Turbo"/>
        </w:rPr>
        <w:t>Det är finansutskottets uppfattning att de offentligfinansiella konsekvenserna av kompetensutvisningarna utgör effekter av en statsfinansiellt betydande reform som ännu inte redovisats på det sätt det finanspolitiska ramverket kräver.</w:t>
      </w:r>
    </w:p>
    <w:p w14:paraId="09D950E3" w14:textId="77777777" w:rsidR="00D93AB6" w:rsidRDefault="00D93AB6" w:rsidP="000D65B8">
      <w:pPr>
        <w:rPr>
          <w:rFonts w:ascii="Baton Turbo" w:hAnsi="Baton Turbo"/>
        </w:rPr>
      </w:pPr>
    </w:p>
    <w:p w14:paraId="7B6C1638" w14:textId="3B215C28" w:rsidR="000D65B8" w:rsidRPr="00E45027" w:rsidRDefault="000D65B8" w:rsidP="000D65B8">
      <w:pPr>
        <w:rPr>
          <w:rFonts w:ascii="Baton Turbo" w:hAnsi="Baton Turbo"/>
        </w:rPr>
      </w:pPr>
      <w:r w:rsidRPr="00E45027">
        <w:rPr>
          <w:rFonts w:ascii="Baton Turbo" w:hAnsi="Baton Turbo"/>
        </w:rPr>
        <w:t>Riksdagens möjligheter att utöva en substantiell budgetkontroll förutsätter att regeringen tillhandahåller den information som krävs. Mot bakgrund av finansieringsprincipens krav på kompensation till kommunsektorn för statligt orsakade merkostnader, bör riksdagen tillkännage för regeringen att presentera en fullständig och kvantitativ redovisning av de offentligfinansiella konsekvenserna av kompetensutvisningarna</w:t>
      </w:r>
      <w:r>
        <w:rPr>
          <w:rFonts w:ascii="Baton Turbo" w:hAnsi="Baton Turbo"/>
        </w:rPr>
        <w:t xml:space="preserve">, samt hur regeringen avser </w:t>
      </w:r>
      <w:r w:rsidRPr="00936424">
        <w:rPr>
          <w:rFonts w:ascii="Baton Turbo" w:hAnsi="Baton Turbo"/>
        </w:rPr>
        <w:t xml:space="preserve">kompensera kommuner och regioner </w:t>
      </w:r>
      <w:r>
        <w:rPr>
          <w:rFonts w:ascii="Baton Turbo" w:hAnsi="Baton Turbo"/>
        </w:rPr>
        <w:t xml:space="preserve">för de kostnader som det höjda lönekravet medför. </w:t>
      </w:r>
    </w:p>
    <w:p w14:paraId="1D89662C" w14:textId="77777777" w:rsidR="00D93AB6" w:rsidRDefault="00D93AB6" w:rsidP="000D65B8">
      <w:pPr>
        <w:rPr>
          <w:rFonts w:ascii="Baton Turbo" w:hAnsi="Baton Turbo"/>
        </w:rPr>
      </w:pPr>
    </w:p>
    <w:p w14:paraId="7C9D4B04" w14:textId="62EC47BF" w:rsidR="000D65B8" w:rsidRPr="00E45027" w:rsidRDefault="000D65B8" w:rsidP="000D65B8">
      <w:pPr>
        <w:rPr>
          <w:rFonts w:ascii="Baton Turbo" w:hAnsi="Baton Turbo"/>
        </w:rPr>
      </w:pPr>
      <w:r w:rsidRPr="00E45027">
        <w:rPr>
          <w:rFonts w:ascii="Baton Turbo" w:hAnsi="Baton Turbo"/>
        </w:rPr>
        <w:t>Martin Ådahl (C)</w:t>
      </w:r>
    </w:p>
    <w:p w14:paraId="2494757B" w14:textId="77777777" w:rsidR="000D65B8" w:rsidRDefault="000D65B8" w:rsidP="00EF6F88">
      <w:pPr>
        <w:pStyle w:val="Sidhuvud"/>
        <w:tabs>
          <w:tab w:val="clear" w:pos="4536"/>
          <w:tab w:val="left" w:pos="3402"/>
          <w:tab w:val="left" w:pos="5529"/>
        </w:tabs>
        <w:ind w:left="-851"/>
        <w:rPr>
          <w:spacing w:val="2"/>
          <w:sz w:val="18"/>
        </w:rPr>
      </w:pPr>
    </w:p>
    <w:sectPr w:rsidR="000D65B8" w:rsidSect="00DC5A2B">
      <w:headerReference w:type="even" r:id="rId10"/>
      <w:headerReference w:type="default" r:id="rId11"/>
      <w:headerReference w:type="first" r:id="rId12"/>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7D87" w14:textId="77777777" w:rsidR="00906A33" w:rsidRDefault="00906A33">
      <w:r>
        <w:separator/>
      </w:r>
    </w:p>
  </w:endnote>
  <w:endnote w:type="continuationSeparator" w:id="0">
    <w:p w14:paraId="024A0B37" w14:textId="77777777" w:rsidR="00906A33" w:rsidRDefault="0090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3693" w14:textId="77777777" w:rsidR="00906A33" w:rsidRDefault="00906A33">
      <w:r>
        <w:separator/>
      </w:r>
    </w:p>
  </w:footnote>
  <w:footnote w:type="continuationSeparator" w:id="0">
    <w:p w14:paraId="33F6D766" w14:textId="77777777" w:rsidR="00906A33" w:rsidRDefault="00906A33">
      <w:r>
        <w:continuationSeparator/>
      </w:r>
    </w:p>
  </w:footnote>
  <w:footnote w:id="1">
    <w:p w14:paraId="3953CF37" w14:textId="77777777" w:rsidR="000D65B8" w:rsidRDefault="000D65B8" w:rsidP="000D65B8">
      <w:pPr>
        <w:pStyle w:val="Fotnotstext"/>
      </w:pPr>
      <w:r>
        <w:rPr>
          <w:rStyle w:val="Fotnotsreferens"/>
        </w:rPr>
        <w:footnoteRef/>
      </w:r>
      <w:r>
        <w:t xml:space="preserve"> </w:t>
      </w:r>
      <w:hyperlink r:id="rId1" w:history="1">
        <w:r w:rsidRPr="00E47AF2">
          <w:rPr>
            <w:rStyle w:val="Hyperlnk"/>
          </w:rPr>
          <w:t>https://www.svensktnaringsliv.se/sakomraden/arbetsmarknadspolitik/samhallsekonomiska-konsekvenser-av-ett-hojt-lonegolv-for-arbetskr_1208177.html</w:t>
        </w:r>
      </w:hyperlink>
    </w:p>
  </w:footnote>
  <w:footnote w:id="2">
    <w:p w14:paraId="5F414712" w14:textId="77777777" w:rsidR="000D65B8" w:rsidRDefault="000D65B8" w:rsidP="000D65B8">
      <w:pPr>
        <w:pStyle w:val="Fotnotstext"/>
      </w:pPr>
      <w:r>
        <w:rPr>
          <w:rStyle w:val="Fotnotsreferens"/>
        </w:rPr>
        <w:footnoteRef/>
      </w:r>
      <w:r>
        <w:t xml:space="preserve"> </w:t>
      </w:r>
      <w:hyperlink r:id="rId2" w:history="1">
        <w:r w:rsidRPr="00E47AF2">
          <w:rPr>
            <w:rStyle w:val="Hyperlnk"/>
          </w:rPr>
          <w:t>https://www.konj.se/media/kpgnt5iw/specialstudie-117-invandrades-nettobidrag-till-de-offentliga-finanserna-1983-2022.pdf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4286" w14:textId="54A844EE" w:rsidR="00F7736E" w:rsidRDefault="00F773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DDF6" w14:textId="7619BE59"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766C" w14:textId="48FEE811" w:rsidR="00F7736E" w:rsidRDefault="00F773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872142">
    <w:abstractNumId w:val="0"/>
  </w:num>
  <w:num w:numId="2" w16cid:durableId="1952205725">
    <w:abstractNumId w:val="1"/>
  </w:num>
  <w:num w:numId="3" w16cid:durableId="817693903">
    <w:abstractNumId w:val="6"/>
  </w:num>
  <w:num w:numId="4" w16cid:durableId="2103718446">
    <w:abstractNumId w:val="3"/>
  </w:num>
  <w:num w:numId="5" w16cid:durableId="943465901">
    <w:abstractNumId w:val="12"/>
  </w:num>
  <w:num w:numId="6" w16cid:durableId="459543267">
    <w:abstractNumId w:val="2"/>
  </w:num>
  <w:num w:numId="7" w16cid:durableId="684019701">
    <w:abstractNumId w:val="8"/>
  </w:num>
  <w:num w:numId="8" w16cid:durableId="552228547">
    <w:abstractNumId w:val="4"/>
  </w:num>
  <w:num w:numId="9" w16cid:durableId="1724913107">
    <w:abstractNumId w:val="5"/>
  </w:num>
  <w:num w:numId="10" w16cid:durableId="612440660">
    <w:abstractNumId w:val="13"/>
  </w:num>
  <w:num w:numId="11" w16cid:durableId="503206529">
    <w:abstractNumId w:val="9"/>
  </w:num>
  <w:num w:numId="12" w16cid:durableId="655576142">
    <w:abstractNumId w:val="7"/>
  </w:num>
  <w:num w:numId="13" w16cid:durableId="524640260">
    <w:abstractNumId w:val="11"/>
  </w:num>
  <w:num w:numId="14" w16cid:durableId="554024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74609"/>
    <w:rsid w:val="00080CF7"/>
    <w:rsid w:val="00084E75"/>
    <w:rsid w:val="000853D9"/>
    <w:rsid w:val="000857A7"/>
    <w:rsid w:val="00087F8C"/>
    <w:rsid w:val="000902C1"/>
    <w:rsid w:val="000A3563"/>
    <w:rsid w:val="000B29E8"/>
    <w:rsid w:val="000B4B42"/>
    <w:rsid w:val="000C726F"/>
    <w:rsid w:val="000D3F26"/>
    <w:rsid w:val="000D65B8"/>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327E6"/>
    <w:rsid w:val="001418E1"/>
    <w:rsid w:val="00141BE2"/>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0828"/>
    <w:rsid w:val="002119A8"/>
    <w:rsid w:val="002174A8"/>
    <w:rsid w:val="0021756B"/>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74D44"/>
    <w:rsid w:val="00281FD0"/>
    <w:rsid w:val="00282678"/>
    <w:rsid w:val="002854B7"/>
    <w:rsid w:val="002938F2"/>
    <w:rsid w:val="00293DD6"/>
    <w:rsid w:val="00294515"/>
    <w:rsid w:val="00296D10"/>
    <w:rsid w:val="002A3730"/>
    <w:rsid w:val="002A5D58"/>
    <w:rsid w:val="002B1A3B"/>
    <w:rsid w:val="002B2848"/>
    <w:rsid w:val="002B480E"/>
    <w:rsid w:val="002B5D70"/>
    <w:rsid w:val="002C0221"/>
    <w:rsid w:val="002C1771"/>
    <w:rsid w:val="002C5212"/>
    <w:rsid w:val="002C538C"/>
    <w:rsid w:val="002D2AB5"/>
    <w:rsid w:val="002D7BA8"/>
    <w:rsid w:val="002E57A3"/>
    <w:rsid w:val="002F284C"/>
    <w:rsid w:val="002F654D"/>
    <w:rsid w:val="00305C38"/>
    <w:rsid w:val="0030711A"/>
    <w:rsid w:val="00315CF5"/>
    <w:rsid w:val="0032581E"/>
    <w:rsid w:val="00333452"/>
    <w:rsid w:val="00341BEF"/>
    <w:rsid w:val="00342BB1"/>
    <w:rsid w:val="003441D7"/>
    <w:rsid w:val="003478B2"/>
    <w:rsid w:val="003527B4"/>
    <w:rsid w:val="003529BA"/>
    <w:rsid w:val="00357121"/>
    <w:rsid w:val="00357FF4"/>
    <w:rsid w:val="00360479"/>
    <w:rsid w:val="00360664"/>
    <w:rsid w:val="00362F6A"/>
    <w:rsid w:val="00372298"/>
    <w:rsid w:val="00385AF3"/>
    <w:rsid w:val="00386C9D"/>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D51B7"/>
    <w:rsid w:val="003E5155"/>
    <w:rsid w:val="003F39D9"/>
    <w:rsid w:val="003F7DF6"/>
    <w:rsid w:val="00410507"/>
    <w:rsid w:val="00410AFE"/>
    <w:rsid w:val="00413964"/>
    <w:rsid w:val="0041580F"/>
    <w:rsid w:val="0042098E"/>
    <w:rsid w:val="00430C08"/>
    <w:rsid w:val="004334ED"/>
    <w:rsid w:val="004407CE"/>
    <w:rsid w:val="00440F4D"/>
    <w:rsid w:val="00444CAA"/>
    <w:rsid w:val="00450BFD"/>
    <w:rsid w:val="00454D13"/>
    <w:rsid w:val="00454E86"/>
    <w:rsid w:val="00461C67"/>
    <w:rsid w:val="00462AC9"/>
    <w:rsid w:val="004642D5"/>
    <w:rsid w:val="00470350"/>
    <w:rsid w:val="0047175B"/>
    <w:rsid w:val="0047277D"/>
    <w:rsid w:val="00474848"/>
    <w:rsid w:val="00483033"/>
    <w:rsid w:val="0049357F"/>
    <w:rsid w:val="004A0267"/>
    <w:rsid w:val="004A0CDF"/>
    <w:rsid w:val="004A36BA"/>
    <w:rsid w:val="004A4171"/>
    <w:rsid w:val="004A41BC"/>
    <w:rsid w:val="004B1312"/>
    <w:rsid w:val="004C6601"/>
    <w:rsid w:val="004C6A09"/>
    <w:rsid w:val="004D4929"/>
    <w:rsid w:val="004E2BD4"/>
    <w:rsid w:val="004F04C5"/>
    <w:rsid w:val="004F1B55"/>
    <w:rsid w:val="004F2904"/>
    <w:rsid w:val="004F32F1"/>
    <w:rsid w:val="004F680C"/>
    <w:rsid w:val="005017B0"/>
    <w:rsid w:val="0050317D"/>
    <w:rsid w:val="00504616"/>
    <w:rsid w:val="00507D82"/>
    <w:rsid w:val="00520187"/>
    <w:rsid w:val="005228C9"/>
    <w:rsid w:val="005345E8"/>
    <w:rsid w:val="005355B6"/>
    <w:rsid w:val="00537FF9"/>
    <w:rsid w:val="00540493"/>
    <w:rsid w:val="00540593"/>
    <w:rsid w:val="00541406"/>
    <w:rsid w:val="00541EF8"/>
    <w:rsid w:val="00543E57"/>
    <w:rsid w:val="0054604E"/>
    <w:rsid w:val="0055672C"/>
    <w:rsid w:val="00562EF7"/>
    <w:rsid w:val="00565BEB"/>
    <w:rsid w:val="0057774D"/>
    <w:rsid w:val="00577C45"/>
    <w:rsid w:val="00580536"/>
    <w:rsid w:val="00583B96"/>
    <w:rsid w:val="005874E8"/>
    <w:rsid w:val="005956B3"/>
    <w:rsid w:val="005A0175"/>
    <w:rsid w:val="005A5091"/>
    <w:rsid w:val="005B498F"/>
    <w:rsid w:val="005C1541"/>
    <w:rsid w:val="005C61EB"/>
    <w:rsid w:val="005D1588"/>
    <w:rsid w:val="005E28B9"/>
    <w:rsid w:val="005E2FA7"/>
    <w:rsid w:val="005E439C"/>
    <w:rsid w:val="005E70F9"/>
    <w:rsid w:val="00617AB2"/>
    <w:rsid w:val="00627839"/>
    <w:rsid w:val="00636EF1"/>
    <w:rsid w:val="006375F0"/>
    <w:rsid w:val="00637E9F"/>
    <w:rsid w:val="00643E28"/>
    <w:rsid w:val="006457B3"/>
    <w:rsid w:val="006572A3"/>
    <w:rsid w:val="00667E9B"/>
    <w:rsid w:val="00674AF0"/>
    <w:rsid w:val="00685BB7"/>
    <w:rsid w:val="006921D0"/>
    <w:rsid w:val="00692522"/>
    <w:rsid w:val="00696F18"/>
    <w:rsid w:val="006A0738"/>
    <w:rsid w:val="006A1A13"/>
    <w:rsid w:val="006A74AC"/>
    <w:rsid w:val="006B1192"/>
    <w:rsid w:val="006B7B0C"/>
    <w:rsid w:val="006C1499"/>
    <w:rsid w:val="006C21FA"/>
    <w:rsid w:val="006D0D77"/>
    <w:rsid w:val="006D3126"/>
    <w:rsid w:val="006D3360"/>
    <w:rsid w:val="006D5482"/>
    <w:rsid w:val="006E04F7"/>
    <w:rsid w:val="00701F1D"/>
    <w:rsid w:val="007055E3"/>
    <w:rsid w:val="00723D66"/>
    <w:rsid w:val="007243F5"/>
    <w:rsid w:val="00725B05"/>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4A70"/>
    <w:rsid w:val="007B7C03"/>
    <w:rsid w:val="007C2E54"/>
    <w:rsid w:val="007C3B46"/>
    <w:rsid w:val="007E0AB4"/>
    <w:rsid w:val="007E37B9"/>
    <w:rsid w:val="007F080A"/>
    <w:rsid w:val="00800AAD"/>
    <w:rsid w:val="008030D4"/>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0E"/>
    <w:rsid w:val="008A1F6A"/>
    <w:rsid w:val="008A458A"/>
    <w:rsid w:val="008B2F6F"/>
    <w:rsid w:val="008B3639"/>
    <w:rsid w:val="008B71CE"/>
    <w:rsid w:val="008C0FEC"/>
    <w:rsid w:val="008C1DA0"/>
    <w:rsid w:val="008C532A"/>
    <w:rsid w:val="008C732E"/>
    <w:rsid w:val="008C79F1"/>
    <w:rsid w:val="008D303B"/>
    <w:rsid w:val="008D51ED"/>
    <w:rsid w:val="008E3A32"/>
    <w:rsid w:val="008F4D68"/>
    <w:rsid w:val="008F5A68"/>
    <w:rsid w:val="00902D30"/>
    <w:rsid w:val="009058FE"/>
    <w:rsid w:val="00905D9C"/>
    <w:rsid w:val="00906A33"/>
    <w:rsid w:val="00906C2D"/>
    <w:rsid w:val="009102F7"/>
    <w:rsid w:val="00910BB7"/>
    <w:rsid w:val="00914E3E"/>
    <w:rsid w:val="00917732"/>
    <w:rsid w:val="00917C71"/>
    <w:rsid w:val="00917E41"/>
    <w:rsid w:val="0092036A"/>
    <w:rsid w:val="00920A21"/>
    <w:rsid w:val="00931DC7"/>
    <w:rsid w:val="009327CF"/>
    <w:rsid w:val="00932FD6"/>
    <w:rsid w:val="009354FE"/>
    <w:rsid w:val="009368C1"/>
    <w:rsid w:val="009433B3"/>
    <w:rsid w:val="009460B9"/>
    <w:rsid w:val="00946978"/>
    <w:rsid w:val="009476AF"/>
    <w:rsid w:val="0095206A"/>
    <w:rsid w:val="0096348C"/>
    <w:rsid w:val="00964ACB"/>
    <w:rsid w:val="0096754F"/>
    <w:rsid w:val="00970CBB"/>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22AC"/>
    <w:rsid w:val="00A0379C"/>
    <w:rsid w:val="00A1088E"/>
    <w:rsid w:val="00A25498"/>
    <w:rsid w:val="00A257B8"/>
    <w:rsid w:val="00A401A5"/>
    <w:rsid w:val="00A40A44"/>
    <w:rsid w:val="00A44FE3"/>
    <w:rsid w:val="00A46556"/>
    <w:rsid w:val="00A56380"/>
    <w:rsid w:val="00A63190"/>
    <w:rsid w:val="00A640B1"/>
    <w:rsid w:val="00A67BD4"/>
    <w:rsid w:val="00A67C77"/>
    <w:rsid w:val="00A744C3"/>
    <w:rsid w:val="00A75B9F"/>
    <w:rsid w:val="00A91AE6"/>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87A35"/>
    <w:rsid w:val="00B9203B"/>
    <w:rsid w:val="00BA0B13"/>
    <w:rsid w:val="00BB6541"/>
    <w:rsid w:val="00BB6AE7"/>
    <w:rsid w:val="00BC2283"/>
    <w:rsid w:val="00BC2DCD"/>
    <w:rsid w:val="00BD39D1"/>
    <w:rsid w:val="00BE5A5B"/>
    <w:rsid w:val="00BF0A00"/>
    <w:rsid w:val="00BF0B99"/>
    <w:rsid w:val="00C06043"/>
    <w:rsid w:val="00C07F65"/>
    <w:rsid w:val="00C12324"/>
    <w:rsid w:val="00C14ECD"/>
    <w:rsid w:val="00C15B79"/>
    <w:rsid w:val="00C2539D"/>
    <w:rsid w:val="00C33C35"/>
    <w:rsid w:val="00C3449C"/>
    <w:rsid w:val="00C35200"/>
    <w:rsid w:val="00C3579D"/>
    <w:rsid w:val="00C447CF"/>
    <w:rsid w:val="00C45FAF"/>
    <w:rsid w:val="00C540B9"/>
    <w:rsid w:val="00C574FE"/>
    <w:rsid w:val="00C63961"/>
    <w:rsid w:val="00C64E6C"/>
    <w:rsid w:val="00C664B6"/>
    <w:rsid w:val="00C66E21"/>
    <w:rsid w:val="00C72392"/>
    <w:rsid w:val="00C74946"/>
    <w:rsid w:val="00C81586"/>
    <w:rsid w:val="00C82D0B"/>
    <w:rsid w:val="00C8766C"/>
    <w:rsid w:val="00C92C53"/>
    <w:rsid w:val="00C93236"/>
    <w:rsid w:val="00CA3B1E"/>
    <w:rsid w:val="00CA58BF"/>
    <w:rsid w:val="00CA5D30"/>
    <w:rsid w:val="00CB01C5"/>
    <w:rsid w:val="00CB3AFE"/>
    <w:rsid w:val="00CB3B88"/>
    <w:rsid w:val="00CB50C7"/>
    <w:rsid w:val="00CB6F5C"/>
    <w:rsid w:val="00CC0949"/>
    <w:rsid w:val="00CC1AE1"/>
    <w:rsid w:val="00CC4B83"/>
    <w:rsid w:val="00CC60EB"/>
    <w:rsid w:val="00CD1527"/>
    <w:rsid w:val="00CD47D4"/>
    <w:rsid w:val="00CD7E8B"/>
    <w:rsid w:val="00CE09AE"/>
    <w:rsid w:val="00CF36BC"/>
    <w:rsid w:val="00CF44E3"/>
    <w:rsid w:val="00D021DB"/>
    <w:rsid w:val="00D037BA"/>
    <w:rsid w:val="00D04453"/>
    <w:rsid w:val="00D12ED4"/>
    <w:rsid w:val="00D20E5C"/>
    <w:rsid w:val="00D21638"/>
    <w:rsid w:val="00D31100"/>
    <w:rsid w:val="00D32E1A"/>
    <w:rsid w:val="00D34D00"/>
    <w:rsid w:val="00D37D24"/>
    <w:rsid w:val="00D4656A"/>
    <w:rsid w:val="00D46648"/>
    <w:rsid w:val="00D470BA"/>
    <w:rsid w:val="00D47EFF"/>
    <w:rsid w:val="00D518B5"/>
    <w:rsid w:val="00D67459"/>
    <w:rsid w:val="00D74308"/>
    <w:rsid w:val="00D84F88"/>
    <w:rsid w:val="00D86209"/>
    <w:rsid w:val="00D93AB6"/>
    <w:rsid w:val="00DA1CE8"/>
    <w:rsid w:val="00DA30F0"/>
    <w:rsid w:val="00DB1740"/>
    <w:rsid w:val="00DB1AB2"/>
    <w:rsid w:val="00DB7CEA"/>
    <w:rsid w:val="00DC5A2B"/>
    <w:rsid w:val="00DD11DB"/>
    <w:rsid w:val="00DE3126"/>
    <w:rsid w:val="00DE54FF"/>
    <w:rsid w:val="00DF06AE"/>
    <w:rsid w:val="00DF3665"/>
    <w:rsid w:val="00E0219D"/>
    <w:rsid w:val="00E15BE8"/>
    <w:rsid w:val="00E16DC2"/>
    <w:rsid w:val="00E2015B"/>
    <w:rsid w:val="00E264E7"/>
    <w:rsid w:val="00E27E50"/>
    <w:rsid w:val="00E43F8A"/>
    <w:rsid w:val="00E443F3"/>
    <w:rsid w:val="00E4502B"/>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3B"/>
    <w:rsid w:val="00F055E5"/>
    <w:rsid w:val="00F06D7D"/>
    <w:rsid w:val="00F14A8D"/>
    <w:rsid w:val="00F215FF"/>
    <w:rsid w:val="00F22D91"/>
    <w:rsid w:val="00F37B10"/>
    <w:rsid w:val="00F37DC2"/>
    <w:rsid w:val="00F5222B"/>
    <w:rsid w:val="00F53772"/>
    <w:rsid w:val="00F5670E"/>
    <w:rsid w:val="00F71C16"/>
    <w:rsid w:val="00F7736E"/>
    <w:rsid w:val="00F774B5"/>
    <w:rsid w:val="00F82F2C"/>
    <w:rsid w:val="00F85D75"/>
    <w:rsid w:val="00F948C4"/>
    <w:rsid w:val="00F94CF3"/>
    <w:rsid w:val="00FA740A"/>
    <w:rsid w:val="00FB48E6"/>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 w:type="paragraph" w:styleId="Fotnotstext">
    <w:name w:val="footnote text"/>
    <w:basedOn w:val="Normal"/>
    <w:link w:val="FotnotstextChar"/>
    <w:uiPriority w:val="99"/>
    <w:unhideWhenUsed/>
    <w:rsid w:val="000D65B8"/>
    <w:pPr>
      <w:widowControl/>
    </w:pPr>
    <w:rPr>
      <w:rFonts w:asciiTheme="minorHAnsi" w:eastAsiaTheme="minorHAnsi" w:hAnsiTheme="minorHAnsi" w:cstheme="minorBidi"/>
      <w:kern w:val="2"/>
      <w:sz w:val="20"/>
      <w:lang w:eastAsia="en-US"/>
      <w14:ligatures w14:val="standardContextual"/>
    </w:rPr>
  </w:style>
  <w:style w:type="character" w:customStyle="1" w:styleId="FotnotstextChar">
    <w:name w:val="Fotnotstext Char"/>
    <w:basedOn w:val="Standardstycketeckensnitt"/>
    <w:link w:val="Fotnotstext"/>
    <w:uiPriority w:val="99"/>
    <w:rsid w:val="000D65B8"/>
    <w:rPr>
      <w:rFonts w:asciiTheme="minorHAnsi" w:eastAsiaTheme="minorHAnsi" w:hAnsiTheme="minorHAnsi" w:cstheme="minorBidi"/>
      <w:kern w:val="2"/>
      <w:lang w:eastAsia="en-US"/>
      <w14:ligatures w14:val="standardContextual"/>
    </w:rPr>
  </w:style>
  <w:style w:type="character" w:styleId="Fotnotsreferens">
    <w:name w:val="footnote reference"/>
    <w:basedOn w:val="Standardstycketeckensnitt"/>
    <w:uiPriority w:val="99"/>
    <w:unhideWhenUsed/>
    <w:rsid w:val="000D65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s02.riksdagen.se\fswdiskshare\Utskottsst&#246;d\M&#246;testj&#228;nsten\FiU\Handlingar%20till%20riksm&#246;tet%2025-26\FiU%2025-26%2050%202026-06-02\bilagor\redogorelse-for-penningpolitiken-202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fs02.riksdagen.se\fswdiskshare\Utskottsst&#246;d\M&#246;testj&#228;nsten\FiU\Handlingar%20till%20riksm&#246;tet%2025-26\FiU%2025-26%2050%202026-06-02\bilagor\Svensk%20penningpolitik%202025.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konj.se/media/kpgnt5iw/specialstudie-117-invandrades-nettobidrag-till-de-offentliga-finanserna-1983-2022.pdf" TargetMode="External"/><Relationship Id="rId1" Type="http://schemas.openxmlformats.org/officeDocument/2006/relationships/hyperlink" Target="https://www.svensktnaringsliv.se/sakomraden/arbetsmarknadspolitik/samhallsekonomiska-konsekvenser-av-ett-hojt-lonegolv-for-arbetskr_1208177.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5</Pages>
  <Words>1208</Words>
  <Characters>7726</Characters>
  <Application>Microsoft Office Word</Application>
  <DocSecurity>0</DocSecurity>
  <Lines>1103</Lines>
  <Paragraphs>203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26</cp:revision>
  <cp:lastPrinted>2018-10-02T11:13:00Z</cp:lastPrinted>
  <dcterms:created xsi:type="dcterms:W3CDTF">2026-06-08T09:19:00Z</dcterms:created>
  <dcterms:modified xsi:type="dcterms:W3CDTF">2026-06-15T13:15:00Z</dcterms:modified>
</cp:coreProperties>
</file>