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87BE4" w:rsidRDefault="00287BE4">
            <w:pPr>
              <w:pStyle w:val="HuvudRubrik"/>
            </w:pPr>
            <w:bookmarkStart w:id="0" w:name="BetänkandeRubrik"/>
            <w:bookmarkEnd w:id="0"/>
            <w:r>
              <w:t>Lagutskottets betänkande</w:t>
            </w:r>
            <w:r w:rsidR="007A1CD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32498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87BE4" w:rsidRDefault="00287BE4">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7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87BE4" w:rsidRDefault="00287BE4">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073" r:id="rId8"/>
                              </w:object>
                            </w:r>
                          </w:p>
                        </w:txbxContent>
                      </v:textbox>
                      <w10:wrap anchorx="page" anchory="page"/>
                    </v:shape>
                  </w:pict>
                </mc:Fallback>
              </mc:AlternateContent>
            </w:r>
          </w:p>
          <w:p w:rsidR="00287BE4" w:rsidRDefault="00287BE4">
            <w:pPr>
              <w:pStyle w:val="HuvudRubrikRad2"/>
            </w:pPr>
            <w:bookmarkStart w:id="15" w:name="BetänkandeNr"/>
            <w:bookmarkEnd w:id="15"/>
            <w:r>
              <w:t>1998/99:LU4</w:t>
            </w:r>
          </w:p>
          <w:p w:rsidR="00287BE4" w:rsidRDefault="00287BE4">
            <w:pPr>
              <w:pStyle w:val="BetnkandeRubrik"/>
            </w:pPr>
            <w:bookmarkStart w:id="16" w:name="Huvudrubrik"/>
            <w:bookmarkEnd w:id="16"/>
            <w:r>
              <w:t>Ny associationsrätt för bankaktiebolag, m.m.</w:t>
            </w:r>
          </w:p>
        </w:tc>
        <w:tc>
          <w:tcPr>
            <w:tcW w:w="1559" w:type="dxa"/>
            <w:tcBorders>
              <w:bottom w:val="nil"/>
            </w:tcBorders>
          </w:tcPr>
          <w:p w:rsidR="00287BE4" w:rsidRDefault="00287BE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87BE4" w:rsidRDefault="00287BE4">
            <w:pPr>
              <w:spacing w:before="40" w:after="900" w:line="280" w:lineRule="exact"/>
              <w:jc w:val="left"/>
              <w:rPr>
                <w:sz w:val="28"/>
              </w:rPr>
            </w:pPr>
          </w:p>
        </w:tc>
        <w:tc>
          <w:tcPr>
            <w:tcW w:w="1559" w:type="dxa"/>
          </w:tcPr>
          <w:p w:rsidR="00287BE4" w:rsidRDefault="00287BE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87BE4" w:rsidRDefault="00287BE4">
            <w:pPr>
              <w:spacing w:before="40" w:after="900" w:line="280" w:lineRule="exact"/>
              <w:jc w:val="left"/>
              <w:rPr>
                <w:sz w:val="28"/>
              </w:rPr>
            </w:pPr>
          </w:p>
        </w:tc>
        <w:tc>
          <w:tcPr>
            <w:tcW w:w="1559" w:type="dxa"/>
            <w:tcBorders>
              <w:bottom w:val="single" w:sz="6" w:space="0" w:color="auto"/>
            </w:tcBorders>
          </w:tcPr>
          <w:p w:rsidR="00287BE4" w:rsidRDefault="00287BE4">
            <w:pPr>
              <w:pStyle w:val="rtal"/>
            </w:pPr>
            <w:r>
              <w:t>LU4</w:t>
            </w:r>
          </w:p>
        </w:tc>
      </w:tr>
      <w:tr w:rsidR="00000000">
        <w:tblPrEx>
          <w:tblCellMar>
            <w:top w:w="0" w:type="dxa"/>
            <w:bottom w:w="0" w:type="dxa"/>
          </w:tblCellMar>
        </w:tblPrEx>
        <w:trPr>
          <w:cantSplit/>
          <w:trHeight w:hRule="exact" w:val="660"/>
        </w:trPr>
        <w:tc>
          <w:tcPr>
            <w:tcW w:w="3012" w:type="dxa"/>
          </w:tcPr>
          <w:p w:rsidR="00287BE4" w:rsidRDefault="00287BE4">
            <w:pPr>
              <w:pStyle w:val="StatusSida1"/>
            </w:pPr>
          </w:p>
        </w:tc>
        <w:tc>
          <w:tcPr>
            <w:tcW w:w="3012" w:type="dxa"/>
          </w:tcPr>
          <w:p w:rsidR="00287BE4" w:rsidRDefault="00287BE4">
            <w:pPr>
              <w:pStyle w:val="UtskriftsdatumSida1"/>
              <w:rPr>
                <w:b/>
                <w:sz w:val="28"/>
              </w:rPr>
            </w:pPr>
          </w:p>
        </w:tc>
        <w:tc>
          <w:tcPr>
            <w:tcW w:w="1559" w:type="dxa"/>
          </w:tcPr>
          <w:p w:rsidR="00287BE4" w:rsidRDefault="00287BE4"/>
        </w:tc>
      </w:tr>
    </w:tbl>
    <w:p w:rsidR="00287BE4" w:rsidRDefault="00287BE4">
      <w:pPr>
        <w:pStyle w:val="Rubrik1"/>
        <w:spacing w:before="0"/>
      </w:pPr>
      <w:bookmarkStart w:id="17" w:name="_Toc435254146"/>
      <w:r>
        <w:t>Sammanfattning</w:t>
      </w:r>
      <w:bookmarkEnd w:id="17"/>
    </w:p>
    <w:p w:rsidR="00287BE4" w:rsidRDefault="00287BE4">
      <w:r>
        <w:t>I betänkandet behandlar utskottet regeringens proposition 1997/98:166 Ny associationsrätt för bankaktiebolag, m.m. jämte en motion som väckts under den allmänna motionstiden år 1998.</w:t>
      </w:r>
    </w:p>
    <w:p w:rsidR="00287BE4" w:rsidRDefault="00287BE4">
      <w:pPr>
        <w:pStyle w:val="Normaltindrag"/>
      </w:pPr>
      <w:r>
        <w:t>I propositionen föreslås att bank</w:t>
      </w:r>
      <w:r>
        <w:softHyphen/>
        <w:t>aktiebolagslagen avskaffas och att akti</w:t>
      </w:r>
      <w:r>
        <w:t>e</w:t>
      </w:r>
      <w:r>
        <w:t>bolagslagen i stället skall utgöra den associationsrättsliga gru</w:t>
      </w:r>
      <w:r>
        <w:t>n</w:t>
      </w:r>
      <w:r>
        <w:t>den för bank</w:t>
      </w:r>
      <w:r>
        <w:softHyphen/>
        <w:t>aktiebolagen. Vissa särbestämmelser föreslås dock för bankaktiebolagen,  huvudsakligen i ett nytt kapitel i bank</w:t>
      </w:r>
      <w:r>
        <w:softHyphen/>
        <w:t>rörelselagen. I propositionen föreslås även en ändring i lagen om försäkringsmäklare, som innebär en anpassning till EG-rätten.</w:t>
      </w:r>
    </w:p>
    <w:p w:rsidR="00287BE4" w:rsidRDefault="00287BE4">
      <w:pPr>
        <w:pStyle w:val="Normaltindrag"/>
      </w:pPr>
      <w:r>
        <w:t xml:space="preserve"> Lagändringarna föreslås träda i kraft den 1 januari 1999.</w:t>
      </w:r>
    </w:p>
    <w:p w:rsidR="00287BE4" w:rsidRDefault="00287BE4">
      <w:pPr>
        <w:pStyle w:val="Normaltindrag"/>
      </w:pPr>
      <w:r>
        <w:t>Med anledning av motionen förordar utskottet en ändring i regeringens förslag såvitt avser styrelsens sammansättning i bankaktiebolag. Härigenom tillgodoses de önskemål som Svenska Bankföreningen framfört i samband med en uppvaktning inför utskottet. I övrigt tillstyrker utskottet bifall till propositionens lagfö</w:t>
      </w:r>
      <w:r>
        <w:t>r</w:t>
      </w:r>
      <w:r>
        <w:t xml:space="preserve">slag. </w:t>
      </w:r>
    </w:p>
    <w:p w:rsidR="00287BE4" w:rsidRDefault="00287BE4">
      <w:pPr>
        <w:pStyle w:val="Normaltindrag"/>
      </w:pPr>
      <w:r>
        <w:t>I betänkandet föreslår utskottet på eget initiativ en redaktionell ändring i lagen om årsredovisning i kreditinstitut och värdepa</w:t>
      </w:r>
      <w:r>
        <w:t>p</w:t>
      </w:r>
      <w:r>
        <w:t>persbolag.</w:t>
      </w:r>
    </w:p>
    <w:p w:rsidR="00287BE4" w:rsidRDefault="00287BE4">
      <w:pPr>
        <w:pStyle w:val="Rubrik1"/>
      </w:pPr>
      <w:bookmarkStart w:id="18" w:name="Textstart"/>
      <w:bookmarkStart w:id="19" w:name="_Toc435254147"/>
      <w:bookmarkEnd w:id="18"/>
      <w:r>
        <w:t>Propositionen</w:t>
      </w:r>
      <w:bookmarkEnd w:id="19"/>
    </w:p>
    <w:p w:rsidR="00287BE4" w:rsidRDefault="00287BE4">
      <w:r>
        <w:t>I proposition 1997/98:166 föreslår regeringen (Finansdepartementet) – efter hörande av Lagrådet – att riksdagen antar de i propositionen framlagda fö</w:t>
      </w:r>
      <w:r>
        <w:t>r</w:t>
      </w:r>
      <w:r>
        <w:t>slagen till</w:t>
      </w:r>
    </w:p>
    <w:p w:rsidR="00287BE4" w:rsidRDefault="00287BE4">
      <w:pPr>
        <w:pStyle w:val="Normaltindrag"/>
      </w:pPr>
      <w:r>
        <w:t xml:space="preserve">1. lag om ändring i bankrörelselagen (1987:617), </w:t>
      </w:r>
    </w:p>
    <w:p w:rsidR="00287BE4" w:rsidRDefault="00287BE4">
      <w:pPr>
        <w:pStyle w:val="Normaltindrag"/>
      </w:pPr>
      <w:r>
        <w:t xml:space="preserve">2. lag om ändring i aktiebolagslagen (1975:1385), </w:t>
      </w:r>
    </w:p>
    <w:p w:rsidR="00287BE4" w:rsidRDefault="00287BE4">
      <w:pPr>
        <w:pStyle w:val="Normaltindrag"/>
      </w:pPr>
      <w:r>
        <w:t xml:space="preserve">3. lag om ändring i lagen (1987:1245) om styrelserepresentation för de privatanställda, </w:t>
      </w:r>
    </w:p>
    <w:p w:rsidR="00287BE4" w:rsidRDefault="00287BE4">
      <w:pPr>
        <w:pStyle w:val="Normaltindrag"/>
      </w:pPr>
      <w:r>
        <w:t xml:space="preserve">4. lag om ändring i lagen (1991:981) om värdepappersrörelse, </w:t>
      </w:r>
    </w:p>
    <w:p w:rsidR="00287BE4" w:rsidRDefault="00287BE4">
      <w:pPr>
        <w:pStyle w:val="Normaltindrag"/>
      </w:pPr>
      <w:r>
        <w:t xml:space="preserve">5. lag om ändring i lagen (1992:1610) om finansieringsverksamhet, </w:t>
      </w:r>
    </w:p>
    <w:p w:rsidR="00287BE4" w:rsidRDefault="00287BE4">
      <w:pPr>
        <w:pStyle w:val="Normaltindrag"/>
      </w:pPr>
      <w:r>
        <w:t xml:space="preserve">6. lag om ändring i lagen (1989:508) om försäkringsmäklare, </w:t>
      </w:r>
    </w:p>
    <w:p w:rsidR="00287BE4" w:rsidRDefault="00287BE4">
      <w:pPr>
        <w:pStyle w:val="Normaltindrag"/>
      </w:pPr>
      <w:r>
        <w:t xml:space="preserve">7. lag om ändring i jordabalken, </w:t>
      </w:r>
    </w:p>
    <w:p w:rsidR="00287BE4" w:rsidRDefault="00287BE4">
      <w:pPr>
        <w:pStyle w:val="Normaltindrag"/>
      </w:pPr>
      <w:r>
        <w:t xml:space="preserve">8. lag om ändring i lagen (1985:277) om vissa bulvanförhållanden, </w:t>
      </w:r>
    </w:p>
    <w:p w:rsidR="00287BE4" w:rsidRDefault="00287BE4">
      <w:pPr>
        <w:pStyle w:val="Normaltindrag"/>
      </w:pPr>
      <w:r>
        <w:t>9. lag om ändring i lagen (1987:464) om vissa riktade emissioner i akti</w:t>
      </w:r>
      <w:r>
        <w:t>e</w:t>
      </w:r>
      <w:r>
        <w:t>marknadsbolag m.m.</w:t>
      </w:r>
    </w:p>
    <w:p w:rsidR="00287BE4" w:rsidRDefault="00287BE4">
      <w:pPr>
        <w:pStyle w:val="Normaltindrag"/>
      </w:pPr>
      <w:r>
        <w:t>Lagförslagen har intagits som bilaga 1 till betänkandet.</w:t>
      </w:r>
    </w:p>
    <w:p w:rsidR="00287BE4" w:rsidRDefault="00287BE4">
      <w:pPr>
        <w:pStyle w:val="Rubrik1"/>
      </w:pPr>
      <w:r>
        <w:lastRenderedPageBreak/>
        <w:t>Motionen</w:t>
      </w:r>
    </w:p>
    <w:p w:rsidR="00287BE4" w:rsidRDefault="00287BE4">
      <w:pPr>
        <w:pStyle w:val="Rubrik2"/>
        <w:spacing w:before="123"/>
      </w:pPr>
      <w:r>
        <w:t>Motion väckt under den allmänna motionstiden 1998</w:t>
      </w:r>
    </w:p>
    <w:p w:rsidR="00287BE4" w:rsidRDefault="00287BE4">
      <w:r>
        <w:t xml:space="preserve">1998/99:L205 av Stig Rindborg m.fl. (m) vari yrkas </w:t>
      </w:r>
    </w:p>
    <w:p w:rsidR="00287BE4" w:rsidRDefault="00287BE4">
      <w:pPr>
        <w:pStyle w:val="Normaltindrag"/>
      </w:pPr>
      <w:r>
        <w:t>1. att riksdagen som sin mening ger regeringen till känna vad i motionen anförts om styrelsens sammansättning i bankaktiebolag,</w:t>
      </w:r>
    </w:p>
    <w:p w:rsidR="00287BE4" w:rsidRDefault="00287BE4">
      <w:pPr>
        <w:pStyle w:val="Normaltindrag"/>
      </w:pPr>
      <w:r>
        <w:t>2. att riksdagen hos regeringen begär förslag om ändring i bankrörelsel</w:t>
      </w:r>
      <w:r>
        <w:t>a</w:t>
      </w:r>
      <w:r>
        <w:t xml:space="preserve">gen i enlighet med vad som anförts i motionen. </w:t>
      </w:r>
    </w:p>
    <w:p w:rsidR="00287BE4" w:rsidRDefault="00287BE4">
      <w:pPr>
        <w:pStyle w:val="Rubrik1"/>
      </w:pPr>
      <w:bookmarkStart w:id="20" w:name="_Toc435254148"/>
      <w:r>
        <w:t>Utskottet</w:t>
      </w:r>
      <w:bookmarkEnd w:id="20"/>
    </w:p>
    <w:p w:rsidR="00287BE4" w:rsidRDefault="00287BE4">
      <w:pPr>
        <w:pStyle w:val="Rubrik2"/>
        <w:spacing w:before="123"/>
      </w:pPr>
      <w:bookmarkStart w:id="21" w:name="_Toc435254149"/>
      <w:r>
        <w:t>Ny associationsrätt för bankaktiebolag</w:t>
      </w:r>
      <w:bookmarkEnd w:id="21"/>
    </w:p>
    <w:p w:rsidR="00287BE4" w:rsidRDefault="00287BE4">
      <w:r>
        <w:t xml:space="preserve">Bank är en gemensam beteckning på de företag som har fått regeringens tillstånd (oktroj) att driva bankrörelse. Med bankrörelse avses verksamhet i vilken ingår inlåning på konto om behållningen är nominellt bestämd och tillgänglig för insättaren med kort varsel. Bankverksamhet kan bedrivas av bankaktiebolag, sparbanker och medlemsbanker. </w:t>
      </w:r>
    </w:p>
    <w:p w:rsidR="00287BE4" w:rsidRDefault="00287BE4">
      <w:pPr>
        <w:pStyle w:val="Normaltindrag"/>
      </w:pPr>
      <w:r>
        <w:t xml:space="preserve">Tillståndspliktig finansieringsverksamhet, som inte är att beteckna som bankrörelse, kan bedrivas genom kreditmarknadsföretag. Sådan verksamhet regleras av lagen (1992:1610) om finansieringsverksamhet.  </w:t>
      </w:r>
    </w:p>
    <w:p w:rsidR="00287BE4" w:rsidRDefault="00287BE4">
      <w:pPr>
        <w:pStyle w:val="Normaltindrag"/>
      </w:pPr>
      <w:r>
        <w:t xml:space="preserve">Aktiebolagslagen (1975:1385) innehåller associationsrättsliga regler för aktiebolag. En grundläggande tanke i den lagen är att aktieägarna inte svarar personligen för bolagets åtaganden och förpliktelser.  Aktiekapitalet fungerar som en slags garanti för borgenärs- och aktieägarintressena. </w:t>
      </w:r>
    </w:p>
    <w:p w:rsidR="00287BE4" w:rsidRDefault="00287BE4">
      <w:pPr>
        <w:pStyle w:val="Normaltindrag"/>
      </w:pPr>
      <w:r>
        <w:t>För banker gäller emellertid särskilda associationsrättsliga regler. Beträ</w:t>
      </w:r>
      <w:r>
        <w:t>f</w:t>
      </w:r>
      <w:r>
        <w:t>fande banker som drivs i aktiebolagsform finns dessa i bankaktiebolagslagen (1987:618), för sparbanker i sparbankslagen (1987:619) och för medlem</w:t>
      </w:r>
      <w:r>
        <w:t>s</w:t>
      </w:r>
      <w:r>
        <w:t xml:space="preserve">banker i lagen (1995:1570) om medlemsbanker. </w:t>
      </w:r>
    </w:p>
    <w:p w:rsidR="00287BE4" w:rsidRDefault="00287BE4">
      <w:pPr>
        <w:pStyle w:val="Normaltindrag"/>
      </w:pPr>
      <w:r>
        <w:t>Gemensamma bestämmelser för de tre bankkategorierna finns i bankröre</w:t>
      </w:r>
      <w:r>
        <w:t>l</w:t>
      </w:r>
      <w:r>
        <w:t>selagen (1987:617). Enligt bankrörelselagen får en bank endast ägna sig åt viss i lagen angiven verksamhet, exempelvis kreditgivning och annan fina</w:t>
      </w:r>
      <w:r>
        <w:t>n</w:t>
      </w:r>
      <w:r>
        <w:t>sieringsverksamhet, betalningsförmedling samt ekonomisk rådgivning. En bank får vidare enbart förvärva sådan egendom som anges i lagen. Bank</w:t>
      </w:r>
      <w:r>
        <w:softHyphen/>
        <w:t>rörelselagen innehåller även regler om etablering utomlands, revision, skad</w:t>
      </w:r>
      <w:r>
        <w:t>e</w:t>
      </w:r>
      <w:r>
        <w:t xml:space="preserve">stånd, firma och tillsyn. Tillsynen handhas av Finansinspektionen. </w:t>
      </w:r>
    </w:p>
    <w:p w:rsidR="00287BE4" w:rsidRDefault="00287BE4">
      <w:pPr>
        <w:pStyle w:val="Normaltindrag"/>
      </w:pPr>
      <w:r>
        <w:t>Mot bakgrund av den finansiella kris som drabbade i synnerhet bankerna i börja</w:t>
      </w:r>
      <w:r>
        <w:t>n av 1990-talet tillkallade regeringen i juni 1995 en kommitté med uppdrag att utreda behovet av ändringar i det regelverk som styr framför allt bankers och andra kreditinstituts verksamhet, men även andra institut på det finansiella området, t.ex. värdepappersbolag och försäkringsbolag (dir. 1995:86). Kommittén, som antog namnet Banklagskommittén, har till up</w:t>
      </w:r>
      <w:r>
        <w:t>p</w:t>
      </w:r>
      <w:r>
        <w:t>gift att överväga bl.a. frågor om hantering av ekonomiska risker och behovet av intern kontroll i banker och andra finansiella institut, beslutsdeleg</w:t>
      </w:r>
      <w:r>
        <w:t>ation och beslutsfattande, tillsynsverksamhet, revisorernas roll, Finansinspekti</w:t>
      </w:r>
      <w:r>
        <w:t>o</w:t>
      </w:r>
      <w:r>
        <w:t>nens ingripande och sanktioner, regler för situationer då ett enskilt krediti</w:t>
      </w:r>
      <w:r>
        <w:t>n</w:t>
      </w:r>
      <w:r>
        <w:t xml:space="preserve">stitut har finansiella svårigheter samt det straffrättsliga systemet på området. </w:t>
      </w:r>
    </w:p>
    <w:p w:rsidR="00287BE4" w:rsidRDefault="00287BE4">
      <w:pPr>
        <w:pStyle w:val="Normaltindrag"/>
      </w:pPr>
      <w:r>
        <w:t>Banklagskommittén överlämnade våren 1998 delbetänkandet (SOU 1998: 27) Nya ledningsregler för bankaktiebolag och försäkringsbolag. I betänka</w:t>
      </w:r>
      <w:r>
        <w:t>n</w:t>
      </w:r>
      <w:r>
        <w:t>det föreslås att aktiebolagslagens regler för ledningen av bolag, med vissa undantag, skall gälla även för bankaktiebolag och försäkringsb</w:t>
      </w:r>
      <w:r>
        <w:t>o</w:t>
      </w:r>
      <w:r>
        <w:t xml:space="preserve">lag. </w:t>
      </w:r>
    </w:p>
    <w:p w:rsidR="00287BE4" w:rsidRDefault="00287BE4">
      <w:pPr>
        <w:pStyle w:val="Normaltindrag"/>
      </w:pPr>
      <w:r>
        <w:t>På grundval av Banklagskommitténs delbetänkande och en inom Finan</w:t>
      </w:r>
      <w:r>
        <w:t>s</w:t>
      </w:r>
      <w:r>
        <w:t>departementet år 1998 upprättad promemoria om ny associationsrätt för bankaktiebolag och försäkringsbolag lämnas i förevarande proposition fö</w:t>
      </w:r>
      <w:r>
        <w:t>r</w:t>
      </w:r>
      <w:r>
        <w:t xml:space="preserve">slag till ändringar av de associationsrättsliga bestämmelser som gäller för bankaktiebolag. </w:t>
      </w:r>
    </w:p>
    <w:p w:rsidR="00287BE4" w:rsidRDefault="00287BE4">
      <w:r>
        <w:t>I propositionen anförs att de associationsrättsliga bestämmelserna för ba</w:t>
      </w:r>
      <w:r>
        <w:t>n</w:t>
      </w:r>
      <w:r>
        <w:t>k</w:t>
      </w:r>
      <w:r>
        <w:softHyphen/>
        <w:t xml:space="preserve">aktiebolagen sedan länge nära knutit an till de grundläggande principerna i den aktiebolagsrättsliga lagstiftningen. Denna tillnärmning har fortsatt i än högre grad i och med att Sverige har genomfört EG:s bolagsrättsliga direktiv.  Den bolagsrättsliga regleringen av bankaktiebolagen i bankrörelselagen och bankaktiebolagslagen överensstämmer alltså till stora delar med regleringen av de allmänna aktiebolagen i aktiebolagslagen. I propositionen framhålls att vissa skillnader dock kvarstår enligt gällande </w:t>
      </w:r>
      <w:r>
        <w:t xml:space="preserve">rätt. </w:t>
      </w:r>
    </w:p>
    <w:p w:rsidR="00287BE4" w:rsidRDefault="00287BE4">
      <w:pPr>
        <w:pStyle w:val="Normaltindrag"/>
      </w:pPr>
      <w:r>
        <w:t xml:space="preserve">Enligt propositionen är tiden nu mogen att – som ett komplement till </w:t>
      </w:r>
      <w:r>
        <w:br/>
        <w:t>Banklagskommitténs arbete – se över de särskilda associationsrättsliga re</w:t>
      </w:r>
      <w:r>
        <w:t>g</w:t>
      </w:r>
      <w:r>
        <w:t>lerna för bankaktiebolag. En vidare samordning med aktiebolagslagen skulle, anförs det, kraftigt nedbringa antalet associationsrättsliga bestämmelser i den särskilda lagstiftningen för bankaktiebolag och undanröja de tolkningssv</w:t>
      </w:r>
      <w:r>
        <w:t>å</w:t>
      </w:r>
      <w:r>
        <w:t>righeter som kan uppkomma vid jämförelser mellan motsvarande bestä</w:t>
      </w:r>
      <w:r>
        <w:t>m</w:t>
      </w:r>
      <w:r>
        <w:t xml:space="preserve">melser i de olika lagarna. En sådan reform kommer också att underlätta det fortsatta lagstiftningsarbetet. </w:t>
      </w:r>
    </w:p>
    <w:p w:rsidR="00287BE4" w:rsidRDefault="00287BE4">
      <w:pPr>
        <w:pStyle w:val="Normaltindrag"/>
      </w:pPr>
      <w:r>
        <w:t>Utgångspunkten för översynen är s</w:t>
      </w:r>
      <w:r>
        <w:t>åledes att så långt det är möjligt låta aktiebolagslagen tillämpas även för bankaktiebolagen, och att bankaktieb</w:t>
      </w:r>
      <w:r>
        <w:t>o</w:t>
      </w:r>
      <w:r>
        <w:t>lagslagen bör upphävas. Aktiebolagslagen  anses i allmänhet tillgodose skyddet för aktietecknare, aktieägare och borgenärer. Endast mycket väl motiverade särbestämmelser bör enligt regeringen kvarstå. De omständigh</w:t>
      </w:r>
      <w:r>
        <w:t>e</w:t>
      </w:r>
      <w:r>
        <w:t>ter som kan föranleda särskilda associationsrättsliga bestämmelser för ba</w:t>
      </w:r>
      <w:r>
        <w:t>n</w:t>
      </w:r>
      <w:r>
        <w:t>k</w:t>
      </w:r>
      <w:r>
        <w:softHyphen/>
        <w:t>aktiebolag är sådana som tar sikte på dessa bolags särart. Sådana omständi</w:t>
      </w:r>
      <w:r>
        <w:t>g</w:t>
      </w:r>
      <w:r>
        <w:t>heter är, anförs det i propositio</w:t>
      </w:r>
      <w:r>
        <w:t>nen, att det för bankaktiebolagen gäller tvin</w:t>
      </w:r>
      <w:r>
        <w:t>g</w:t>
      </w:r>
      <w:r>
        <w:t>ande näringsrättsliga bestämmelser i EG-direktiv. Andra skäl till särreglering är att bankerna intar en särställning i det finansiella systemet samt hänsyn till konsumentskyddsintre</w:t>
      </w:r>
      <w:r>
        <w:t>s</w:t>
      </w:r>
      <w:r>
        <w:t xml:space="preserve">set på området. </w:t>
      </w:r>
    </w:p>
    <w:p w:rsidR="00287BE4" w:rsidRDefault="00287BE4">
      <w:pPr>
        <w:pStyle w:val="Normaltindrag"/>
      </w:pPr>
      <w:r>
        <w:t>Med hänsyn till det anförda föreslås i propositionen att aktiebolagslagen i stället för bankaktiebolagslagen skall utgöra den associationsrättsliga gru</w:t>
      </w:r>
      <w:r>
        <w:t>n</w:t>
      </w:r>
      <w:r>
        <w:t>den fär bankaktiebolagen, och att vissa särregler som bedömts erforderliga för bankaktiebolagen huvudsakligen skall tas in i ett nytt 9 kap. i bankröre</w:t>
      </w:r>
      <w:r>
        <w:t>l</w:t>
      </w:r>
      <w:r>
        <w:t>selagen. De särregler som sålunda föreslås gäller bl.a. aktiekapitalets storlek, oktroj, bolagets ledning, revision, låneförbud, likvidation, firma och registr</w:t>
      </w:r>
      <w:r>
        <w:t>e</w:t>
      </w:r>
      <w:r>
        <w:t xml:space="preserve">ring. </w:t>
      </w:r>
    </w:p>
    <w:p w:rsidR="00287BE4" w:rsidRDefault="00287BE4">
      <w:pPr>
        <w:pStyle w:val="Normaltindrag"/>
      </w:pPr>
      <w:r>
        <w:t xml:space="preserve">Regeringen föreslår att den nya regleringen träder i kraft den 1 januari 1999. I vissa avseenden föreslås utförliga övergångsbestämmelser. </w:t>
      </w:r>
    </w:p>
    <w:p w:rsidR="00287BE4" w:rsidRDefault="00287BE4">
      <w:r>
        <w:t xml:space="preserve">Vad särskilt gäller </w:t>
      </w:r>
      <w:r>
        <w:rPr>
          <w:i/>
        </w:rPr>
        <w:t>bolagets ledning</w:t>
      </w:r>
      <w:r>
        <w:t xml:space="preserve"> finns i dag bestämmelser, för de allmä</w:t>
      </w:r>
      <w:r>
        <w:t>n</w:t>
      </w:r>
      <w:r>
        <w:t>na aktiebolagens del i 8 kap. aktiebolagslagen och för bankaktiebolagen i 7 kap. bankaktiebolagslagen. Det finns för närvarande betydande skillnader mellan de båda lagarnas regler i nämnda hänseende. Bl.a. är i bankaktiebolag styrelsen det enda ledningsorganet, medan allmänna aktiebolag – såvitt avser publika bolag – har en tudelad organisation med en styrelse och en verkstä</w:t>
      </w:r>
      <w:r>
        <w:t>l</w:t>
      </w:r>
      <w:r>
        <w:t>lande direktör. Ett privat aktiebolag skall ha en styrelse men behöver inte ha</w:t>
      </w:r>
      <w:r>
        <w:t xml:space="preserve"> någon verkställande direktör. Vidare skall styrelsen i ett publikt aktiebolag  bestå av minst tre ledamöter, medan styrelsen i ett privat aktiebolag kan bestå av en eller två ledamöter om minst en suppleant utses. Enligt bankaktieb</w:t>
      </w:r>
      <w:r>
        <w:t>o</w:t>
      </w:r>
      <w:r>
        <w:t>lagslagen skall styrelsen i ett bankaktiebolag bestå av minst fem ledamöter. Därvid får enligt 7 kap. 3 § andra stycket högst en för varje påbörjat femtal av st</w:t>
      </w:r>
      <w:r>
        <w:t>y</w:t>
      </w:r>
      <w:r>
        <w:t xml:space="preserve">relseledamöterna vara anställd i banken, den s.k. femtalsregeln.  </w:t>
      </w:r>
    </w:p>
    <w:p w:rsidR="00287BE4" w:rsidRDefault="00287BE4">
      <w:pPr>
        <w:pStyle w:val="Normaltindrag"/>
      </w:pPr>
      <w:r>
        <w:t>Regeringen framhåller i propositionen att syftet ba</w:t>
      </w:r>
      <w:r>
        <w:t>kom femtalsregeln är att stärka styrelsens oberoende i förhållande till anställda i ledande positioner. Detta syfte bör enligt regeringen även i fortsättningen vara avgörande. St</w:t>
      </w:r>
      <w:r>
        <w:t>y</w:t>
      </w:r>
      <w:r>
        <w:t>relsen kan nämligen, anförs det, inte fungera som tillsynsorgan om alltför många av styrelseledamöterna samtidigt är anställda i bankaktiebolaget. Motsvarande synpunkter gör sig i och för sig gällande i allmänna aktiebolag av en viss storlek. Med hänsyn till det särskilt starka intresset av en väl fu</w:t>
      </w:r>
      <w:r>
        <w:t>n</w:t>
      </w:r>
      <w:r>
        <w:t>gerande intern kontroll i banke</w:t>
      </w:r>
      <w:r>
        <w:t>r är det, anförs det vidare, emellertid särskilt viktigt att garantera styrelsens oberoende ställning i bank</w:t>
      </w:r>
      <w:r>
        <w:softHyphen/>
        <w:t>aktiebolag. En särregel i detta avseende bör därför enligt reg</w:t>
      </w:r>
      <w:r>
        <w:t>e</w:t>
      </w:r>
      <w:r>
        <w:t>ringen finnas kvar.</w:t>
      </w:r>
    </w:p>
    <w:p w:rsidR="00287BE4" w:rsidRDefault="00287BE4">
      <w:pPr>
        <w:pStyle w:val="Normaltindrag"/>
      </w:pPr>
      <w:r>
        <w:t>Enligt propositionen innebär emellertid den nuvarande femtalsregeln en alltför kraftig begränsning av andelen anställda i styrelsen. Det är, anförs det, önskvärt att bestämmelsen utformas så att bankaktiebolagen får en möjlighet att låta verkställande direktören och eventuellt andra personer i banklednin</w:t>
      </w:r>
      <w:r>
        <w:t>g</w:t>
      </w:r>
      <w:r>
        <w:t>en vara representerade i styrelsen utan att denna för den skull behöver bli alltför stor. Regeringen delar dock Banklagskommitténs bedömning att st</w:t>
      </w:r>
      <w:r>
        <w:t>y</w:t>
      </w:r>
      <w:r>
        <w:t>relsen i vart fall till övervägande del bör bestå av personer som inte sitter i bankens ledning eller eljest är anställda i konce</w:t>
      </w:r>
      <w:r>
        <w:t>r</w:t>
      </w:r>
      <w:r>
        <w:t>nen.</w:t>
      </w:r>
    </w:p>
    <w:p w:rsidR="00287BE4" w:rsidRDefault="00287BE4">
      <w:pPr>
        <w:pStyle w:val="Normaltindrag"/>
      </w:pPr>
      <w:r>
        <w:t>I propositionen föreslås sålunda den lydelsen av bestämmelsen i bankröre</w:t>
      </w:r>
      <w:r>
        <w:t>l</w:t>
      </w:r>
      <w:r>
        <w:t xml:space="preserve">selagen om styrelsens sammansättning, att styrelsen i ett bankaktiebolag skall ha minst tre ledamöter, varav flertalet skall vara personer som inte är anställda i banken eller i företag som ingår i samma koncern som banken (9 kap. 10 §). </w:t>
      </w:r>
    </w:p>
    <w:p w:rsidR="00287BE4" w:rsidRDefault="00287BE4">
      <w:pPr>
        <w:pStyle w:val="Normaltindrag"/>
      </w:pPr>
      <w:r>
        <w:t xml:space="preserve">Vid en uppvaktning i ärendet inför utskottet har </w:t>
      </w:r>
      <w:r>
        <w:rPr>
          <w:i/>
        </w:rPr>
        <w:t>Svenska Bankföreningen</w:t>
      </w:r>
      <w:r>
        <w:t xml:space="preserve"> framfört kritik mot den i propositionen föreslagna bestämmelsen om styre</w:t>
      </w:r>
      <w:r>
        <w:t>l</w:t>
      </w:r>
      <w:r>
        <w:t>sens sammansättning. Föreningen har därvid anfört i huvudsak följande.</w:t>
      </w:r>
    </w:p>
    <w:p w:rsidR="00287BE4" w:rsidRDefault="00287BE4">
      <w:pPr>
        <w:pStyle w:val="Normaltindrag"/>
      </w:pPr>
      <w:r>
        <w:t>Enligt Bankföreningen får det anses naturligt att ett moderbolag utser en dotterbolagsstyrelse som helt eller till övervägande del består av anställda i moderbolaget eller systerbolag. Mot den bakgrunden innebär regeringens förslag alltför långtgående restriktioner för bankaktiebolag jämfört med andra aktiebolag när det gäller sammansättningen</w:t>
      </w:r>
      <w:r>
        <w:t xml:space="preserve"> av styrelsen. Den praktiska följden av regeringens förslag blir, enligt Bankföreningen, att majoriteten av styrelseledamöterna måste hämtas utanför koncernen, trots att moderbolaget äger alla aktier och därmed har det fulla ägaransvaret för banken. Ägarens möjligheter att fullgöra sina rättigheter och skyldigheter skulle därmed b</w:t>
      </w:r>
      <w:r>
        <w:t>e</w:t>
      </w:r>
      <w:r>
        <w:t>gränsas högst avsevärt. Enligt Bankföreningen innebär förhållandet, att en stor andel av styrelseledamöterna i ett bankaktiebolag är anställda i mode</w:t>
      </w:r>
      <w:r>
        <w:t>r</w:t>
      </w:r>
      <w:r>
        <w:t>bolaget eller systerbolag, in</w:t>
      </w:r>
      <w:r>
        <w:t>te att en effektiv internkontroll försvåras. Risken är enligt Bankföreningen att en särregel med den innebörd regeringen för</w:t>
      </w:r>
      <w:r>
        <w:t>e</w:t>
      </w:r>
      <w:r>
        <w:t>slår begränsar Sveriges möjligheter att behålla och attrahera finansiella ko</w:t>
      </w:r>
      <w:r>
        <w:t>n</w:t>
      </w:r>
      <w:r>
        <w:t>cerner med internationell anknytning. Sverige skulle  med en sådan reglering få strängare regler för sammansättningen av styrelsen i en bank än vad som gäller i t.ex. Danmark och Finland. Sammanfattningsvis anser Bankförenin</w:t>
      </w:r>
      <w:r>
        <w:t>g</w:t>
      </w:r>
      <w:r>
        <w:t>en att det grundläggande syftet med en särreglering kan tillgodoses genom att begräns</w:t>
      </w:r>
      <w:r>
        <w:t>ningar att vara ledamöter i bankens styrelse gäller för anställda i banken och dess dotterbolag.  Bankföreningen föreslår sålunda en utfor</w:t>
      </w:r>
      <w:r>
        <w:t>m</w:t>
      </w:r>
      <w:r>
        <w:t>ning av den ifrågavarande bestämmelsen i bankrörelselagen med denna inn</w:t>
      </w:r>
      <w:r>
        <w:t>e</w:t>
      </w:r>
      <w:r>
        <w:t xml:space="preserve">börd. </w:t>
      </w:r>
    </w:p>
    <w:p w:rsidR="00287BE4" w:rsidRDefault="00287BE4">
      <w:pPr>
        <w:pStyle w:val="Normaltindrag"/>
      </w:pPr>
      <w:r>
        <w:t>I motion L205 av Stig Rindborg m.fl. (m) förordas en lösning beträffande regleringen av styrelsens sammansättning i bankaktiebolag som överen</w:t>
      </w:r>
      <w:r>
        <w:t>s</w:t>
      </w:r>
      <w:r>
        <w:t>stämmer med Svenska Bankföreningens förslag. Enligt motionen beskär regeringens förslag kraftigt ägarens möjligheter att aktivt medverka i le</w:t>
      </w:r>
      <w:r>
        <w:t>d</w:t>
      </w:r>
      <w:r>
        <w:t>ningen av ett bankaktiebolag, eftersom moderbolaget inte kan utse en styre</w:t>
      </w:r>
      <w:r>
        <w:t>l</w:t>
      </w:r>
      <w:r>
        <w:t>se som helt eller till övervägande del består av anställda där. I förhållande till gällande rätt är dock enligt motionen en viss ytterligare restriktivitet för anställda att vara styrelseledamöter i bankaktiebolag motiverad, eftersom sådana bolag numera ofta förlägger sin verksamhet till olika</w:t>
      </w:r>
      <w:r>
        <w:t xml:space="preserve"> dotterföretag. Mot bakgrund härav och med hänsyn till intresset av styrelsens oberoende är det, enligt motionen, rimligt att inte heller anställda i bankaktiebolagets dotterföretag skall vara alltför vidlyftigt representerade i bankaktiebolagets styrelse. I motionen yrkas att riksdagen som sin mening ger regeringen till känna vad i motionen anförts om styrelsens sammansättning i bankaktiebolag (yrkande 1) och att riksdagen hos regeringen begär förslag om ändring i bankrörels</w:t>
      </w:r>
      <w:r>
        <w:t>e</w:t>
      </w:r>
      <w:r>
        <w:t>lagen i enlighet med vad som an</w:t>
      </w:r>
      <w:r>
        <w:t xml:space="preserve">förts i motionen (yrkande 2). </w:t>
      </w:r>
    </w:p>
    <w:p w:rsidR="00287BE4" w:rsidRDefault="00287BE4">
      <w:pPr>
        <w:pStyle w:val="Normaltindrag"/>
      </w:pPr>
      <w:r>
        <w:t>Utskottet kan till en början instämma i synpunkten, som framförts av bl.a. Lagrådet, att överblicken över de nu framlagda förslagen skulle ha underlä</w:t>
      </w:r>
      <w:r>
        <w:t>t</w:t>
      </w:r>
      <w:r>
        <w:t>tats om ett bredare och mer sammanhållet lagkomplex lagts fram. Den la</w:t>
      </w:r>
      <w:r>
        <w:t>g</w:t>
      </w:r>
      <w:r>
        <w:t>tekniska lösningen att ta in de särskilda associationsrättsliga bestämmelserna för bankaktiebolag i ett nytt 9 kap. i bankrörelselagen bör därvid bara ses som ett provisorium. Från saklig synpunkt innebär dock, enligt utskottets mening, den nu aktuella delreformen en välkommen förenkling av de assoc</w:t>
      </w:r>
      <w:r>
        <w:t>i</w:t>
      </w:r>
      <w:r>
        <w:t>ationsrättsliga reglerna för bankaktiebolag. Vidare innebär förslaget, såvitt utskottet nu kan bedöma, en rimlig avvägning mellan de allmän</w:t>
      </w:r>
      <w:r>
        <w:t>na associ</w:t>
      </w:r>
      <w:r>
        <w:t>a</w:t>
      </w:r>
      <w:r>
        <w:t>tionsrättsliga regler å ena sidan och de särbestämmelser å andra sidan, som i fortsättningen skall gälla för bankaktiebol</w:t>
      </w:r>
      <w:r>
        <w:t>a</w:t>
      </w:r>
      <w:r>
        <w:t xml:space="preserve">gens del.  </w:t>
      </w:r>
    </w:p>
    <w:p w:rsidR="00287BE4" w:rsidRDefault="00287BE4">
      <w:pPr>
        <w:pStyle w:val="Normaltindrag"/>
      </w:pPr>
      <w:r>
        <w:t>Vad gäller särregleringen angående styrelsens sammansättning i banka</w:t>
      </w:r>
      <w:r>
        <w:t>k</w:t>
      </w:r>
      <w:r>
        <w:t>tiebolag delar utskottet Svenska Bankföreningens och motionärernas up</w:t>
      </w:r>
      <w:r>
        <w:t>p</w:t>
      </w:r>
      <w:r>
        <w:t>fattning att regeringens förslag medför alltför långtgående begränsningar av den krets som får sitta i styrelsen, särskilt mot bakgrund av att bank</w:t>
      </w:r>
      <w:r>
        <w:softHyphen/>
        <w:t>rörelse i dag ofta bedrivs inom en koncern. Enligt utskottets mening finns det risk  för att en utformning av regeln i enlighet med regeringens förslag skulle kunna  försvåra för ett moderbolag i koncernen att utöva sin ägarfunktion i ett ba</w:t>
      </w:r>
      <w:r>
        <w:t>n</w:t>
      </w:r>
      <w:r>
        <w:t>k</w:t>
      </w:r>
      <w:r>
        <w:softHyphen/>
        <w:t>aktiebolag som utgör ett dotterbolag. Som Bankför</w:t>
      </w:r>
      <w:r>
        <w:t>eningen och motionärerna anfört finns det däremot från kontrollsynpunkt skäl att införa begränsningar – förutom för de anställda i banken – även för anställda i dotterbolag till ba</w:t>
      </w:r>
      <w:r>
        <w:t>n</w:t>
      </w:r>
      <w:r>
        <w:t>ken, eftersom bankaktiebolag numera ofta synes förlägga sin verksamhet i olika dotterb</w:t>
      </w:r>
      <w:r>
        <w:t>o</w:t>
      </w:r>
      <w:r>
        <w:t>lag.</w:t>
      </w:r>
    </w:p>
    <w:p w:rsidR="00287BE4" w:rsidRDefault="00287BE4">
      <w:pPr>
        <w:pStyle w:val="Normaltindrag"/>
      </w:pPr>
      <w:r>
        <w:t xml:space="preserve"> Det anförda innebär att utskottet, med anledning av motion L205, förordar  en utformning av särregeln om styrelsens sammansättning i bankaktiebolag i överensstämmelse med Svenska Bankföreningens önskemål. Den av utsko</w:t>
      </w:r>
      <w:r>
        <w:t>t</w:t>
      </w:r>
      <w:r>
        <w:t>tet föreslagna ändringen i regeringens förslag framgår av bilaga 2.</w:t>
      </w:r>
    </w:p>
    <w:p w:rsidR="00287BE4" w:rsidRDefault="00287BE4">
      <w:pPr>
        <w:pStyle w:val="Normaltindrag"/>
      </w:pPr>
      <w:r>
        <w:t>I övrigt tillstyrker utskottet regeringens lagförslag angående en ny associ</w:t>
      </w:r>
      <w:r>
        <w:t>a</w:t>
      </w:r>
      <w:r>
        <w:t>tion</w:t>
      </w:r>
      <w:r>
        <w:t>s</w:t>
      </w:r>
      <w:r>
        <w:t>rätt för bankaktiebolag.</w:t>
      </w:r>
    </w:p>
    <w:p w:rsidR="00287BE4" w:rsidRDefault="00287BE4">
      <w:pPr>
        <w:pStyle w:val="Rubrik2"/>
      </w:pPr>
      <w:bookmarkStart w:id="22" w:name="_Toc435254150"/>
      <w:r>
        <w:t>Lagen om försäkringsmäklare</w:t>
      </w:r>
      <w:bookmarkEnd w:id="22"/>
    </w:p>
    <w:p w:rsidR="00287BE4" w:rsidRDefault="00287BE4">
      <w:r>
        <w:t>I propositionen lämnas också ett förslag till en ändring i lagen (1989:508) om försäkringsmäklare</w:t>
      </w:r>
      <w:r>
        <w:rPr>
          <w:i/>
        </w:rPr>
        <w:t xml:space="preserve">. </w:t>
      </w:r>
      <w:r>
        <w:t>Propositionen i denna del grundas på Försäkringsmä</w:t>
      </w:r>
      <w:r>
        <w:t>k</w:t>
      </w:r>
      <w:r>
        <w:t xml:space="preserve">larutredningens förslag i betänkandet (SOU 1997:79) Försäkringsmäklare –en lagöversyn av Försäkringsmäklarutredningen. </w:t>
      </w:r>
    </w:p>
    <w:p w:rsidR="00287BE4" w:rsidRDefault="00287BE4">
      <w:pPr>
        <w:pStyle w:val="Normaltindrag"/>
      </w:pPr>
      <w:r>
        <w:t>Den föreslagna ändringen, som är avsedd att träda i kraft den 1 januari 1999, utgör en anpassning till EG-rätten och innebär att en försäkringsmäkl</w:t>
      </w:r>
      <w:r>
        <w:t>a</w:t>
      </w:r>
      <w:r>
        <w:t>re som är registrerad i ett annat land inom Europeiska ekonomiska sama</w:t>
      </w:r>
      <w:r>
        <w:t>r</w:t>
      </w:r>
      <w:r>
        <w:t>betsområdet får driva gränsöverskridande verksamhet i Sverige utan krav på registrering hos Finansinspekti</w:t>
      </w:r>
      <w:r>
        <w:t>o</w:t>
      </w:r>
      <w:r>
        <w:t xml:space="preserve">nen. </w:t>
      </w:r>
    </w:p>
    <w:p w:rsidR="00287BE4" w:rsidRDefault="00287BE4">
      <w:pPr>
        <w:pStyle w:val="Normaltindrag"/>
      </w:pPr>
      <w:r>
        <w:t xml:space="preserve">Vad som sålunda föreslås föranleder inga erinringar från utskottets sida, och utskottet tillstyrker regeringens lagförslag också i denna del.     </w:t>
      </w:r>
    </w:p>
    <w:p w:rsidR="00287BE4" w:rsidRDefault="00287BE4">
      <w:pPr>
        <w:pStyle w:val="Rubrik2"/>
      </w:pPr>
      <w:bookmarkStart w:id="23" w:name="_Toc435254151"/>
      <w:r>
        <w:t>Lagen om årsredovising i kreditinstitut och värdepappersbolag</w:t>
      </w:r>
      <w:bookmarkEnd w:id="23"/>
      <w:r>
        <w:t xml:space="preserve"> </w:t>
      </w:r>
    </w:p>
    <w:p w:rsidR="00287BE4" w:rsidRDefault="00287BE4">
      <w:r>
        <w:t>Våren 1998 beslutade riksdagen vissa ändringar i aktiebolagslagens regler  om aktiebolagens organisation m.m. (prop. 1997/98:99, bet. 1997/98:LU26, rskr. 257). Samtidigt beslutades vissa följd</w:t>
      </w:r>
      <w:r>
        <w:softHyphen/>
        <w:t>ändringar, bl.a. i 2 kap. 1 §, 7 kap. 1 § och 9 kap. 1 § lagen (1995:1559) om årsredovisning i kreditinstitut och värdepappersbolag. Paragraferna kom emellertid att få en felaktig lydelse ge</w:t>
      </w:r>
      <w:r>
        <w:softHyphen/>
        <w:t>nom riksdagsbeslutet. Anledningen till detta var att lagförslaget i propositi</w:t>
      </w:r>
      <w:r>
        <w:t>o</w:t>
      </w:r>
      <w:r>
        <w:t>nen utgick från en felaktigt gällande lydelse av bestämmelserna. Ändringsl</w:t>
      </w:r>
      <w:r>
        <w:t>a</w:t>
      </w:r>
      <w:r>
        <w:t xml:space="preserve">gen rörande lagen om årsredovisning i kreditinstitut och värdepappersbolag träder i kraft den 1 januari 1999 (SFS 1998:772). </w:t>
      </w:r>
    </w:p>
    <w:p w:rsidR="00287BE4" w:rsidRDefault="00287BE4">
      <w:pPr>
        <w:pStyle w:val="Normaltindrag"/>
      </w:pPr>
      <w:r>
        <w:t>Utskottet lägger nu på eget initiativ fra</w:t>
      </w:r>
      <w:r>
        <w:t>m ett förslag till justering av än</w:t>
      </w:r>
      <w:r>
        <w:t>d</w:t>
      </w:r>
      <w:r>
        <w:t xml:space="preserve">ringslagen i enlighet med vad som framgår av bilaga 3. </w:t>
      </w:r>
    </w:p>
    <w:p w:rsidR="00287BE4" w:rsidRDefault="00287BE4">
      <w:pPr>
        <w:pStyle w:val="Rubrik2"/>
      </w:pPr>
      <w:bookmarkStart w:id="24" w:name="_Toc435254152"/>
      <w:r>
        <w:t>Hemställan</w:t>
      </w:r>
      <w:bookmarkEnd w:id="24"/>
    </w:p>
    <w:p w:rsidR="00287BE4" w:rsidRDefault="00287BE4">
      <w:r>
        <w:t>Utskottet hemställer</w:t>
      </w:r>
    </w:p>
    <w:p w:rsidR="00287BE4" w:rsidRDefault="00287BE4">
      <w:pPr>
        <w:pStyle w:val="hembetr"/>
      </w:pPr>
      <w:r>
        <w:t xml:space="preserve">1. beträffande </w:t>
      </w:r>
      <w:r>
        <w:rPr>
          <w:i/>
        </w:rPr>
        <w:t>styrelsens sammansättning i bankaktiebolag</w:t>
      </w:r>
    </w:p>
    <w:p w:rsidR="00287BE4" w:rsidRDefault="00287BE4">
      <w:pPr>
        <w:pStyle w:val="hemtext"/>
      </w:pPr>
      <w:r>
        <w:t xml:space="preserve">att riksdagen med anledning av motion 1998/99:L205 antar 9 kap. </w:t>
      </w:r>
      <w:r>
        <w:br/>
        <w:t xml:space="preserve">10 § i regeringens förslag till lag om ändring i bankrörelselagen (1987:617), med den ändringen att paragrafen erhåller i bilaga 2 som </w:t>
      </w:r>
      <w:r>
        <w:rPr>
          <w:i/>
        </w:rPr>
        <w:t>Utsko</w:t>
      </w:r>
      <w:r>
        <w:rPr>
          <w:i/>
        </w:rPr>
        <w:t>t</w:t>
      </w:r>
      <w:r>
        <w:rPr>
          <w:i/>
        </w:rPr>
        <w:t>tets förslag</w:t>
      </w:r>
      <w:r>
        <w:t xml:space="preserve"> betecknade lydelse,      </w:t>
      </w:r>
      <w:bookmarkStart w:id="25" w:name="RESPARTI001"/>
      <w:bookmarkEnd w:id="25"/>
    </w:p>
    <w:p w:rsidR="00287BE4" w:rsidRDefault="00287BE4">
      <w:pPr>
        <w:pStyle w:val="hemtext"/>
      </w:pPr>
    </w:p>
    <w:p w:rsidR="00287BE4" w:rsidRDefault="00287BE4">
      <w:pPr>
        <w:pStyle w:val="hemtext"/>
      </w:pPr>
    </w:p>
    <w:p w:rsidR="00287BE4" w:rsidRDefault="00287BE4">
      <w:pPr>
        <w:pStyle w:val="hembetr"/>
      </w:pPr>
      <w:r>
        <w:t xml:space="preserve">2. beträffande </w:t>
      </w:r>
      <w:r>
        <w:rPr>
          <w:i/>
        </w:rPr>
        <w:t>bankrörelselagen i övrigt</w:t>
      </w:r>
    </w:p>
    <w:p w:rsidR="00287BE4" w:rsidRDefault="00287BE4">
      <w:pPr>
        <w:pStyle w:val="hemtext"/>
      </w:pPr>
      <w:r>
        <w:t>att riksdagen antar regeringens förslag till lag om ändring i bankröre</w:t>
      </w:r>
      <w:r>
        <w:t>l</w:t>
      </w:r>
      <w:r>
        <w:t>selagen (1987:617), i den mån lagförslaget inte omfattas av vad u</w:t>
      </w:r>
      <w:r>
        <w:t>t</w:t>
      </w:r>
      <w:r>
        <w:t xml:space="preserve">skottet hemställt ovan,      </w:t>
      </w:r>
      <w:bookmarkStart w:id="26" w:name="RESPARTI002"/>
      <w:bookmarkEnd w:id="26"/>
    </w:p>
    <w:p w:rsidR="00287BE4" w:rsidRDefault="00287BE4">
      <w:pPr>
        <w:pStyle w:val="hembetr"/>
      </w:pPr>
      <w:r>
        <w:t xml:space="preserve">3. beträffande </w:t>
      </w:r>
      <w:r>
        <w:rPr>
          <w:i/>
        </w:rPr>
        <w:t>försäkringsmäklare</w:t>
      </w:r>
      <w:bookmarkStart w:id="27" w:name="RESPARTI003"/>
      <w:bookmarkEnd w:id="27"/>
    </w:p>
    <w:p w:rsidR="00287BE4" w:rsidRDefault="00287BE4">
      <w:pPr>
        <w:pStyle w:val="hemtext"/>
      </w:pPr>
      <w:r>
        <w:t>att riksdagen antar regeringens förslag till lag om ändring i lagen (1989:508) om försäkringsmäklare,</w:t>
      </w:r>
    </w:p>
    <w:p w:rsidR="00287BE4" w:rsidRDefault="00287BE4">
      <w:pPr>
        <w:pStyle w:val="hembetr"/>
      </w:pPr>
      <w:r>
        <w:t xml:space="preserve">4. beträffande </w:t>
      </w:r>
      <w:r>
        <w:rPr>
          <w:i/>
        </w:rPr>
        <w:t>regeringens övriga lagförslag</w:t>
      </w:r>
    </w:p>
    <w:p w:rsidR="00287BE4" w:rsidRDefault="00287BE4">
      <w:pPr>
        <w:pStyle w:val="hemtext"/>
      </w:pPr>
      <w:r>
        <w:t>att riksdagen antar regeringens förslag till</w:t>
      </w:r>
    </w:p>
    <w:p w:rsidR="00287BE4" w:rsidRDefault="00287BE4">
      <w:pPr>
        <w:pStyle w:val="hemtext"/>
      </w:pPr>
      <w:r>
        <w:rPr>
          <w:i/>
        </w:rPr>
        <w:t>dels</w:t>
      </w:r>
      <w:r>
        <w:t xml:space="preserve"> lag om ändring i aktiebolagslagen (1975:1385), </w:t>
      </w:r>
    </w:p>
    <w:p w:rsidR="00287BE4" w:rsidRDefault="00287BE4">
      <w:pPr>
        <w:pStyle w:val="hemtext"/>
      </w:pPr>
      <w:r>
        <w:rPr>
          <w:i/>
        </w:rPr>
        <w:t xml:space="preserve">dels </w:t>
      </w:r>
      <w:r>
        <w:t xml:space="preserve">lag om ändring i lagen (1987:1245) om styrelserepresentation för de privatanställda, </w:t>
      </w:r>
    </w:p>
    <w:p w:rsidR="00287BE4" w:rsidRDefault="00287BE4">
      <w:pPr>
        <w:pStyle w:val="hemtext"/>
      </w:pPr>
      <w:r>
        <w:rPr>
          <w:i/>
        </w:rPr>
        <w:t>dels</w:t>
      </w:r>
      <w:r>
        <w:t xml:space="preserve"> lag om ändring i lagen (1991:981) om värdepappersrörelse, </w:t>
      </w:r>
    </w:p>
    <w:p w:rsidR="00287BE4" w:rsidRDefault="00287BE4">
      <w:pPr>
        <w:pStyle w:val="hemtext"/>
      </w:pPr>
      <w:r>
        <w:rPr>
          <w:i/>
        </w:rPr>
        <w:t>dels</w:t>
      </w:r>
      <w:r>
        <w:t xml:space="preserve"> lag om ändring i lagen (1992:1610) om finansieringsverksa</w:t>
      </w:r>
      <w:r>
        <w:t>m</w:t>
      </w:r>
      <w:r>
        <w:t xml:space="preserve">het, </w:t>
      </w:r>
    </w:p>
    <w:p w:rsidR="00287BE4" w:rsidRDefault="00287BE4">
      <w:pPr>
        <w:pStyle w:val="hemtext"/>
      </w:pPr>
      <w:r>
        <w:rPr>
          <w:i/>
        </w:rPr>
        <w:t>dels</w:t>
      </w:r>
      <w:r>
        <w:t xml:space="preserve"> lag om ändring i jordabalken, </w:t>
      </w:r>
    </w:p>
    <w:p w:rsidR="00287BE4" w:rsidRDefault="00287BE4">
      <w:pPr>
        <w:pStyle w:val="hemtext"/>
      </w:pPr>
      <w:r>
        <w:rPr>
          <w:i/>
        </w:rPr>
        <w:t xml:space="preserve">dels </w:t>
      </w:r>
      <w:r>
        <w:t>lag om ändring i lagen (1985:277) om vissa bulvanförhålla</w:t>
      </w:r>
      <w:r>
        <w:t>n</w:t>
      </w:r>
      <w:r>
        <w:t xml:space="preserve">den, </w:t>
      </w:r>
    </w:p>
    <w:p w:rsidR="00287BE4" w:rsidRDefault="00287BE4">
      <w:pPr>
        <w:pStyle w:val="hemtext"/>
      </w:pPr>
      <w:r>
        <w:rPr>
          <w:i/>
        </w:rPr>
        <w:t>dels</w:t>
      </w:r>
      <w:r>
        <w:t xml:space="preserve"> lag om ändring i lagen (1987:464) om vissa riktade emissioner i aktiemarknadsbolag m.m.,</w:t>
      </w:r>
      <w:bookmarkStart w:id="28" w:name="RESPARTI004"/>
      <w:bookmarkEnd w:id="28"/>
    </w:p>
    <w:p w:rsidR="00287BE4" w:rsidRDefault="00287BE4">
      <w:pPr>
        <w:pStyle w:val="hembetr"/>
        <w:rPr>
          <w:i/>
        </w:rPr>
      </w:pPr>
      <w:r>
        <w:t xml:space="preserve">5. beträffande </w:t>
      </w:r>
      <w:r>
        <w:rPr>
          <w:i/>
        </w:rPr>
        <w:t>årsredovisning i kreditinstitut och värdepappersbolag</w:t>
      </w:r>
    </w:p>
    <w:p w:rsidR="00287BE4" w:rsidRDefault="00287BE4">
      <w:pPr>
        <w:pStyle w:val="hemtext"/>
      </w:pPr>
      <w:r>
        <w:t>att riksdagen antar av utskottet i bilaga 3 framlagt förslag till lag om ändring i lagen (1998:772) om ändring i lagen (1995:1559) om årsr</w:t>
      </w:r>
      <w:r>
        <w:t>e</w:t>
      </w:r>
      <w:r>
        <w:t xml:space="preserve">dovisning i kreditinstitut och värdepappersbolag.     </w:t>
      </w:r>
    </w:p>
    <w:p w:rsidR="00287BE4" w:rsidRDefault="00287BE4">
      <w:pPr>
        <w:pStyle w:val="hemtext"/>
      </w:pPr>
      <w:r>
        <w:t xml:space="preserve"> </w:t>
      </w:r>
    </w:p>
    <w:p w:rsidR="00287BE4" w:rsidRDefault="00287BE4">
      <w:pPr>
        <w:pStyle w:val="Stockholm"/>
        <w:spacing w:before="123"/>
      </w:pPr>
      <w:bookmarkStart w:id="29" w:name="Nästa_Hpunkt"/>
      <w:bookmarkStart w:id="30" w:name="RESPARTI005"/>
      <w:bookmarkEnd w:id="29"/>
      <w:bookmarkEnd w:id="30"/>
      <w:r>
        <w:t>Stockholm den 12 november 1998</w:t>
      </w:r>
    </w:p>
    <w:p w:rsidR="00287BE4" w:rsidRDefault="00287BE4">
      <w:pPr>
        <w:pStyle w:val="Vgnar"/>
      </w:pPr>
      <w:r>
        <w:t>På lagutskottets vägnar</w:t>
      </w:r>
    </w:p>
    <w:p w:rsidR="00287BE4" w:rsidRDefault="00287BE4">
      <w:pPr>
        <w:pStyle w:val="Ordfnamn"/>
      </w:pPr>
      <w:bookmarkStart w:id="31" w:name="Ordförande"/>
      <w:bookmarkEnd w:id="31"/>
      <w:r>
        <w:t xml:space="preserve">Tanja Linderborg </w:t>
      </w:r>
    </w:p>
    <w:p w:rsidR="00287BE4" w:rsidRDefault="00287BE4">
      <w:pPr>
        <w:pStyle w:val="Deltagare"/>
      </w:pPr>
      <w:bookmarkStart w:id="32" w:name="Deltagare"/>
      <w:bookmarkEnd w:id="32"/>
      <w:r>
        <w:t>I beslutet har deltagit: Tanja Linderborg (v), Rolf Åbjörnsson (kd), Marianne Carlström (s), Stig Rindborg (m), Rune Berglund (s), Henrik S Järrel (m), Marina Pettersson (s), Elizabeth Nyström (m), Roland Larsson (s), Christina Nenes (s), Tasso Stafilidis (v), Kjell Eldensjö (kd), Berit Adolfsson (m), Anders Berglöv (s), Viviann Gerdin (c), Ulf Nilsson (fp) och Raimo Pärss</w:t>
      </w:r>
      <w:r>
        <w:t>i</w:t>
      </w:r>
      <w:r>
        <w:t>nen (s).</w:t>
      </w:r>
    </w:p>
    <w:p w:rsidR="00287BE4" w:rsidRDefault="00287BE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287BE4" w:rsidRDefault="00287BE4">
      <w:pPr>
        <w:pStyle w:val="Rubrik1"/>
        <w:spacing w:before="123"/>
      </w:pPr>
      <w:r>
        <w:t>Propositionens lagförslag</w:t>
      </w:r>
    </w:p>
    <w:p w:rsidR="00287BE4" w:rsidRDefault="00287BE4">
      <w:pPr>
        <w:pStyle w:val="R2"/>
        <w:spacing w:before="123"/>
      </w:pPr>
      <w:r>
        <w:t>1 Förslag till lag om ändring i bankrörelselagen (1987:617)</w:t>
      </w:r>
    </w:p>
    <w:p w:rsidR="00287BE4" w:rsidRDefault="00287BE4">
      <w:pPr>
        <w:pStyle w:val="R2"/>
        <w:spacing w:before="123"/>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t>2 Förslag till lag om ändring i aktiebolagslagen (1975:1385)</w:t>
      </w:r>
    </w:p>
    <w:p w:rsidR="00287BE4" w:rsidRDefault="00287BE4">
      <w:pPr>
        <w:pStyle w:val="R2"/>
        <w:spacing w:before="123"/>
      </w:pPr>
      <w:r>
        <w:br w:type="page"/>
      </w:r>
      <w:r>
        <w:br w:type="page"/>
        <w:t>3 Förslag till lag om ändring i lagen (1987:1245) om styrelserepresentation för de privatanställda</w:t>
      </w:r>
    </w:p>
    <w:p w:rsidR="00287BE4" w:rsidRDefault="00287BE4">
      <w:pPr>
        <w:pStyle w:val="R2"/>
        <w:spacing w:before="123"/>
      </w:pPr>
      <w:r>
        <w:br w:type="page"/>
      </w:r>
      <w:r>
        <w:br w:type="page"/>
        <w:t>4 Förslag till lag om ändring i lagen (1991:981) om värdepappersrörelse</w:t>
      </w:r>
    </w:p>
    <w:p w:rsidR="00287BE4" w:rsidRDefault="00287BE4">
      <w:pPr>
        <w:pStyle w:val="R2"/>
        <w:spacing w:before="123"/>
      </w:pPr>
      <w:r>
        <w:br w:type="page"/>
        <w:t>5 Förslag till lag om ändring i lagen (1992:1610) om finansieringsverksamhet</w:t>
      </w:r>
    </w:p>
    <w:p w:rsidR="00287BE4" w:rsidRDefault="00287BE4">
      <w:pPr>
        <w:pStyle w:val="R2"/>
        <w:spacing w:before="123"/>
      </w:pPr>
      <w:r>
        <w:br w:type="page"/>
        <w:t>6 Förslag till lag om ändring i lagen (1989:508) om försäkringsmäklare</w:t>
      </w:r>
    </w:p>
    <w:p w:rsidR="00287BE4" w:rsidRDefault="00287BE4">
      <w:pPr>
        <w:pStyle w:val="R2"/>
        <w:spacing w:before="123"/>
      </w:pPr>
      <w:r>
        <w:br w:type="page"/>
      </w:r>
      <w:r>
        <w:br w:type="page"/>
      </w:r>
      <w:r>
        <w:br w:type="page"/>
        <w:t xml:space="preserve">7 Förslag till lag om ändring i jordabalken </w:t>
      </w:r>
    </w:p>
    <w:p w:rsidR="00287BE4" w:rsidRDefault="00287BE4">
      <w:pPr>
        <w:pStyle w:val="R2"/>
        <w:spacing w:before="123"/>
      </w:pPr>
      <w:r>
        <w:br w:type="page"/>
      </w:r>
      <w:r>
        <w:br w:type="page"/>
      </w:r>
      <w:r>
        <w:br w:type="page"/>
        <w:t>8 Förslag till lag om ändring i lagen (1985:277) om vissa bulvanförhållanden</w:t>
      </w:r>
    </w:p>
    <w:p w:rsidR="00287BE4" w:rsidRDefault="00287BE4">
      <w:pPr>
        <w:pStyle w:val="R2"/>
        <w:spacing w:before="123"/>
      </w:pPr>
      <w:r>
        <w:br w:type="page"/>
        <w:t>9 Förslag till lag om ändring i lagen (1987:464) om vissa riktade emissioner i akti</w:t>
      </w:r>
      <w:r>
        <w:t>e</w:t>
      </w:r>
      <w:r>
        <w:t>marknadsbolag m.m.</w:t>
      </w:r>
    </w:p>
    <w:p w:rsidR="00287BE4" w:rsidRDefault="00287BE4">
      <w:pPr>
        <w:pStyle w:val="Rubrik2"/>
        <w:sectPr w:rsidR="00000000">
          <w:headerReference w:type="default" r:id="rId11"/>
          <w:footerReference w:type="default" r:id="rId12"/>
          <w:pgSz w:w="11906" w:h="16838" w:code="9"/>
          <w:pgMar w:top="567" w:right="4876" w:bottom="4508" w:left="1134" w:header="227" w:footer="227" w:gutter="0"/>
          <w:cols w:space="720"/>
        </w:sectPr>
      </w:pPr>
    </w:p>
    <w:p w:rsidR="00287BE4" w:rsidRDefault="00287BE4">
      <w:pPr>
        <w:pStyle w:val="Rubrik1"/>
        <w:spacing w:before="123"/>
        <w:jc w:val="left"/>
      </w:pPr>
      <w:r>
        <w:t>Av utskottet föreslagen ändring i regeringens förslag till lag om ändring i bankrörelselagen (1987:617)</w:t>
      </w:r>
    </w:p>
    <w:p w:rsidR="00287BE4" w:rsidRDefault="00287BE4"/>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87BE4" w:rsidRDefault="00287BE4">
            <w:pPr>
              <w:pStyle w:val="Lagtext"/>
              <w:spacing w:before="0"/>
              <w:rPr>
                <w:i/>
              </w:rPr>
            </w:pPr>
            <w:r>
              <w:rPr>
                <w:i/>
              </w:rPr>
              <w:t>Regeringens förslag</w:t>
            </w:r>
          </w:p>
        </w:tc>
        <w:tc>
          <w:tcPr>
            <w:tcW w:w="3062" w:type="dxa"/>
          </w:tcPr>
          <w:p w:rsidR="00287BE4" w:rsidRDefault="00287BE4">
            <w:pPr>
              <w:pStyle w:val="Lagtext"/>
              <w:spacing w:before="0"/>
              <w:rPr>
                <w:i/>
              </w:rPr>
            </w:pPr>
            <w:r>
              <w:rPr>
                <w:i/>
              </w:rPr>
              <w:t>Utskottets förslag</w:t>
            </w:r>
          </w:p>
        </w:tc>
      </w:tr>
      <w:tr w:rsidR="00000000">
        <w:tblPrEx>
          <w:tblCellMar>
            <w:top w:w="0" w:type="dxa"/>
            <w:bottom w:w="0" w:type="dxa"/>
          </w:tblCellMar>
        </w:tblPrEx>
        <w:tc>
          <w:tcPr>
            <w:tcW w:w="3062" w:type="dxa"/>
          </w:tcPr>
          <w:p w:rsidR="00287BE4" w:rsidRDefault="00287BE4">
            <w:pPr>
              <w:pStyle w:val="LagtextIndrag"/>
              <w:spacing w:before="0"/>
            </w:pPr>
          </w:p>
        </w:tc>
        <w:tc>
          <w:tcPr>
            <w:tcW w:w="3062" w:type="dxa"/>
          </w:tcPr>
          <w:p w:rsidR="00287BE4" w:rsidRDefault="00287BE4">
            <w:pPr>
              <w:pStyle w:val="LagtextIndrag"/>
              <w:spacing w:before="0"/>
            </w:pPr>
          </w:p>
        </w:tc>
      </w:tr>
      <w:tr w:rsidR="00000000">
        <w:tblPrEx>
          <w:tblCellMar>
            <w:top w:w="0" w:type="dxa"/>
            <w:bottom w:w="0" w:type="dxa"/>
          </w:tblCellMar>
        </w:tblPrEx>
        <w:trPr>
          <w:cantSplit/>
        </w:trPr>
        <w:tc>
          <w:tcPr>
            <w:tcW w:w="6124" w:type="dxa"/>
            <w:gridSpan w:val="2"/>
          </w:tcPr>
          <w:p w:rsidR="00287BE4" w:rsidRDefault="00287BE4">
            <w:pPr>
              <w:pStyle w:val="LagtextIndrag"/>
              <w:spacing w:before="0"/>
              <w:jc w:val="center"/>
            </w:pPr>
            <w:r>
              <w:t>9 kap.</w:t>
            </w:r>
          </w:p>
          <w:p w:rsidR="00287BE4" w:rsidRDefault="00287BE4">
            <w:pPr>
              <w:pStyle w:val="LagtextIndrag"/>
              <w:spacing w:before="0"/>
              <w:jc w:val="center"/>
            </w:pPr>
            <w:r>
              <w:t>10 §</w:t>
            </w:r>
          </w:p>
        </w:tc>
      </w:tr>
      <w:tr w:rsidR="00000000">
        <w:tblPrEx>
          <w:tblCellMar>
            <w:top w:w="0" w:type="dxa"/>
            <w:bottom w:w="0" w:type="dxa"/>
          </w:tblCellMar>
        </w:tblPrEx>
        <w:tc>
          <w:tcPr>
            <w:tcW w:w="3062" w:type="dxa"/>
          </w:tcPr>
          <w:p w:rsidR="00287BE4" w:rsidRDefault="00287BE4">
            <w:pPr>
              <w:pStyle w:val="LagtextIndrag"/>
              <w:spacing w:before="0"/>
            </w:pPr>
            <w:r>
              <w:t>Ett bankaktiebolag skall ha en st</w:t>
            </w:r>
            <w:r>
              <w:t>y</w:t>
            </w:r>
            <w:r>
              <w:t>relse med minst tre ledamöter. Fle</w:t>
            </w:r>
            <w:r>
              <w:t>r</w:t>
            </w:r>
            <w:r>
              <w:t>talet av ledamöterna skall vara pe</w:t>
            </w:r>
            <w:r>
              <w:t>r</w:t>
            </w:r>
            <w:r>
              <w:t xml:space="preserve">soner som inte är anställda i banken eller i företag som ingår i </w:t>
            </w:r>
            <w:r>
              <w:rPr>
                <w:i/>
              </w:rPr>
              <w:t>samma</w:t>
            </w:r>
            <w:r>
              <w:t xml:space="preserve"> koncern</w:t>
            </w:r>
            <w:r>
              <w:rPr>
                <w:i/>
              </w:rPr>
              <w:t xml:space="preserve"> som</w:t>
            </w:r>
            <w:r>
              <w:t xml:space="preserve"> banken.</w:t>
            </w:r>
          </w:p>
        </w:tc>
        <w:tc>
          <w:tcPr>
            <w:tcW w:w="3062" w:type="dxa"/>
          </w:tcPr>
          <w:p w:rsidR="00287BE4" w:rsidRDefault="00287BE4">
            <w:pPr>
              <w:pStyle w:val="LagtextIndrag"/>
              <w:spacing w:before="0"/>
              <w:rPr>
                <w:i/>
              </w:rPr>
            </w:pPr>
            <w:r>
              <w:t>Ett bankaktiebolag skall ha en st</w:t>
            </w:r>
            <w:r>
              <w:t>y</w:t>
            </w:r>
            <w:r>
              <w:t>relse med minst tre ledamöter. Fle</w:t>
            </w:r>
            <w:r>
              <w:t>r</w:t>
            </w:r>
            <w:r>
              <w:t>talet av ledamöterna skall vara pe</w:t>
            </w:r>
            <w:r>
              <w:t>r</w:t>
            </w:r>
            <w:r>
              <w:t xml:space="preserve">soner som inte är anställda i banken eller i företag som ingår i </w:t>
            </w:r>
            <w:r>
              <w:rPr>
                <w:i/>
              </w:rPr>
              <w:t>en</w:t>
            </w:r>
            <w:r>
              <w:t xml:space="preserve"> koncern </w:t>
            </w:r>
            <w:r>
              <w:rPr>
                <w:i/>
              </w:rPr>
              <w:t xml:space="preserve">där </w:t>
            </w:r>
            <w:r>
              <w:t xml:space="preserve">banken </w:t>
            </w:r>
            <w:r>
              <w:rPr>
                <w:i/>
              </w:rPr>
              <w:t>är moderbolag.</w:t>
            </w:r>
          </w:p>
        </w:tc>
      </w:tr>
    </w:tbl>
    <w:p w:rsidR="00287BE4" w:rsidRDefault="00287BE4">
      <w:pPr>
        <w:sectPr w:rsidR="00000000">
          <w:headerReference w:type="default" r:id="rId13"/>
          <w:footerReference w:type="default" r:id="rId14"/>
          <w:pgSz w:w="11906" w:h="16838" w:code="9"/>
          <w:pgMar w:top="567" w:right="4876" w:bottom="4508" w:left="1134" w:header="227" w:footer="227" w:gutter="0"/>
          <w:cols w:space="720"/>
        </w:sectPr>
      </w:pPr>
    </w:p>
    <w:p w:rsidR="00287BE4" w:rsidRDefault="00287BE4">
      <w:pPr>
        <w:pStyle w:val="Rubrik1"/>
        <w:spacing w:before="123"/>
        <w:jc w:val="left"/>
      </w:pPr>
      <w:r>
        <w:t>Av utskottet framlagt förslag till lag om ändring i lagen (1998:772) om ändring i lagen (1995:1559) om årsredovisning i kreditinstitut och värde</w:t>
      </w:r>
      <w:r>
        <w:softHyphen/>
        <w:t>pappers</w:t>
      </w:r>
      <w:r>
        <w:softHyphen/>
        <w:t>bolag</w:t>
      </w:r>
    </w:p>
    <w:p w:rsidR="00287BE4" w:rsidRDefault="00287BE4">
      <w:pPr>
        <w:pStyle w:val="Normaltindrag"/>
      </w:pPr>
    </w:p>
    <w:p w:rsidR="00287BE4" w:rsidRDefault="00287BE4">
      <w:pPr>
        <w:pStyle w:val="Normaltindrag"/>
      </w:pPr>
      <w:r>
        <w:t>Härigenom föreskrivs att 2 kap. 1 §, 7 kap. 1 § och 9 kap. 1 § lagen (1995: 1559) om årsredovisning i kreditinstitut och värdepappersbolag i paragrafe</w:t>
      </w:r>
      <w:r>
        <w:t>r</w:t>
      </w:r>
      <w:r>
        <w:t>nas lydelse enligt lagen (1998:772) om ändring i nämnda lag skall ha följa</w:t>
      </w:r>
      <w:r>
        <w:t>n</w:t>
      </w:r>
      <w:r>
        <w:t>de lydelse.</w:t>
      </w:r>
    </w:p>
    <w:p w:rsidR="00287BE4" w:rsidRDefault="00287BE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87BE4" w:rsidRDefault="00287BE4">
            <w:pPr>
              <w:pStyle w:val="Lagtext"/>
              <w:spacing w:before="0"/>
              <w:rPr>
                <w:i/>
              </w:rPr>
            </w:pPr>
            <w:r>
              <w:rPr>
                <w:i/>
              </w:rPr>
              <w:t>Lydelse enligt SFS 1998:772</w:t>
            </w:r>
          </w:p>
        </w:tc>
        <w:tc>
          <w:tcPr>
            <w:tcW w:w="3062" w:type="dxa"/>
          </w:tcPr>
          <w:p w:rsidR="00287BE4" w:rsidRDefault="00287BE4">
            <w:pPr>
              <w:pStyle w:val="Lagtext"/>
              <w:spacing w:before="0"/>
              <w:rPr>
                <w:i/>
              </w:rPr>
            </w:pPr>
            <w:r>
              <w:rPr>
                <w:i/>
              </w:rPr>
              <w:t>Utskottets förslag</w:t>
            </w:r>
          </w:p>
        </w:tc>
      </w:tr>
      <w:tr w:rsidR="00000000">
        <w:tblPrEx>
          <w:tblCellMar>
            <w:top w:w="0" w:type="dxa"/>
            <w:bottom w:w="0" w:type="dxa"/>
          </w:tblCellMar>
        </w:tblPrEx>
        <w:tc>
          <w:tcPr>
            <w:tcW w:w="3062" w:type="dxa"/>
          </w:tcPr>
          <w:p w:rsidR="00287BE4" w:rsidRDefault="00287BE4">
            <w:pPr>
              <w:pStyle w:val="LagtextIndrag"/>
              <w:spacing w:before="0"/>
            </w:pPr>
          </w:p>
        </w:tc>
        <w:tc>
          <w:tcPr>
            <w:tcW w:w="3062" w:type="dxa"/>
          </w:tcPr>
          <w:p w:rsidR="00287BE4" w:rsidRDefault="00287BE4">
            <w:pPr>
              <w:pStyle w:val="LagtextIndrag"/>
              <w:spacing w:before="0"/>
            </w:pPr>
          </w:p>
        </w:tc>
      </w:tr>
      <w:tr w:rsidR="00000000">
        <w:tblPrEx>
          <w:tblCellMar>
            <w:top w:w="0" w:type="dxa"/>
            <w:bottom w:w="0" w:type="dxa"/>
          </w:tblCellMar>
        </w:tblPrEx>
        <w:tc>
          <w:tcPr>
            <w:tcW w:w="6124" w:type="dxa"/>
            <w:gridSpan w:val="2"/>
          </w:tcPr>
          <w:p w:rsidR="00287BE4" w:rsidRDefault="00287BE4">
            <w:pPr>
              <w:pStyle w:val="Normaltindrag"/>
              <w:spacing w:line="214" w:lineRule="exact"/>
              <w:jc w:val="center"/>
              <w:rPr>
                <w:b/>
              </w:rPr>
            </w:pPr>
            <w:r>
              <w:rPr>
                <w:b/>
              </w:rPr>
              <w:t>2 kap.</w:t>
            </w:r>
          </w:p>
          <w:p w:rsidR="00287BE4" w:rsidRDefault="00287BE4">
            <w:pPr>
              <w:pStyle w:val="Normaltindrag"/>
              <w:spacing w:line="214" w:lineRule="exact"/>
              <w:jc w:val="center"/>
            </w:pPr>
            <w:r>
              <w:t>1 §</w:t>
            </w:r>
          </w:p>
        </w:tc>
      </w:tr>
      <w:tr w:rsidR="00000000">
        <w:tblPrEx>
          <w:tblCellMar>
            <w:top w:w="0" w:type="dxa"/>
            <w:bottom w:w="0" w:type="dxa"/>
          </w:tblCellMar>
        </w:tblPrEx>
        <w:tc>
          <w:tcPr>
            <w:tcW w:w="6124" w:type="dxa"/>
            <w:gridSpan w:val="2"/>
          </w:tcPr>
          <w:p w:rsidR="00287BE4" w:rsidRDefault="00287BE4">
            <w:pPr>
              <w:pStyle w:val="LagtextIndrag"/>
              <w:spacing w:before="0"/>
            </w:pPr>
            <w:r>
              <w:t>Utöver årsbokslut enligt 11 § bokföringslagen (1976:125) skall krediti</w:t>
            </w:r>
            <w:r>
              <w:t>n</w:t>
            </w:r>
            <w:r>
              <w:t>stitut och värdepappersbolag för varje räkenskapsår upprätta årsredovisning enligt denna lag.</w:t>
            </w:r>
          </w:p>
        </w:tc>
      </w:tr>
      <w:tr w:rsidR="00000000">
        <w:tblPrEx>
          <w:tblCellMar>
            <w:top w:w="0" w:type="dxa"/>
            <w:bottom w:w="0" w:type="dxa"/>
          </w:tblCellMar>
        </w:tblPrEx>
        <w:tc>
          <w:tcPr>
            <w:tcW w:w="3062" w:type="dxa"/>
          </w:tcPr>
          <w:p w:rsidR="00287BE4" w:rsidRDefault="00287BE4">
            <w:pPr>
              <w:pStyle w:val="LagtextIndrag"/>
              <w:spacing w:before="0"/>
            </w:pPr>
            <w:r>
              <w:t>I kreditinstitut eller värdepapper</w:t>
            </w:r>
            <w:r>
              <w:t>s</w:t>
            </w:r>
            <w:r>
              <w:t>bolag som enligt 10 kap. 12 § akti</w:t>
            </w:r>
            <w:r>
              <w:t>e</w:t>
            </w:r>
            <w:r>
              <w:t xml:space="preserve">bolagslagen (1975:1385) </w:t>
            </w:r>
            <w:r>
              <w:rPr>
                <w:i/>
              </w:rPr>
              <w:t>eller</w:t>
            </w:r>
            <w:r>
              <w:t xml:space="preserve"> 4 kap. 3 § första stycket lagen (1980:1103) om årsredovisning i vissa företag m.m. är skyldiga att ha auktoriserad revisor, skall även en finansiering</w:t>
            </w:r>
            <w:r>
              <w:t>s</w:t>
            </w:r>
            <w:r>
              <w:t>analys ingå i årsred</w:t>
            </w:r>
            <w:r>
              <w:t>o</w:t>
            </w:r>
            <w:r>
              <w:t>visningen.</w:t>
            </w:r>
          </w:p>
        </w:tc>
        <w:tc>
          <w:tcPr>
            <w:tcW w:w="3062" w:type="dxa"/>
          </w:tcPr>
          <w:p w:rsidR="00287BE4" w:rsidRDefault="00287BE4">
            <w:pPr>
              <w:pStyle w:val="LagtextIndrag"/>
              <w:spacing w:before="0"/>
            </w:pPr>
            <w:r>
              <w:t>I kreditinstitut eller värdepapper</w:t>
            </w:r>
            <w:r>
              <w:t>s</w:t>
            </w:r>
            <w:r>
              <w:t>bolag som enligt 10 kap. 12 § akti</w:t>
            </w:r>
            <w:r>
              <w:t>e</w:t>
            </w:r>
            <w:r>
              <w:t>bolagslagen (1975:1385)</w:t>
            </w:r>
            <w:r>
              <w:rPr>
                <w:i/>
              </w:rPr>
              <w:t>,</w:t>
            </w:r>
            <w:r>
              <w:t xml:space="preserve"> 4 kap. 3 § första stycket lagen (1980:1103) om årsredovisning i vissa företag m.m. </w:t>
            </w:r>
            <w:r>
              <w:rPr>
                <w:i/>
              </w:rPr>
              <w:t>eller 8 kap. 5 § första stycket lagen (1987:667) om ekonomiska för</w:t>
            </w:r>
            <w:r>
              <w:rPr>
                <w:i/>
              </w:rPr>
              <w:t>e</w:t>
            </w:r>
            <w:r>
              <w:rPr>
                <w:i/>
              </w:rPr>
              <w:t>ningar</w:t>
            </w:r>
            <w:r>
              <w:t xml:space="preserve"> är skyldiga att ha auktoris</w:t>
            </w:r>
            <w:r>
              <w:t>e</w:t>
            </w:r>
            <w:r>
              <w:t>rad revisor, skall även en finansi</w:t>
            </w:r>
            <w:r>
              <w:t>e</w:t>
            </w:r>
            <w:r>
              <w:t>ringsanalys ingå i årsredovisningen.</w:t>
            </w:r>
          </w:p>
        </w:tc>
      </w:tr>
      <w:tr w:rsidR="00000000">
        <w:tblPrEx>
          <w:tblCellMar>
            <w:top w:w="0" w:type="dxa"/>
            <w:bottom w:w="0" w:type="dxa"/>
          </w:tblCellMar>
        </w:tblPrEx>
        <w:tc>
          <w:tcPr>
            <w:tcW w:w="6124" w:type="dxa"/>
            <w:gridSpan w:val="2"/>
          </w:tcPr>
          <w:p w:rsidR="00287BE4" w:rsidRDefault="00287BE4">
            <w:pPr>
              <w:pStyle w:val="LagtextIndrag"/>
              <w:spacing w:before="0"/>
            </w:pPr>
            <w:r>
              <w:t>I kreditinstitut och värdepappersbolag som omfattas av lagen (1994:2004) om kapitaltäckning och stora exponeringar för kreditinstitut och värdepa</w:t>
            </w:r>
            <w:r>
              <w:t>p</w:t>
            </w:r>
            <w:r>
              <w:t>persbolag, skall även en kapitaltäckningsanalys ingå i års</w:t>
            </w:r>
            <w:r>
              <w:softHyphen/>
              <w:t>redovisningen.</w:t>
            </w:r>
          </w:p>
        </w:tc>
      </w:tr>
      <w:tr w:rsidR="00000000">
        <w:tblPrEx>
          <w:tblCellMar>
            <w:top w:w="0" w:type="dxa"/>
            <w:bottom w:w="0" w:type="dxa"/>
          </w:tblCellMar>
        </w:tblPrEx>
        <w:tc>
          <w:tcPr>
            <w:tcW w:w="6124" w:type="dxa"/>
            <w:gridSpan w:val="2"/>
          </w:tcPr>
          <w:p w:rsidR="00287BE4" w:rsidRDefault="00287BE4">
            <w:pPr>
              <w:pStyle w:val="LagtextIndrag"/>
              <w:spacing w:before="0"/>
            </w:pPr>
          </w:p>
        </w:tc>
      </w:tr>
      <w:tr w:rsidR="00000000">
        <w:tblPrEx>
          <w:tblCellMar>
            <w:top w:w="0" w:type="dxa"/>
            <w:bottom w:w="0" w:type="dxa"/>
          </w:tblCellMar>
        </w:tblPrEx>
        <w:tc>
          <w:tcPr>
            <w:tcW w:w="6124" w:type="dxa"/>
            <w:gridSpan w:val="2"/>
          </w:tcPr>
          <w:p w:rsidR="00287BE4" w:rsidRDefault="00287BE4">
            <w:pPr>
              <w:pStyle w:val="Lagtext"/>
              <w:spacing w:before="0"/>
              <w:jc w:val="center"/>
              <w:rPr>
                <w:b/>
              </w:rPr>
            </w:pPr>
            <w:r>
              <w:rPr>
                <w:b/>
              </w:rPr>
              <w:t>7 kap.</w:t>
            </w:r>
          </w:p>
          <w:p w:rsidR="00287BE4" w:rsidRDefault="00287BE4">
            <w:pPr>
              <w:pStyle w:val="Lagtext"/>
              <w:spacing w:before="0"/>
              <w:jc w:val="center"/>
            </w:pPr>
            <w:r>
              <w:t>1 §</w:t>
            </w:r>
          </w:p>
        </w:tc>
      </w:tr>
      <w:tr w:rsidR="00000000">
        <w:tblPrEx>
          <w:tblCellMar>
            <w:top w:w="0" w:type="dxa"/>
            <w:bottom w:w="0" w:type="dxa"/>
          </w:tblCellMar>
        </w:tblPrEx>
        <w:tc>
          <w:tcPr>
            <w:tcW w:w="6124" w:type="dxa"/>
            <w:gridSpan w:val="2"/>
          </w:tcPr>
          <w:p w:rsidR="00287BE4" w:rsidRDefault="00287BE4">
            <w:pPr>
              <w:pStyle w:val="LagtextIndrag"/>
              <w:spacing w:before="0"/>
            </w:pPr>
            <w:r>
              <w:t>Kreditinstitut och värdepappersbolag som är moderföretag och sådana f</w:t>
            </w:r>
            <w:r>
              <w:t>i</w:t>
            </w:r>
            <w:r>
              <w:t>nansiella holdingföretag som avses i 1 kap. 1 § andra stycket skall för varje räkenskapsår upprätta koncernredovisning enligt denna lag, om inte annat följer av 5 §.</w:t>
            </w:r>
          </w:p>
        </w:tc>
      </w:tr>
      <w:tr w:rsidR="00000000">
        <w:tblPrEx>
          <w:tblCellMar>
            <w:top w:w="0" w:type="dxa"/>
            <w:bottom w:w="0" w:type="dxa"/>
          </w:tblCellMar>
        </w:tblPrEx>
        <w:tc>
          <w:tcPr>
            <w:tcW w:w="3062" w:type="dxa"/>
          </w:tcPr>
          <w:p w:rsidR="00287BE4" w:rsidRDefault="00287BE4">
            <w:pPr>
              <w:pStyle w:val="LagtextIndrag"/>
              <w:spacing w:before="0"/>
            </w:pPr>
            <w:r>
              <w:t xml:space="preserve">För moderföretag som enligt 10 kap. 13 § aktiebolagslagen (1975: 1385) </w:t>
            </w:r>
            <w:r>
              <w:rPr>
                <w:i/>
              </w:rPr>
              <w:t>eller</w:t>
            </w:r>
            <w:r>
              <w:t xml:space="preserve"> 4 kap. 3 § andra stycket lagen (1980:1103) om årsredovi</w:t>
            </w:r>
            <w:r>
              <w:t>s</w:t>
            </w:r>
            <w:r>
              <w:t>ning m.m. i vissa företag är skyldiga att ha auktoriserad revisor, skall även en finansieringsanalys ingå i koncernredovisnin</w:t>
            </w:r>
            <w:r>
              <w:t>g</w:t>
            </w:r>
            <w:r>
              <w:t>en.</w:t>
            </w:r>
          </w:p>
        </w:tc>
        <w:tc>
          <w:tcPr>
            <w:tcW w:w="3062" w:type="dxa"/>
          </w:tcPr>
          <w:p w:rsidR="00287BE4" w:rsidRDefault="00287BE4">
            <w:pPr>
              <w:pStyle w:val="LagtextIndrag"/>
              <w:spacing w:before="0"/>
            </w:pPr>
            <w:r>
              <w:t>För moderföretag som enligt 10 kap. 13 § aktiebolagslagen (1975: 1385)</w:t>
            </w:r>
            <w:r>
              <w:rPr>
                <w:i/>
              </w:rPr>
              <w:t>,</w:t>
            </w:r>
            <w:r>
              <w:t xml:space="preserve"> 4 kap. 3 § andra stycket lagen (1980:1103) om årsredovisning m.m. i vissa företag </w:t>
            </w:r>
            <w:r>
              <w:rPr>
                <w:i/>
              </w:rPr>
              <w:t>eller 8 kap. 5 § tredje stycket lagen (1987:667) om ekon</w:t>
            </w:r>
            <w:r>
              <w:rPr>
                <w:i/>
              </w:rPr>
              <w:t>o</w:t>
            </w:r>
            <w:r>
              <w:rPr>
                <w:i/>
              </w:rPr>
              <w:t>miska föreningar</w:t>
            </w:r>
            <w:r>
              <w:t xml:space="preserve"> är skyldiga att ha auktoriserad revisor, skall även en finansieringsanalys ingå i koncer</w:t>
            </w:r>
            <w:r>
              <w:t>n</w:t>
            </w:r>
            <w:r>
              <w:t>redovi</w:t>
            </w:r>
            <w:r>
              <w:t>s</w:t>
            </w:r>
            <w:r>
              <w:t>ningen.</w:t>
            </w:r>
          </w:p>
        </w:tc>
      </w:tr>
      <w:tr w:rsidR="00000000">
        <w:tblPrEx>
          <w:tblCellMar>
            <w:top w:w="0" w:type="dxa"/>
            <w:bottom w:w="0" w:type="dxa"/>
          </w:tblCellMar>
        </w:tblPrEx>
        <w:tc>
          <w:tcPr>
            <w:tcW w:w="6124" w:type="dxa"/>
            <w:gridSpan w:val="2"/>
          </w:tcPr>
          <w:p w:rsidR="00287BE4" w:rsidRDefault="00287BE4">
            <w:pPr>
              <w:pStyle w:val="LagtextIndrag"/>
              <w:spacing w:before="0"/>
            </w:pPr>
            <w:r>
              <w:t>För finansiella holdingföretag som avses i 1 kap. 1 § andra stycket och o</w:t>
            </w:r>
            <w:r>
              <w:t>m</w:t>
            </w:r>
            <w:r>
              <w:t>fattas av lagen (1994:2004) om kapitaltäckning och stora exponeringar för kreditinstitut och värdepappersbolag, skall även en kapitaltäckningsanalys enligt 6 kap. 3 § ingå i koncernredovisningen.</w:t>
            </w:r>
          </w:p>
        </w:tc>
      </w:tr>
      <w:tr w:rsidR="00000000">
        <w:tblPrEx>
          <w:tblCellMar>
            <w:top w:w="0" w:type="dxa"/>
            <w:bottom w:w="0" w:type="dxa"/>
          </w:tblCellMar>
        </w:tblPrEx>
        <w:tc>
          <w:tcPr>
            <w:tcW w:w="3062" w:type="dxa"/>
          </w:tcPr>
          <w:p w:rsidR="00287BE4" w:rsidRDefault="00287BE4">
            <w:pPr>
              <w:pStyle w:val="LagtextIndrag"/>
              <w:spacing w:before="0"/>
            </w:pPr>
          </w:p>
        </w:tc>
        <w:tc>
          <w:tcPr>
            <w:tcW w:w="3062" w:type="dxa"/>
          </w:tcPr>
          <w:p w:rsidR="00287BE4" w:rsidRDefault="00287BE4">
            <w:pPr>
              <w:pStyle w:val="LagtextIndrag"/>
              <w:spacing w:before="0"/>
            </w:pPr>
          </w:p>
        </w:tc>
      </w:tr>
      <w:tr w:rsidR="00000000">
        <w:tblPrEx>
          <w:tblCellMar>
            <w:top w:w="0" w:type="dxa"/>
            <w:bottom w:w="0" w:type="dxa"/>
          </w:tblCellMar>
        </w:tblPrEx>
        <w:tc>
          <w:tcPr>
            <w:tcW w:w="3062" w:type="dxa"/>
          </w:tcPr>
          <w:p w:rsidR="00287BE4" w:rsidRDefault="00287BE4">
            <w:pPr>
              <w:pStyle w:val="LagtextIndrag"/>
              <w:spacing w:before="0"/>
            </w:pPr>
          </w:p>
        </w:tc>
        <w:tc>
          <w:tcPr>
            <w:tcW w:w="3062" w:type="dxa"/>
          </w:tcPr>
          <w:p w:rsidR="00287BE4" w:rsidRDefault="00287BE4">
            <w:pPr>
              <w:pStyle w:val="LagtextIndrag"/>
              <w:spacing w:before="0"/>
            </w:pPr>
          </w:p>
        </w:tc>
      </w:tr>
      <w:tr w:rsidR="00000000">
        <w:tblPrEx>
          <w:tblCellMar>
            <w:top w:w="0" w:type="dxa"/>
            <w:bottom w:w="0" w:type="dxa"/>
          </w:tblCellMar>
        </w:tblPrEx>
        <w:tc>
          <w:tcPr>
            <w:tcW w:w="6124" w:type="dxa"/>
            <w:gridSpan w:val="2"/>
          </w:tcPr>
          <w:p w:rsidR="00287BE4" w:rsidRDefault="00287BE4">
            <w:pPr>
              <w:pStyle w:val="Normaltindrag"/>
              <w:spacing w:line="214" w:lineRule="exact"/>
              <w:jc w:val="center"/>
              <w:rPr>
                <w:b/>
              </w:rPr>
            </w:pPr>
            <w:r>
              <w:rPr>
                <w:b/>
              </w:rPr>
              <w:t>9 kap.</w:t>
            </w:r>
          </w:p>
          <w:p w:rsidR="00287BE4" w:rsidRDefault="00287BE4">
            <w:pPr>
              <w:pStyle w:val="Normaltindrag"/>
              <w:spacing w:line="214" w:lineRule="exact"/>
              <w:jc w:val="center"/>
            </w:pPr>
            <w:r>
              <w:t>1 §</w:t>
            </w:r>
          </w:p>
        </w:tc>
      </w:tr>
      <w:tr w:rsidR="00000000">
        <w:tblPrEx>
          <w:tblCellMar>
            <w:top w:w="0" w:type="dxa"/>
            <w:bottom w:w="0" w:type="dxa"/>
          </w:tblCellMar>
        </w:tblPrEx>
        <w:tc>
          <w:tcPr>
            <w:tcW w:w="3062" w:type="dxa"/>
          </w:tcPr>
          <w:p w:rsidR="00287BE4" w:rsidRDefault="00287BE4">
            <w:pPr>
              <w:pStyle w:val="LagtextIndrag"/>
              <w:spacing w:before="0"/>
            </w:pPr>
            <w:r>
              <w:rPr>
                <w:i/>
              </w:rPr>
              <w:t>Bankaktiebolag, sparbanker, med</w:t>
            </w:r>
            <w:r>
              <w:rPr>
                <w:i/>
              </w:rPr>
              <w:softHyphen/>
              <w:t>lemsbanker och</w:t>
            </w:r>
            <w:r>
              <w:t xml:space="preserve"> hypoteksinstitut skall minst en gång under ett räke</w:t>
            </w:r>
            <w:r>
              <w:t>n</w:t>
            </w:r>
            <w:r>
              <w:t>skapsår som omfattar mer än tio månader avge en särskild redovi</w:t>
            </w:r>
            <w:r>
              <w:t>s</w:t>
            </w:r>
            <w:r>
              <w:t>ning (delårsrapport) enligt denna lag. Detsamma skall gälla aktiebolag som omfattas av denna lag, om bolaget är skyldigt att ha auktoris</w:t>
            </w:r>
            <w:r>
              <w:t>e</w:t>
            </w:r>
            <w:r>
              <w:t xml:space="preserve">rad revisor enligt 10 kap. 12 eller </w:t>
            </w:r>
            <w:r>
              <w:br/>
              <w:t>13 § aktiebolagslagen (1975:1385).</w:t>
            </w:r>
          </w:p>
        </w:tc>
        <w:tc>
          <w:tcPr>
            <w:tcW w:w="3062" w:type="dxa"/>
          </w:tcPr>
          <w:p w:rsidR="00287BE4" w:rsidRDefault="00287BE4">
            <w:pPr>
              <w:pStyle w:val="LagtextIndrag"/>
              <w:spacing w:before="0"/>
            </w:pPr>
            <w:r>
              <w:rPr>
                <w:i/>
              </w:rPr>
              <w:t>Banker, kreditmarknadsföretag,</w:t>
            </w:r>
            <w:r>
              <w:t xml:space="preserve"> hypoteksinstitut </w:t>
            </w:r>
            <w:r>
              <w:rPr>
                <w:i/>
              </w:rPr>
              <w:t>och värdepapper</w:t>
            </w:r>
            <w:r>
              <w:rPr>
                <w:i/>
              </w:rPr>
              <w:t>s</w:t>
            </w:r>
            <w:r>
              <w:rPr>
                <w:i/>
              </w:rPr>
              <w:t>bolag</w:t>
            </w:r>
            <w:r>
              <w:t xml:space="preserve"> skall minst en gång under ett räkenskapsår som omfattar mer än tio månader avge en särskild red</w:t>
            </w:r>
            <w:r>
              <w:t>o</w:t>
            </w:r>
            <w:r>
              <w:t xml:space="preserve">visning (delårsrapport) enligt denna lag. Detsamma skall gälla </w:t>
            </w:r>
            <w:r>
              <w:rPr>
                <w:i/>
              </w:rPr>
              <w:t xml:space="preserve">övriga </w:t>
            </w:r>
            <w:r>
              <w:t>aktiebolag som omfattas av denna lag, om bolaget är skyldigt att ha auktoriserad revisor enligt 10 kap. 12 eller 13 § aktiebolagslagen (1975: 1385).</w:t>
            </w:r>
          </w:p>
        </w:tc>
      </w:tr>
    </w:tbl>
    <w:p w:rsidR="00287BE4" w:rsidRDefault="00287BE4">
      <w:pPr>
        <w:pStyle w:val="Normaltindrag"/>
      </w:pPr>
    </w:p>
    <w:p w:rsidR="00287BE4" w:rsidRDefault="00287BE4"/>
    <w:p w:rsidR="00287BE4" w:rsidRDefault="00287BE4">
      <w:pPr>
        <w:pStyle w:val="Rubrik2"/>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p>
    <w:p w:rsidR="00287BE4" w:rsidRDefault="00287BE4">
      <w:pPr>
        <w:pStyle w:val="Tryckort"/>
      </w:pPr>
      <w:r>
        <w:t>Elanders Gotab, Stockholm  1998</w:t>
      </w:r>
    </w:p>
    <w:sectPr w:rsidR="00287BE4">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BE4" w:rsidRDefault="00287BE4">
      <w:pPr>
        <w:spacing w:before="0" w:line="240" w:lineRule="auto"/>
      </w:pPr>
      <w:r>
        <w:separator/>
      </w:r>
    </w:p>
  </w:endnote>
  <w:endnote w:type="continuationSeparator" w:id="0">
    <w:p w:rsidR="00287BE4" w:rsidRDefault="00287B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87BE4" w:rsidRDefault="00287B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fotH"/>
      <w:framePr w:wrap="around"/>
    </w:pPr>
    <w:r>
      <w:fldChar w:fldCharType="begin" w:fldLock="1"/>
    </w:r>
    <w:r>
      <w:instrText xml:space="preserve"> P</w:instrText>
    </w:r>
    <w:r>
      <w:instrText>A</w:instrText>
    </w:r>
    <w:r>
      <w:instrText xml:space="preserve">GE </w:instrText>
    </w:r>
    <w:r>
      <w:fldChar w:fldCharType="separate"/>
    </w:r>
    <w:r>
      <w:rPr>
        <w:noProof/>
      </w:rPr>
      <w:t>48</w:t>
    </w:r>
    <w:r>
      <w:fldChar w:fldCharType="end"/>
    </w:r>
  </w:p>
  <w:p w:rsidR="00287BE4" w:rsidRDefault="00287B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fotH"/>
      <w:framePr w:wrap="around"/>
    </w:pPr>
    <w:r>
      <w:fldChar w:fldCharType="begin" w:fldLock="1"/>
    </w:r>
    <w:r>
      <w:instrText xml:space="preserve"> P</w:instrText>
    </w:r>
    <w:r>
      <w:instrText>A</w:instrText>
    </w:r>
    <w:r>
      <w:instrText xml:space="preserve">GE </w:instrText>
    </w:r>
    <w:r>
      <w:fldChar w:fldCharType="separate"/>
    </w:r>
    <w:r>
      <w:rPr>
        <w:noProof/>
      </w:rPr>
      <w:t>49</w:t>
    </w:r>
    <w:r>
      <w:fldChar w:fldCharType="end"/>
    </w:r>
  </w:p>
  <w:p w:rsidR="00287BE4" w:rsidRDefault="00287B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fotH"/>
      <w:framePr w:wrap="around"/>
    </w:pPr>
    <w:r>
      <w:fldChar w:fldCharType="begin" w:fldLock="1"/>
    </w:r>
    <w:r>
      <w:instrText xml:space="preserve"> P</w:instrText>
    </w:r>
    <w:r>
      <w:instrText>A</w:instrText>
    </w:r>
    <w:r>
      <w:instrText xml:space="preserve">GE </w:instrText>
    </w:r>
    <w:r>
      <w:fldChar w:fldCharType="separate"/>
    </w:r>
    <w:r>
      <w:rPr>
        <w:noProof/>
      </w:rPr>
      <w:t>50</w:t>
    </w:r>
    <w:r>
      <w:fldChar w:fldCharType="end"/>
    </w:r>
  </w:p>
  <w:p w:rsidR="00287BE4" w:rsidRDefault="00287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BE4" w:rsidRDefault="00287BE4">
      <w:pPr>
        <w:spacing w:before="0" w:line="240" w:lineRule="auto"/>
      </w:pPr>
      <w:r>
        <w:separator/>
      </w:r>
    </w:p>
  </w:footnote>
  <w:footnote w:type="continuationSeparator" w:id="0">
    <w:p w:rsidR="00287BE4" w:rsidRDefault="00287B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huvudKant"/>
      <w:framePr w:w="1985" w:h="2743" w:hRule="exact" w:wrap="around" w:vAnchor="page" w:hAnchor="page" w:x="7372" w:y="568" w:anchorLock="0"/>
    </w:pPr>
  </w:p>
  <w:p w:rsidR="00287BE4" w:rsidRDefault="00287B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huvudKant"/>
      <w:framePr w:w="1985" w:h="2743" w:hRule="exact" w:wrap="around" w:vAnchor="page" w:hAnchor="page" w:x="7372" w:y="568" w:anchorLock="0"/>
      <w:rPr>
        <w:noProof/>
      </w:rPr>
    </w:pPr>
    <w:r>
      <w:rPr>
        <w:noProof/>
      </w:rPr>
      <w:t>1998/99:LU4</w:t>
    </w:r>
  </w:p>
  <w:p w:rsidR="00287BE4" w:rsidRDefault="00287BE4">
    <w:pPr>
      <w:pStyle w:val="SidhuvudKantBilaga"/>
      <w:framePr w:w="1985" w:h="2743" w:hRule="exact" w:wrap="around" w:vAnchor="page" w:hAnchor="page" w:x="7372" w:y="568" w:anchorLock="0"/>
      <w:rPr>
        <w:noProof/>
      </w:rPr>
    </w:pPr>
    <w:r>
      <w:rPr>
        <w:noProof/>
      </w:rPr>
      <w:t>Bilaga 1</w:t>
    </w:r>
  </w:p>
  <w:p w:rsidR="00287BE4" w:rsidRDefault="00287BE4">
    <w:pPr>
      <w:pStyle w:val="SidhuvudKant"/>
      <w:framePr w:w="1985" w:h="2743" w:hRule="exact" w:wrap="around" w:vAnchor="page" w:hAnchor="page" w:x="7372" w:y="568" w:anchorLock="0"/>
    </w:pPr>
  </w:p>
  <w:p w:rsidR="00287BE4" w:rsidRDefault="00287B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huvudKant"/>
      <w:framePr w:w="1985" w:h="2743" w:hRule="exact" w:wrap="around" w:vAnchor="page" w:hAnchor="page" w:x="7372" w:y="568" w:anchorLock="0"/>
      <w:rPr>
        <w:noProof/>
      </w:rPr>
    </w:pPr>
    <w:r>
      <w:rPr>
        <w:noProof/>
      </w:rPr>
      <w:t>1998/99:LU4</w:t>
    </w:r>
  </w:p>
  <w:p w:rsidR="00287BE4" w:rsidRDefault="00287BE4">
    <w:pPr>
      <w:pStyle w:val="SidhuvudKantBilaga"/>
      <w:framePr w:w="1985" w:h="2743" w:hRule="exact" w:wrap="around" w:vAnchor="page" w:hAnchor="page" w:x="7372" w:y="568" w:anchorLock="0"/>
      <w:rPr>
        <w:noProof/>
      </w:rPr>
    </w:pPr>
    <w:r>
      <w:rPr>
        <w:noProof/>
      </w:rPr>
      <w:t>Bilaga 2</w:t>
    </w:r>
  </w:p>
  <w:p w:rsidR="00287BE4" w:rsidRDefault="00287BE4">
    <w:pPr>
      <w:pStyle w:val="SidhuvudKant"/>
      <w:framePr w:w="1985" w:h="2743" w:hRule="exact" w:wrap="around" w:vAnchor="page" w:hAnchor="page" w:x="7372" w:y="568" w:anchorLock="0"/>
    </w:pPr>
  </w:p>
  <w:p w:rsidR="00287BE4" w:rsidRDefault="00287BE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E4" w:rsidRDefault="00287BE4">
    <w:pPr>
      <w:pStyle w:val="SidhuvudKant"/>
      <w:framePr w:w="1985" w:h="2743" w:hRule="exact" w:wrap="around" w:vAnchor="page" w:hAnchor="page" w:x="7372" w:y="568" w:anchorLock="0"/>
      <w:rPr>
        <w:noProof/>
      </w:rPr>
    </w:pPr>
    <w:r>
      <w:rPr>
        <w:noProof/>
      </w:rPr>
      <w:t>1998/99:LU4</w:t>
    </w:r>
  </w:p>
  <w:p w:rsidR="00287BE4" w:rsidRDefault="00287BE4">
    <w:pPr>
      <w:pStyle w:val="SidhuvudKantBilaga"/>
      <w:framePr w:w="1985" w:h="2743" w:hRule="exact" w:wrap="around" w:vAnchor="page" w:hAnchor="page" w:x="7372" w:y="568" w:anchorLock="0"/>
      <w:rPr>
        <w:noProof/>
      </w:rPr>
    </w:pPr>
    <w:r>
      <w:rPr>
        <w:noProof/>
      </w:rPr>
      <w:t>Bilaga 3</w:t>
    </w:r>
  </w:p>
  <w:p w:rsidR="00287BE4" w:rsidRDefault="00287BE4">
    <w:pPr>
      <w:pStyle w:val="SidhuvudKant"/>
      <w:framePr w:w="1985" w:h="2743" w:hRule="exact" w:wrap="around" w:vAnchor="page" w:hAnchor="page" w:x="7372" w:y="568" w:anchorLock="0"/>
    </w:pPr>
  </w:p>
  <w:p w:rsidR="00287BE4" w:rsidRDefault="00287B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F80E3A"/>
    <w:rsid w:val="00287BE4"/>
    <w:rsid w:val="007A1CD1"/>
    <w:rsid w:val="00F80E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0B6F3B-C233-479A-BE10-B681F25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3268</Words>
  <Characters>20786</Characters>
  <Application>Microsoft Office Word</Application>
  <DocSecurity>4</DocSecurity>
  <Lines>547</Lines>
  <Paragraphs>142</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1998-11-16T13:37:00Z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