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53D" w:rsidRPr="00E4053D" w:rsidRDefault="00E4053D">
      <w:pPr>
        <w:pStyle w:val="Frslagsrubrik"/>
        <w:shd w:val="clear" w:color="000000" w:fill="auto"/>
      </w:pPr>
      <w:r w:rsidRPr="00E4053D">
        <w:t>Förslag till riksdagsbeslut</w:t>
      </w:r>
    </w:p>
    <w:p w:rsidR="00E4053D" w:rsidRPr="00E4053D" w:rsidRDefault="00E4053D">
      <w:pPr>
        <w:pStyle w:val="Hemstlatt"/>
        <w:numPr>
          <w:ilvl w:val="0"/>
          <w:numId w:val="1"/>
        </w:numPr>
        <w:shd w:val="clear" w:color="000000" w:fill="auto"/>
      </w:pPr>
      <w:r w:rsidRPr="00E4053D">
        <w:rPr>
          <w:color w:val="000000"/>
        </w:rPr>
        <w:t>Riksdagen avslår regeringens förslag om ett b</w:t>
      </w:r>
      <w:r w:rsidRPr="00E4053D">
        <w:rPr>
          <w:color w:val="000000"/>
        </w:rPr>
        <w:t>e</w:t>
      </w:r>
      <w:r w:rsidRPr="00E4053D">
        <w:rPr>
          <w:color w:val="000000"/>
        </w:rPr>
        <w:t>myndigande till regeringen att under 2010 besluta om en kredit till Let</w:t>
      </w:r>
      <w:r w:rsidRPr="00E4053D">
        <w:rPr>
          <w:color w:val="000000"/>
        </w:rPr>
        <w:t>t</w:t>
      </w:r>
      <w:r w:rsidRPr="00E4053D">
        <w:rPr>
          <w:color w:val="000000"/>
        </w:rPr>
        <w:t>land på högst 720 000 000 euro.</w:t>
      </w:r>
    </w:p>
    <w:p w:rsidR="00E4053D" w:rsidRPr="00E4053D" w:rsidRDefault="00E4053D">
      <w:pPr>
        <w:pStyle w:val="Hemstlatt"/>
        <w:numPr>
          <w:ilvl w:val="0"/>
          <w:numId w:val="1"/>
        </w:numPr>
        <w:shd w:val="clear" w:color="000000" w:fill="auto"/>
      </w:pPr>
      <w:r w:rsidRPr="00E4053D">
        <w:rPr>
          <w:color w:val="000000"/>
        </w:rPr>
        <w:t>Riksdagen tillkännager för regeringen som sin mening vad som anförs i motionen om fortsatta förhandlingar med Let</w:t>
      </w:r>
      <w:r w:rsidRPr="00E4053D">
        <w:rPr>
          <w:color w:val="000000"/>
        </w:rPr>
        <w:t>t</w:t>
      </w:r>
      <w:r w:rsidRPr="00E4053D">
        <w:rPr>
          <w:color w:val="000000"/>
        </w:rPr>
        <w:t>land.</w:t>
      </w:r>
    </w:p>
    <w:p w:rsidR="00E4053D" w:rsidRPr="00E4053D" w:rsidRDefault="00E4053D">
      <w:pPr>
        <w:pStyle w:val="Hemstlatt"/>
        <w:numPr>
          <w:ilvl w:val="0"/>
          <w:numId w:val="1"/>
        </w:numPr>
        <w:shd w:val="clear" w:color="000000" w:fill="auto"/>
      </w:pPr>
      <w:r w:rsidRPr="00E4053D">
        <w:rPr>
          <w:color w:val="000000"/>
        </w:rPr>
        <w:t>Riksdagen tillkännager för regeringen som sin mening vad som anförs i motionen om förstärkning av Riksgäldskontorets styre</w:t>
      </w:r>
      <w:r w:rsidRPr="00E4053D">
        <w:rPr>
          <w:color w:val="000000"/>
        </w:rPr>
        <w:t>l</w:t>
      </w:r>
      <w:r w:rsidRPr="00E4053D">
        <w:rPr>
          <w:color w:val="000000"/>
        </w:rPr>
        <w:t>se.</w:t>
      </w:r>
    </w:p>
    <w:p w:rsidR="00E4053D" w:rsidRPr="00E4053D" w:rsidRDefault="00E4053D">
      <w:pPr>
        <w:pStyle w:val="Hemstlatt"/>
        <w:numPr>
          <w:ilvl w:val="0"/>
          <w:numId w:val="1"/>
        </w:numPr>
        <w:shd w:val="clear" w:color="000000" w:fill="auto"/>
      </w:pPr>
      <w:r w:rsidRPr="00E4053D">
        <w:t>Riksdagen anvisar med följande ändringar i förhållande till regeringens förslag anslagen under utgiftsområde 2 Samhällsekonomi och finansförvaltning enligt uppställning:</w:t>
      </w:r>
    </w:p>
    <w:tbl>
      <w:tblPr>
        <w:tblW w:w="6067" w:type="dxa"/>
        <w:tblInd w:w="55" w:type="dxa"/>
        <w:tblBorders>
          <w:top w:val="single" w:sz="4" w:space="0" w:color="auto"/>
          <w:bottom w:val="single" w:sz="4" w:space="0" w:color="auto"/>
        </w:tblBorders>
        <w:tblLayout w:type="fixed"/>
        <w:tblCellMar>
          <w:left w:w="70" w:type="dxa"/>
          <w:right w:w="70" w:type="dxa"/>
        </w:tblCellMar>
        <w:tblLook w:val="00BF" w:firstRow="1" w:lastRow="0" w:firstColumn="1" w:lastColumn="0" w:noHBand="0" w:noVBand="0"/>
      </w:tblPr>
      <w:tblGrid>
        <w:gridCol w:w="2895"/>
        <w:gridCol w:w="1560"/>
        <w:gridCol w:w="1612"/>
      </w:tblGrid>
      <w:tr w:rsidR="00000000" w:rsidRPr="00E4053D">
        <w:trPr>
          <w:trHeight w:val="315"/>
        </w:trPr>
        <w:tc>
          <w:tcPr>
            <w:tcW w:w="2895" w:type="dxa"/>
            <w:tcBorders>
              <w:top w:val="single" w:sz="4" w:space="0" w:color="auto"/>
              <w:bottom w:val="single" w:sz="4" w:space="0" w:color="auto"/>
            </w:tcBorders>
            <w:vAlign w:val="bottom"/>
          </w:tcPr>
          <w:p w:rsidR="00E4053D" w:rsidRPr="00E4053D" w:rsidRDefault="00E4053D">
            <w:pPr>
              <w:shd w:val="clear" w:color="000000" w:fill="auto"/>
              <w:autoSpaceDE w:val="0"/>
              <w:autoSpaceDN w:val="0"/>
              <w:adjustRightInd w:val="0"/>
              <w:spacing w:before="60" w:line="200" w:lineRule="exact"/>
              <w:rPr>
                <w:b/>
                <w:bCs/>
                <w:color w:val="000000"/>
                <w:sz w:val="16"/>
                <w:szCs w:val="16"/>
              </w:rPr>
            </w:pPr>
            <w:r w:rsidRPr="00E4053D">
              <w:rPr>
                <w:b/>
                <w:bCs/>
                <w:color w:val="000000"/>
                <w:sz w:val="16"/>
                <w:szCs w:val="16"/>
              </w:rPr>
              <w:t xml:space="preserve">Anslag </w:t>
            </w:r>
          </w:p>
        </w:tc>
        <w:tc>
          <w:tcPr>
            <w:tcW w:w="1560" w:type="dxa"/>
            <w:tcBorders>
              <w:top w:val="single" w:sz="4" w:space="0" w:color="auto"/>
              <w:bottom w:val="single" w:sz="4" w:space="0" w:color="auto"/>
            </w:tcBorders>
            <w:vAlign w:val="bottom"/>
          </w:tcPr>
          <w:p w:rsidR="00E4053D" w:rsidRPr="00E4053D" w:rsidRDefault="00E4053D">
            <w:pPr>
              <w:shd w:val="clear" w:color="000000" w:fill="auto"/>
              <w:autoSpaceDE w:val="0"/>
              <w:autoSpaceDN w:val="0"/>
              <w:adjustRightInd w:val="0"/>
              <w:spacing w:before="60" w:line="200" w:lineRule="exact"/>
              <w:jc w:val="right"/>
              <w:rPr>
                <w:b/>
                <w:bCs/>
                <w:color w:val="000000"/>
                <w:sz w:val="16"/>
                <w:szCs w:val="16"/>
              </w:rPr>
            </w:pPr>
            <w:r w:rsidRPr="00E4053D">
              <w:rPr>
                <w:b/>
                <w:bCs/>
                <w:color w:val="000000"/>
                <w:sz w:val="16"/>
                <w:szCs w:val="16"/>
              </w:rPr>
              <w:t>Regeringens förslag</w:t>
            </w:r>
          </w:p>
          <w:p w:rsidR="00E4053D" w:rsidRPr="00E4053D" w:rsidRDefault="00E4053D">
            <w:pPr>
              <w:shd w:val="clear" w:color="000000" w:fill="auto"/>
              <w:autoSpaceDE w:val="0"/>
              <w:autoSpaceDN w:val="0"/>
              <w:adjustRightInd w:val="0"/>
              <w:spacing w:before="60" w:line="200" w:lineRule="exact"/>
              <w:jc w:val="right"/>
              <w:rPr>
                <w:b/>
                <w:bCs/>
                <w:color w:val="000000"/>
                <w:sz w:val="16"/>
                <w:szCs w:val="16"/>
              </w:rPr>
            </w:pPr>
            <w:r w:rsidRPr="00E4053D">
              <w:rPr>
                <w:b/>
                <w:bCs/>
                <w:color w:val="000000"/>
                <w:sz w:val="16"/>
                <w:szCs w:val="16"/>
              </w:rPr>
              <w:t>(tkr)</w:t>
            </w:r>
          </w:p>
        </w:tc>
        <w:tc>
          <w:tcPr>
            <w:tcW w:w="1612" w:type="dxa"/>
            <w:tcBorders>
              <w:top w:val="single" w:sz="4" w:space="0" w:color="auto"/>
              <w:bottom w:val="single" w:sz="4" w:space="0" w:color="auto"/>
            </w:tcBorders>
            <w:vAlign w:val="bottom"/>
          </w:tcPr>
          <w:p w:rsidR="00E4053D" w:rsidRPr="00E4053D" w:rsidRDefault="00E4053D">
            <w:pPr>
              <w:shd w:val="clear" w:color="000000" w:fill="auto"/>
              <w:autoSpaceDE w:val="0"/>
              <w:autoSpaceDN w:val="0"/>
              <w:adjustRightInd w:val="0"/>
              <w:spacing w:before="60" w:line="200" w:lineRule="exact"/>
              <w:jc w:val="right"/>
              <w:rPr>
                <w:b/>
                <w:bCs/>
                <w:color w:val="000000"/>
                <w:sz w:val="16"/>
                <w:szCs w:val="16"/>
              </w:rPr>
            </w:pPr>
            <w:r w:rsidRPr="00E4053D">
              <w:rPr>
                <w:b/>
                <w:bCs/>
                <w:color w:val="000000"/>
                <w:sz w:val="16"/>
                <w:szCs w:val="16"/>
              </w:rPr>
              <w:t>Anslagsförändring</w:t>
            </w:r>
          </w:p>
          <w:p w:rsidR="00E4053D" w:rsidRPr="00E4053D" w:rsidRDefault="00E4053D">
            <w:pPr>
              <w:shd w:val="clear" w:color="000000" w:fill="auto"/>
              <w:autoSpaceDE w:val="0"/>
              <w:autoSpaceDN w:val="0"/>
              <w:adjustRightInd w:val="0"/>
              <w:spacing w:before="60" w:line="200" w:lineRule="exact"/>
              <w:jc w:val="right"/>
              <w:rPr>
                <w:b/>
                <w:bCs/>
                <w:color w:val="000000"/>
                <w:sz w:val="16"/>
                <w:szCs w:val="16"/>
              </w:rPr>
            </w:pPr>
            <w:r w:rsidRPr="00E4053D">
              <w:rPr>
                <w:b/>
                <w:bCs/>
                <w:color w:val="000000"/>
                <w:sz w:val="16"/>
                <w:szCs w:val="16"/>
              </w:rPr>
              <w:t>(tkr)</w:t>
            </w:r>
          </w:p>
        </w:tc>
      </w:tr>
      <w:tr w:rsidR="00000000" w:rsidRPr="00E4053D">
        <w:trPr>
          <w:trHeight w:val="315"/>
        </w:trPr>
        <w:tc>
          <w:tcPr>
            <w:tcW w:w="2895" w:type="dxa"/>
            <w:tcBorders>
              <w:top w:val="single" w:sz="4" w:space="0" w:color="auto"/>
            </w:tcBorders>
            <w:vAlign w:val="bottom"/>
          </w:tcPr>
          <w:p w:rsidR="00E4053D" w:rsidRPr="00E4053D" w:rsidRDefault="00E4053D">
            <w:pPr>
              <w:shd w:val="clear" w:color="000000" w:fill="auto"/>
              <w:autoSpaceDE w:val="0"/>
              <w:autoSpaceDN w:val="0"/>
              <w:adjustRightInd w:val="0"/>
              <w:spacing w:before="60" w:line="200" w:lineRule="exact"/>
              <w:rPr>
                <w:color w:val="000000"/>
                <w:sz w:val="16"/>
                <w:szCs w:val="16"/>
              </w:rPr>
            </w:pPr>
            <w:r w:rsidRPr="00E4053D">
              <w:rPr>
                <w:iCs/>
                <w:color w:val="000000"/>
                <w:sz w:val="16"/>
                <w:szCs w:val="16"/>
              </w:rPr>
              <w:t>1:4</w:t>
            </w:r>
            <w:r w:rsidRPr="00E4053D">
              <w:rPr>
                <w:color w:val="000000"/>
                <w:sz w:val="16"/>
                <w:szCs w:val="16"/>
              </w:rPr>
              <w:t xml:space="preserve"> Arbetsgivarpolitiska frågor</w:t>
            </w:r>
          </w:p>
        </w:tc>
        <w:tc>
          <w:tcPr>
            <w:tcW w:w="1560" w:type="dxa"/>
            <w:tcBorders>
              <w:top w:val="single" w:sz="4" w:space="0" w:color="auto"/>
            </w:tcBorders>
            <w:vAlign w:val="bottom"/>
          </w:tcPr>
          <w:p w:rsidR="00E4053D" w:rsidRPr="00E4053D" w:rsidRDefault="00E4053D">
            <w:pPr>
              <w:shd w:val="clear" w:color="000000" w:fill="auto"/>
              <w:autoSpaceDE w:val="0"/>
              <w:autoSpaceDN w:val="0"/>
              <w:adjustRightInd w:val="0"/>
              <w:spacing w:before="60" w:line="200" w:lineRule="exact"/>
              <w:ind w:right="309"/>
              <w:jc w:val="right"/>
              <w:rPr>
                <w:color w:val="000000"/>
                <w:sz w:val="16"/>
                <w:szCs w:val="16"/>
              </w:rPr>
            </w:pPr>
            <w:r w:rsidRPr="00E4053D">
              <w:rPr>
                <w:color w:val="000000"/>
                <w:sz w:val="16"/>
                <w:szCs w:val="16"/>
              </w:rPr>
              <w:t>18 553</w:t>
            </w:r>
          </w:p>
        </w:tc>
        <w:tc>
          <w:tcPr>
            <w:tcW w:w="1612" w:type="dxa"/>
            <w:tcBorders>
              <w:top w:val="single" w:sz="4" w:space="0" w:color="auto"/>
            </w:tcBorders>
            <w:vAlign w:val="bottom"/>
          </w:tcPr>
          <w:p w:rsidR="00E4053D" w:rsidRPr="00E4053D" w:rsidRDefault="00E4053D">
            <w:pPr>
              <w:shd w:val="clear" w:color="000000" w:fill="auto"/>
              <w:autoSpaceDE w:val="0"/>
              <w:autoSpaceDN w:val="0"/>
              <w:adjustRightInd w:val="0"/>
              <w:spacing w:before="60" w:line="200" w:lineRule="exact"/>
              <w:ind w:right="309"/>
              <w:jc w:val="right"/>
              <w:rPr>
                <w:color w:val="000000"/>
                <w:sz w:val="16"/>
                <w:szCs w:val="16"/>
              </w:rPr>
            </w:pPr>
            <w:r w:rsidRPr="00E4053D">
              <w:rPr>
                <w:color w:val="000000"/>
                <w:sz w:val="16"/>
                <w:szCs w:val="16"/>
              </w:rPr>
              <w:t>–9 000</w:t>
            </w:r>
          </w:p>
        </w:tc>
      </w:tr>
      <w:tr w:rsidR="00000000" w:rsidRPr="00E4053D">
        <w:trPr>
          <w:trHeight w:val="315"/>
        </w:trPr>
        <w:tc>
          <w:tcPr>
            <w:tcW w:w="2895" w:type="dxa"/>
            <w:vAlign w:val="bottom"/>
          </w:tcPr>
          <w:p w:rsidR="00E4053D" w:rsidRPr="00E4053D" w:rsidRDefault="00E4053D">
            <w:pPr>
              <w:shd w:val="clear" w:color="000000" w:fill="auto"/>
              <w:autoSpaceDE w:val="0"/>
              <w:autoSpaceDN w:val="0"/>
              <w:adjustRightInd w:val="0"/>
              <w:spacing w:before="60" w:line="200" w:lineRule="exact"/>
              <w:rPr>
                <w:color w:val="000000"/>
                <w:sz w:val="16"/>
                <w:szCs w:val="16"/>
              </w:rPr>
            </w:pPr>
            <w:r w:rsidRPr="00E4053D">
              <w:rPr>
                <w:iCs/>
                <w:color w:val="000000"/>
                <w:sz w:val="16"/>
                <w:szCs w:val="16"/>
              </w:rPr>
              <w:t xml:space="preserve">1:8 </w:t>
            </w:r>
            <w:r w:rsidRPr="00E4053D">
              <w:rPr>
                <w:color w:val="000000"/>
                <w:sz w:val="16"/>
                <w:szCs w:val="16"/>
              </w:rPr>
              <w:t>Ekonomistyrningsverket</w:t>
            </w:r>
          </w:p>
        </w:tc>
        <w:tc>
          <w:tcPr>
            <w:tcW w:w="1560" w:type="dxa"/>
            <w:vAlign w:val="bottom"/>
          </w:tcPr>
          <w:p w:rsidR="00E4053D" w:rsidRPr="00E4053D" w:rsidRDefault="00E4053D">
            <w:pPr>
              <w:shd w:val="clear" w:color="000000" w:fill="auto"/>
              <w:autoSpaceDE w:val="0"/>
              <w:autoSpaceDN w:val="0"/>
              <w:adjustRightInd w:val="0"/>
              <w:spacing w:before="60" w:line="200" w:lineRule="exact"/>
              <w:ind w:right="309"/>
              <w:jc w:val="right"/>
              <w:rPr>
                <w:color w:val="000000"/>
                <w:sz w:val="16"/>
                <w:szCs w:val="16"/>
              </w:rPr>
            </w:pPr>
            <w:r w:rsidRPr="00E4053D">
              <w:rPr>
                <w:color w:val="000000"/>
                <w:sz w:val="16"/>
                <w:szCs w:val="16"/>
              </w:rPr>
              <w:t>124 070</w:t>
            </w:r>
          </w:p>
        </w:tc>
        <w:tc>
          <w:tcPr>
            <w:tcW w:w="1612" w:type="dxa"/>
            <w:vAlign w:val="bottom"/>
          </w:tcPr>
          <w:p w:rsidR="00E4053D" w:rsidRPr="00E4053D" w:rsidRDefault="00E4053D">
            <w:pPr>
              <w:shd w:val="clear" w:color="000000" w:fill="auto"/>
              <w:autoSpaceDE w:val="0"/>
              <w:autoSpaceDN w:val="0"/>
              <w:adjustRightInd w:val="0"/>
              <w:spacing w:before="60" w:line="200" w:lineRule="exact"/>
              <w:ind w:right="309"/>
              <w:jc w:val="right"/>
              <w:rPr>
                <w:color w:val="000000"/>
                <w:sz w:val="16"/>
                <w:szCs w:val="16"/>
              </w:rPr>
            </w:pPr>
            <w:r w:rsidRPr="00E4053D">
              <w:rPr>
                <w:color w:val="000000"/>
                <w:sz w:val="16"/>
                <w:szCs w:val="16"/>
              </w:rPr>
              <w:t>5 000</w:t>
            </w:r>
          </w:p>
        </w:tc>
      </w:tr>
      <w:tr w:rsidR="00000000" w:rsidRPr="00E4053D">
        <w:trPr>
          <w:trHeight w:val="315"/>
        </w:trPr>
        <w:tc>
          <w:tcPr>
            <w:tcW w:w="2895" w:type="dxa"/>
            <w:vAlign w:val="bottom"/>
          </w:tcPr>
          <w:p w:rsidR="00E4053D" w:rsidRPr="00E4053D" w:rsidRDefault="00E4053D">
            <w:pPr>
              <w:shd w:val="clear" w:color="000000" w:fill="auto"/>
              <w:autoSpaceDE w:val="0"/>
              <w:autoSpaceDN w:val="0"/>
              <w:adjustRightInd w:val="0"/>
              <w:spacing w:before="60" w:line="200" w:lineRule="exact"/>
              <w:rPr>
                <w:iCs/>
                <w:color w:val="000000"/>
                <w:sz w:val="16"/>
                <w:szCs w:val="16"/>
              </w:rPr>
            </w:pPr>
            <w:r w:rsidRPr="00E4053D">
              <w:rPr>
                <w:sz w:val="16"/>
                <w:szCs w:val="16"/>
              </w:rPr>
              <w:t>Nytt anslag: Praktik i statliga myndigheter</w:t>
            </w:r>
          </w:p>
        </w:tc>
        <w:tc>
          <w:tcPr>
            <w:tcW w:w="1560" w:type="dxa"/>
            <w:vAlign w:val="bottom"/>
          </w:tcPr>
          <w:p w:rsidR="00E4053D" w:rsidRPr="00E4053D" w:rsidRDefault="00E4053D">
            <w:pPr>
              <w:shd w:val="clear" w:color="000000" w:fill="auto"/>
              <w:autoSpaceDE w:val="0"/>
              <w:autoSpaceDN w:val="0"/>
              <w:adjustRightInd w:val="0"/>
              <w:spacing w:before="60" w:line="200" w:lineRule="exact"/>
              <w:ind w:right="309"/>
              <w:jc w:val="right"/>
              <w:rPr>
                <w:color w:val="000000"/>
                <w:sz w:val="16"/>
                <w:szCs w:val="16"/>
              </w:rPr>
            </w:pPr>
            <w:r w:rsidRPr="00E4053D">
              <w:rPr>
                <w:sz w:val="16"/>
                <w:szCs w:val="16"/>
              </w:rPr>
              <w:t>0</w:t>
            </w:r>
          </w:p>
        </w:tc>
        <w:tc>
          <w:tcPr>
            <w:tcW w:w="1612" w:type="dxa"/>
            <w:vAlign w:val="bottom"/>
          </w:tcPr>
          <w:p w:rsidR="00E4053D" w:rsidRPr="00E4053D" w:rsidRDefault="00E4053D">
            <w:pPr>
              <w:shd w:val="clear" w:color="000000" w:fill="auto"/>
              <w:autoSpaceDE w:val="0"/>
              <w:autoSpaceDN w:val="0"/>
              <w:adjustRightInd w:val="0"/>
              <w:spacing w:before="60" w:line="200" w:lineRule="exact"/>
              <w:ind w:right="309"/>
              <w:jc w:val="right"/>
              <w:rPr>
                <w:color w:val="000000"/>
                <w:sz w:val="16"/>
                <w:szCs w:val="16"/>
              </w:rPr>
            </w:pPr>
            <w:r w:rsidRPr="00E4053D">
              <w:rPr>
                <w:sz w:val="16"/>
                <w:szCs w:val="16"/>
              </w:rPr>
              <w:t>200 000</w:t>
            </w:r>
          </w:p>
        </w:tc>
      </w:tr>
      <w:tr w:rsidR="00000000" w:rsidRPr="00E4053D">
        <w:trPr>
          <w:trHeight w:val="315"/>
        </w:trPr>
        <w:tc>
          <w:tcPr>
            <w:tcW w:w="2895" w:type="dxa"/>
            <w:vAlign w:val="bottom"/>
          </w:tcPr>
          <w:p w:rsidR="00E4053D" w:rsidRPr="00E4053D" w:rsidRDefault="00E4053D">
            <w:pPr>
              <w:shd w:val="clear" w:color="000000" w:fill="auto"/>
              <w:autoSpaceDE w:val="0"/>
              <w:autoSpaceDN w:val="0"/>
              <w:adjustRightInd w:val="0"/>
              <w:spacing w:before="60" w:line="200" w:lineRule="exact"/>
              <w:rPr>
                <w:b/>
                <w:bCs/>
                <w:color w:val="000000"/>
                <w:sz w:val="16"/>
                <w:szCs w:val="16"/>
              </w:rPr>
            </w:pPr>
            <w:r w:rsidRPr="00E4053D">
              <w:rPr>
                <w:b/>
                <w:bCs/>
                <w:color w:val="000000"/>
                <w:sz w:val="16"/>
                <w:szCs w:val="16"/>
              </w:rPr>
              <w:t>Summa</w:t>
            </w:r>
          </w:p>
        </w:tc>
        <w:tc>
          <w:tcPr>
            <w:tcW w:w="1560" w:type="dxa"/>
            <w:vAlign w:val="bottom"/>
          </w:tcPr>
          <w:p w:rsidR="00E4053D" w:rsidRPr="00E4053D" w:rsidRDefault="00E4053D">
            <w:pPr>
              <w:shd w:val="clear" w:color="000000" w:fill="auto"/>
              <w:autoSpaceDE w:val="0"/>
              <w:autoSpaceDN w:val="0"/>
              <w:adjustRightInd w:val="0"/>
              <w:spacing w:before="60" w:line="200" w:lineRule="exact"/>
              <w:ind w:right="309"/>
              <w:jc w:val="right"/>
              <w:rPr>
                <w:b/>
                <w:color w:val="000000"/>
                <w:sz w:val="16"/>
                <w:szCs w:val="16"/>
              </w:rPr>
            </w:pPr>
            <w:r w:rsidRPr="00E4053D">
              <w:rPr>
                <w:b/>
                <w:color w:val="000000"/>
                <w:sz w:val="16"/>
                <w:szCs w:val="16"/>
              </w:rPr>
              <w:t>12 170 643</w:t>
            </w:r>
          </w:p>
        </w:tc>
        <w:tc>
          <w:tcPr>
            <w:tcW w:w="1612" w:type="dxa"/>
            <w:vAlign w:val="bottom"/>
          </w:tcPr>
          <w:p w:rsidR="00E4053D" w:rsidRPr="00E4053D" w:rsidRDefault="00E4053D">
            <w:pPr>
              <w:shd w:val="clear" w:color="000000" w:fill="auto"/>
              <w:autoSpaceDE w:val="0"/>
              <w:autoSpaceDN w:val="0"/>
              <w:adjustRightInd w:val="0"/>
              <w:spacing w:before="60" w:line="200" w:lineRule="exact"/>
              <w:ind w:right="309"/>
              <w:jc w:val="right"/>
              <w:rPr>
                <w:b/>
                <w:color w:val="000000"/>
                <w:sz w:val="16"/>
                <w:szCs w:val="16"/>
              </w:rPr>
            </w:pPr>
            <w:r w:rsidRPr="00E4053D">
              <w:rPr>
                <w:b/>
                <w:color w:val="000000"/>
                <w:sz w:val="16"/>
                <w:szCs w:val="16"/>
              </w:rPr>
              <w:t>196 000</w:t>
            </w:r>
          </w:p>
        </w:tc>
      </w:tr>
    </w:tbl>
    <w:p w:rsidR="00E4053D" w:rsidRPr="00E4053D" w:rsidRDefault="00E4053D">
      <w:pPr>
        <w:shd w:val="clear" w:color="000000" w:fill="auto"/>
      </w:pPr>
    </w:p>
    <w:p w:rsidR="00E4053D" w:rsidRPr="00E4053D" w:rsidRDefault="00E4053D">
      <w:pPr>
        <w:pStyle w:val="Rubrik1"/>
        <w:shd w:val="clear" w:color="000000" w:fill="auto"/>
        <w:spacing w:before="500"/>
      </w:pPr>
      <w:r w:rsidRPr="00E4053D">
        <w:t>Kredit till Lettland</w:t>
      </w:r>
    </w:p>
    <w:p w:rsidR="00E4053D" w:rsidRPr="00E4053D" w:rsidRDefault="00E4053D">
      <w:pPr>
        <w:shd w:val="clear" w:color="000000" w:fill="auto"/>
      </w:pPr>
      <w:r w:rsidRPr="00E4053D">
        <w:t>Regeringen föreslår i budgetpropositionen att riksdagen ska bemyndiga rege</w:t>
      </w:r>
      <w:r w:rsidRPr="00E4053D">
        <w:t>r</w:t>
      </w:r>
      <w:r w:rsidRPr="00E4053D">
        <w:t>ingen att under 2010 besluta om en kredit till Lettland på högst 720 miljoner euro. Regeringen lämnar dock ingen information om hur villkoren för denna kredit till Lettland ska utformas, utan hänvisar endast till att det ska bestä</w:t>
      </w:r>
      <w:r w:rsidRPr="00E4053D">
        <w:t>m</w:t>
      </w:r>
      <w:r w:rsidRPr="00E4053D">
        <w:t>mas i samarbete med övriga nordiska långivare och Lettland. Regeringen redogör dock inte heller för sina utgångspunkter inför dessa förhandlingar.</w:t>
      </w:r>
    </w:p>
    <w:p w:rsidR="00E4053D" w:rsidRPr="00E4053D" w:rsidRDefault="00E4053D">
      <w:pPr>
        <w:pStyle w:val="Normaltindrag"/>
        <w:shd w:val="clear" w:color="000000" w:fill="auto"/>
      </w:pPr>
      <w:r w:rsidRPr="00E4053D">
        <w:lastRenderedPageBreak/>
        <w:t>Vi socialdemokrater vill att Sverige ska bidra till att stabilisera den ek</w:t>
      </w:r>
      <w:r w:rsidRPr="00E4053D">
        <w:t>o</w:t>
      </w:r>
      <w:r w:rsidRPr="00E4053D">
        <w:t>nomiska utvecklingen i våra grannländer, och är därför i grunden positivt inställda till att Lettland ska beviljas en kredit. Men vi vill ha ett betydligt bättre beslutsunderlag om lånevillkoren innan vi är beredda att ge regeringen ett bemyndigande. Därför föreslår vi att riksdagen nu tillkännager för rege</w:t>
      </w:r>
      <w:r w:rsidRPr="00E4053D">
        <w:t>r</w:t>
      </w:r>
      <w:r w:rsidRPr="00E4053D">
        <w:t>ingen vad som här anförs om fortsatta förhandlingar med Lettland. Det ko</w:t>
      </w:r>
      <w:r w:rsidRPr="00E4053D">
        <w:t>m</w:t>
      </w:r>
      <w:r w:rsidRPr="00E4053D">
        <w:t>mande lånebehovet ska beaktas i beslut om statsbudgeten, och regeringen ska återkomma till riksdagen i en särproposition när låne</w:t>
      </w:r>
      <w:r w:rsidRPr="00E4053D">
        <w:t>villkoren föreligger för ett beslut om ett bemyndigande vad gäller kredit till Lettland.</w:t>
      </w:r>
    </w:p>
    <w:p w:rsidR="00E4053D" w:rsidRPr="00E4053D" w:rsidRDefault="00E4053D">
      <w:pPr>
        <w:pStyle w:val="Rubrik1"/>
        <w:shd w:val="clear" w:color="000000" w:fill="auto"/>
      </w:pPr>
      <w:r w:rsidRPr="00E4053D">
        <w:t>Effektivisera i statliga myndigheter</w:t>
      </w:r>
    </w:p>
    <w:p w:rsidR="00E4053D" w:rsidRPr="00E4053D" w:rsidRDefault="00E4053D">
      <w:pPr>
        <w:shd w:val="clear" w:color="000000" w:fill="auto"/>
      </w:pPr>
      <w:r w:rsidRPr="00E4053D">
        <w:t>Underskotten växer nu snabbt på grund av den oansvariga borgerliga polit</w:t>
      </w:r>
      <w:r w:rsidRPr="00E4053D">
        <w:t>i</w:t>
      </w:r>
      <w:r w:rsidRPr="00E4053D">
        <w:t>ken. Regeringen sänker skatterna med 100 miljarder kronor, vilket gröper ur vår ekonomi. För att bekämpa underskott och jobbkris krävs tuffa priorit</w:t>
      </w:r>
      <w:r w:rsidRPr="00E4053D">
        <w:t>e</w:t>
      </w:r>
      <w:r w:rsidRPr="00E4053D">
        <w:t xml:space="preserve">ringar. Det som inte ger jobb måste stå tillbaka. Resurserna behöver användas effektivt. Det handlar om att vrida och vända på varje skattekrona, att skapa fler gemensamma administrativa lösningar, fler gemensamma upphandlingar och ökad samlokalisering. </w:t>
      </w:r>
    </w:p>
    <w:p w:rsidR="00E4053D" w:rsidRPr="00E4053D" w:rsidRDefault="00E4053D">
      <w:pPr>
        <w:pStyle w:val="Rubrik4"/>
        <w:shd w:val="clear" w:color="000000" w:fill="auto"/>
      </w:pPr>
      <w:r w:rsidRPr="00E4053D">
        <w:t>Arbetsgivarpolitiska frågor</w:t>
      </w:r>
    </w:p>
    <w:p w:rsidR="00E4053D" w:rsidRPr="00E4053D" w:rsidRDefault="00E4053D">
      <w:pPr>
        <w:shd w:val="clear" w:color="000000" w:fill="auto"/>
      </w:pPr>
      <w:r w:rsidRPr="00E4053D">
        <w:t>Regeringen föreslår att anslaget ökas med 9 miljoner kronor för att sätta igång ett tvåårigt projekt om offentligt etos i statsförvaltningen. Vi menar att detta projekt är ett exempel på en utgift som bör dras in för att värna statsfinanse</w:t>
      </w:r>
      <w:r w:rsidRPr="00E4053D">
        <w:t>r</w:t>
      </w:r>
      <w:r w:rsidRPr="00E4053D">
        <w:t xml:space="preserve">na. </w:t>
      </w:r>
    </w:p>
    <w:p w:rsidR="00E4053D" w:rsidRPr="00E4053D" w:rsidRDefault="00E4053D">
      <w:pPr>
        <w:pStyle w:val="Rubrik4"/>
        <w:shd w:val="clear" w:color="000000" w:fill="auto"/>
        <w:rPr>
          <w:i w:val="0"/>
        </w:rPr>
      </w:pPr>
      <w:r w:rsidRPr="00E4053D">
        <w:t>Ekonomistyrningsverket</w:t>
      </w:r>
    </w:p>
    <w:p w:rsidR="00E4053D" w:rsidRPr="00E4053D" w:rsidRDefault="00E4053D">
      <w:pPr>
        <w:shd w:val="clear" w:color="000000" w:fill="auto"/>
      </w:pPr>
      <w:r w:rsidRPr="00E4053D">
        <w:t xml:space="preserve">För att värna varje skattekrona vill vi ge Ekonomistyrningsverket i uppdrag att öka den statliga inköpssamordningen med 10 procent till 2012 och avsätter därför 5 miljoner kronor för detta för 2010. </w:t>
      </w:r>
    </w:p>
    <w:p w:rsidR="00E4053D" w:rsidRPr="00E4053D" w:rsidRDefault="00E4053D">
      <w:pPr>
        <w:pStyle w:val="Rubrik3"/>
        <w:shd w:val="clear" w:color="000000" w:fill="auto"/>
      </w:pPr>
      <w:r w:rsidRPr="00E4053D">
        <w:t>Finansinspektionen och Riksgäldskontoret</w:t>
      </w:r>
    </w:p>
    <w:p w:rsidR="00E4053D" w:rsidRPr="00E4053D" w:rsidRDefault="00E4053D">
      <w:pPr>
        <w:shd w:val="clear" w:color="000000" w:fill="auto"/>
      </w:pPr>
      <w:r w:rsidRPr="00E4053D">
        <w:t>Sedan finanskrisen briserade har både Finansinspektionen och Riksgäldsko</w:t>
      </w:r>
      <w:r w:rsidRPr="00E4053D">
        <w:t>n</w:t>
      </w:r>
      <w:r w:rsidRPr="00E4053D">
        <w:t>toret fått en kraftigt förhöjd arbetsbörda. Vi socialdemokrater föreslog redan i förra höstens budgetmotion att Finansinspektionens anslag skulle utökas med anledning av detta. Vi välkomnar att regeringen nu ökar Finansinspektionens anslag, och följer noga utvecklingen och är beredda att återkomma med fö</w:t>
      </w:r>
      <w:r w:rsidRPr="00E4053D">
        <w:t>r</w:t>
      </w:r>
      <w:r w:rsidRPr="00E4053D">
        <w:t>slag på ytterligare resurser om det skulle behövas.</w:t>
      </w:r>
    </w:p>
    <w:p w:rsidR="00E4053D" w:rsidRPr="00E4053D" w:rsidRDefault="00E4053D">
      <w:pPr>
        <w:pStyle w:val="Normaltindrag"/>
        <w:shd w:val="clear" w:color="000000" w:fill="auto"/>
      </w:pPr>
      <w:r w:rsidRPr="00E4053D">
        <w:t>Riksgäldskontoret får nu hantera ett stort antal statliga krediter och my</w:t>
      </w:r>
      <w:r w:rsidRPr="00E4053D">
        <w:t>n</w:t>
      </w:r>
      <w:r w:rsidRPr="00E4053D">
        <w:t>dighetens ansvar har ökat betydligt under den pågående finanskrisen. Vår övergripande bild är att Riksgäldskontoret i grunden sköter detta arbete på ett bra sätt, men vi konstaterar samtidigt att insynen för riksdagen i Riksgäld</w:t>
      </w:r>
      <w:r w:rsidRPr="00E4053D">
        <w:t>s</w:t>
      </w:r>
      <w:r w:rsidRPr="00E4053D">
        <w:t>kontorets arbete är otillräcklig. Därför menar vi att Riksgäldskontorets styre</w:t>
      </w:r>
      <w:r w:rsidRPr="00E4053D">
        <w:t>l</w:t>
      </w:r>
      <w:r w:rsidRPr="00E4053D">
        <w:t xml:space="preserve">se bör förstärkas med representanter från riksdagens majoritet och opposition.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053D">
        <w:trPr>
          <w:cantSplit/>
        </w:trPr>
        <w:tc>
          <w:tcPr>
            <w:tcW w:w="3046" w:type="dxa"/>
          </w:tcPr>
          <w:p w:rsidR="00E4053D" w:rsidRPr="00E4053D" w:rsidRDefault="00E4053D">
            <w:pPr>
              <w:pStyle w:val="UnderskriftDatum"/>
              <w:shd w:val="clear" w:color="000000" w:fill="auto"/>
              <w:spacing w:before="240"/>
            </w:pPr>
            <w:r w:rsidRPr="00E4053D">
              <w:t>Stockholm den 6 oktober 2009</w:t>
            </w:r>
          </w:p>
        </w:tc>
        <w:tc>
          <w:tcPr>
            <w:tcW w:w="3047" w:type="dxa"/>
          </w:tcPr>
          <w:p w:rsidR="00E4053D" w:rsidRPr="00E4053D" w:rsidRDefault="00E4053D">
            <w:pPr>
              <w:pStyle w:val="Underskrifter"/>
              <w:shd w:val="clear" w:color="000000" w:fill="auto"/>
              <w:spacing w:before="240"/>
            </w:pPr>
          </w:p>
        </w:tc>
      </w:tr>
      <w:tr w:rsidR="00000000" w:rsidRPr="00E4053D">
        <w:trPr>
          <w:cantSplit/>
        </w:trPr>
        <w:tc>
          <w:tcPr>
            <w:tcW w:w="3046" w:type="dxa"/>
          </w:tcPr>
          <w:p w:rsidR="00E4053D" w:rsidRPr="00E4053D" w:rsidRDefault="00E4053D">
            <w:pPr>
              <w:pStyle w:val="Underskrifter"/>
              <w:shd w:val="clear" w:color="000000" w:fill="auto"/>
            </w:pPr>
            <w:r w:rsidRPr="00E4053D">
              <w:t>Thomas Östros (s)</w:t>
            </w:r>
          </w:p>
        </w:tc>
        <w:tc>
          <w:tcPr>
            <w:tcW w:w="3046" w:type="dxa"/>
          </w:tcPr>
          <w:p w:rsidR="00E4053D" w:rsidRPr="00E4053D" w:rsidRDefault="00E4053D">
            <w:pPr>
              <w:pStyle w:val="Underskrifter"/>
              <w:shd w:val="clear" w:color="000000" w:fill="auto"/>
            </w:pPr>
          </w:p>
        </w:tc>
      </w:tr>
      <w:tr w:rsidR="00000000" w:rsidRPr="00E4053D">
        <w:trPr>
          <w:cantSplit/>
        </w:trPr>
        <w:tc>
          <w:tcPr>
            <w:tcW w:w="3046" w:type="dxa"/>
          </w:tcPr>
          <w:p w:rsidR="00E4053D" w:rsidRPr="00E4053D" w:rsidRDefault="00E4053D">
            <w:pPr>
              <w:pStyle w:val="Underskrifter"/>
              <w:shd w:val="clear" w:color="000000" w:fill="auto"/>
            </w:pPr>
            <w:r w:rsidRPr="00E4053D">
              <w:t>Sonia Karlsson (s)</w:t>
            </w:r>
          </w:p>
        </w:tc>
        <w:tc>
          <w:tcPr>
            <w:tcW w:w="3046" w:type="dxa"/>
          </w:tcPr>
          <w:p w:rsidR="00E4053D" w:rsidRPr="00E4053D" w:rsidRDefault="00E4053D">
            <w:pPr>
              <w:pStyle w:val="Underskrifter"/>
              <w:shd w:val="clear" w:color="000000" w:fill="auto"/>
            </w:pPr>
            <w:r w:rsidRPr="00E4053D">
              <w:t>Monica Green (s)</w:t>
            </w:r>
          </w:p>
        </w:tc>
      </w:tr>
      <w:tr w:rsidR="00000000" w:rsidRPr="00E4053D">
        <w:trPr>
          <w:cantSplit/>
        </w:trPr>
        <w:tc>
          <w:tcPr>
            <w:tcW w:w="3046" w:type="dxa"/>
          </w:tcPr>
          <w:p w:rsidR="00E4053D" w:rsidRPr="00E4053D" w:rsidRDefault="00E4053D">
            <w:pPr>
              <w:pStyle w:val="Underskrifter"/>
              <w:shd w:val="clear" w:color="000000" w:fill="auto"/>
            </w:pPr>
            <w:r w:rsidRPr="00E4053D">
              <w:t>Hans Hoff (s)</w:t>
            </w:r>
          </w:p>
        </w:tc>
        <w:tc>
          <w:tcPr>
            <w:tcW w:w="3046" w:type="dxa"/>
          </w:tcPr>
          <w:p w:rsidR="00E4053D" w:rsidRPr="00E4053D" w:rsidRDefault="00E4053D">
            <w:pPr>
              <w:pStyle w:val="Underskrifter"/>
              <w:shd w:val="clear" w:color="000000" w:fill="auto"/>
            </w:pPr>
            <w:r w:rsidRPr="00E4053D">
              <w:t>Agneta Gille (s)</w:t>
            </w:r>
          </w:p>
        </w:tc>
      </w:tr>
      <w:tr w:rsidR="00000000" w:rsidRPr="00E4053D">
        <w:trPr>
          <w:cantSplit/>
        </w:trPr>
        <w:tc>
          <w:tcPr>
            <w:tcW w:w="3046" w:type="dxa"/>
          </w:tcPr>
          <w:p w:rsidR="00E4053D" w:rsidRPr="00E4053D" w:rsidRDefault="00E4053D">
            <w:pPr>
              <w:pStyle w:val="Underskrifter"/>
              <w:shd w:val="clear" w:color="000000" w:fill="auto"/>
            </w:pPr>
            <w:r w:rsidRPr="00E4053D">
              <w:t>Tommy Ternemar (s)</w:t>
            </w:r>
          </w:p>
        </w:tc>
        <w:tc>
          <w:tcPr>
            <w:tcW w:w="3046" w:type="dxa"/>
          </w:tcPr>
          <w:p w:rsidR="00E4053D" w:rsidRPr="00E4053D" w:rsidRDefault="00E4053D">
            <w:pPr>
              <w:pStyle w:val="Underskrifter"/>
              <w:shd w:val="clear" w:color="000000" w:fill="auto"/>
            </w:pPr>
            <w:r w:rsidRPr="00E4053D">
              <w:t>Jörgen Hellman (s)</w:t>
            </w:r>
          </w:p>
        </w:tc>
      </w:tr>
      <w:tr w:rsidR="00000000" w:rsidRPr="00E4053D">
        <w:trPr>
          <w:cantSplit/>
        </w:trPr>
        <w:tc>
          <w:tcPr>
            <w:tcW w:w="3046" w:type="dxa"/>
          </w:tcPr>
          <w:p w:rsidR="00E4053D" w:rsidRPr="00E4053D" w:rsidRDefault="00E4053D">
            <w:pPr>
              <w:pStyle w:val="Underskrifter"/>
              <w:shd w:val="clear" w:color="000000" w:fill="auto"/>
            </w:pPr>
            <w:r w:rsidRPr="00E4053D">
              <w:t>Christina Zedell (s)</w:t>
            </w:r>
          </w:p>
        </w:tc>
        <w:tc>
          <w:tcPr>
            <w:tcW w:w="3046" w:type="dxa"/>
          </w:tcPr>
          <w:p w:rsidR="00E4053D" w:rsidRPr="00E4053D" w:rsidRDefault="00E4053D">
            <w:pPr>
              <w:pStyle w:val="Underskrifter"/>
              <w:shd w:val="clear" w:color="000000" w:fill="auto"/>
            </w:pPr>
          </w:p>
        </w:tc>
      </w:tr>
    </w:tbl>
    <w:p w:rsidR="00E4053D" w:rsidRPr="00E4053D" w:rsidRDefault="00E4053D">
      <w:pPr>
        <w:pStyle w:val="Normaltindrag"/>
        <w:shd w:val="clear" w:color="000000" w:fill="auto"/>
      </w:pPr>
    </w:p>
    <w:sectPr w:rsidR="00000000" w:rsidRPr="00E405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53D" w:rsidRPr="00E4053D" w:rsidRDefault="00E4053D">
      <w:r w:rsidRPr="00E4053D">
        <w:separator/>
      </w:r>
    </w:p>
  </w:endnote>
  <w:endnote w:type="continuationSeparator" w:id="0">
    <w:p w:rsidR="00E4053D" w:rsidRPr="00E4053D" w:rsidRDefault="00E4053D">
      <w:r w:rsidRPr="00E405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53D" w:rsidRPr="00E4053D" w:rsidRDefault="00E4053D">
    <w:pPr>
      <w:pStyle w:val="Sidfot"/>
    </w:pPr>
    <w:r w:rsidRPr="00E405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59735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53D" w:rsidRDefault="00E405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053D" w:rsidRDefault="00E405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53D" w:rsidRPr="00E4053D" w:rsidRDefault="00E4053D">
    <w:pPr>
      <w:pStyle w:val="Sidfot"/>
    </w:pPr>
    <w:r w:rsidRPr="00E405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21506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53D" w:rsidRDefault="00E405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053D" w:rsidRDefault="00E405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53D" w:rsidRPr="00E4053D" w:rsidRDefault="00E4053D">
    <w:pPr>
      <w:pStyle w:val="Sidfot"/>
    </w:pPr>
    <w:r w:rsidRPr="00E405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460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53D" w:rsidRDefault="00E405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053D" w:rsidRDefault="00E405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53D" w:rsidRPr="00E4053D" w:rsidRDefault="00E4053D">
      <w:r w:rsidRPr="00E4053D">
        <w:separator/>
      </w:r>
    </w:p>
  </w:footnote>
  <w:footnote w:type="continuationSeparator" w:id="0">
    <w:p w:rsidR="00E4053D" w:rsidRPr="00E4053D" w:rsidRDefault="00E4053D">
      <w:r w:rsidRPr="00E405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53D" w:rsidRPr="00E4053D" w:rsidRDefault="00E4053D">
    <w:pPr>
      <w:pStyle w:val="Sidhuvud"/>
    </w:pPr>
    <w:r w:rsidRPr="00E405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541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53D" w:rsidRDefault="00E405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053D" w:rsidRDefault="00E4053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53D" w:rsidRPr="00E4053D" w:rsidRDefault="00E4053D">
    <w:pPr>
      <w:pStyle w:val="Sidhuvud"/>
    </w:pPr>
    <w:r w:rsidRPr="00E405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203508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053D" w:rsidRDefault="00E405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053D" w:rsidRDefault="00E4053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053D" w:rsidRPr="00E4053D" w:rsidRDefault="00E4053D">
    <w:pPr>
      <w:pStyle w:val="FSHNormal"/>
      <w:tabs>
        <w:tab w:val="right" w:pos="5840"/>
      </w:tabs>
    </w:pPr>
    <w:r w:rsidRPr="00E4053D">
      <w:br/>
    </w:r>
    <w:r w:rsidRPr="00E4053D">
      <w:fldChar w:fldCharType="begin" w:fldLock="1"/>
    </w:r>
    <w:r w:rsidRPr="00E4053D">
      <w:instrText xml:space="preserve"> DOCPROPERTY</w:instrText>
    </w:r>
    <w:r w:rsidRPr="00E4053D">
      <w:rPr>
        <w:sz w:val="18"/>
      </w:rPr>
      <w:instrText xml:space="preserve"> "YearUser" *\charformat </w:instrText>
    </w:r>
    <w:r w:rsidRPr="00E4053D">
      <w:fldChar w:fldCharType="separate"/>
    </w:r>
    <w:r w:rsidRPr="00E4053D">
      <w:t>2009/10</w:t>
    </w:r>
    <w:r w:rsidRPr="00E4053D">
      <w:fldChar w:fldCharType="end"/>
    </w:r>
    <w:r w:rsidRPr="00E4053D">
      <w:t xml:space="preserve"> </w:t>
    </w:r>
    <w:r w:rsidRPr="00E4053D">
      <w:tab/>
      <w:t xml:space="preserve">mnr: </w:t>
    </w:r>
    <w:r w:rsidRPr="00E4053D">
      <w:fldChar w:fldCharType="begin" w:fldLock="1"/>
    </w:r>
    <w:r w:rsidRPr="00E4053D">
      <w:instrText xml:space="preserve"> DOCPROPERTY</w:instrText>
    </w:r>
    <w:r w:rsidRPr="00E4053D">
      <w:rPr>
        <w:sz w:val="18"/>
      </w:rPr>
      <w:instrText xml:space="preserve"> "Motionsnummer" *\charformat </w:instrText>
    </w:r>
    <w:r w:rsidRPr="00E4053D">
      <w:fldChar w:fldCharType="separate"/>
    </w:r>
    <w:r w:rsidRPr="00E4053D">
      <w:t>Fi324</w:t>
    </w:r>
    <w:r w:rsidRPr="00E4053D">
      <w:fldChar w:fldCharType="end"/>
    </w:r>
    <w:r w:rsidRPr="00E4053D">
      <w:br/>
    </w:r>
    <w:r w:rsidRPr="00E4053D">
      <w:fldChar w:fldCharType="begin" w:fldLock="1"/>
    </w:r>
    <w:r w:rsidRPr="00E4053D">
      <w:instrText xml:space="preserve"> DOCPROPERTY</w:instrText>
    </w:r>
    <w:r w:rsidRPr="00E4053D">
      <w:rPr>
        <w:sz w:val="18"/>
      </w:rPr>
      <w:instrText xml:space="preserve"> "Samling" *\charformat </w:instrText>
    </w:r>
    <w:r w:rsidRPr="00E4053D">
      <w:fldChar w:fldCharType="end"/>
    </w:r>
    <w:r w:rsidRPr="00E4053D">
      <w:tab/>
      <w:t xml:space="preserve">pnr: </w:t>
    </w:r>
    <w:r w:rsidRPr="00E4053D">
      <w:fldChar w:fldCharType="begin" w:fldLock="1"/>
    </w:r>
    <w:r w:rsidRPr="00E4053D">
      <w:instrText xml:space="preserve"> DOCPROPERTY</w:instrText>
    </w:r>
    <w:r w:rsidRPr="00E4053D">
      <w:rPr>
        <w:sz w:val="18"/>
      </w:rPr>
      <w:instrText xml:space="preserve"> "Partinummer" *\charformat </w:instrText>
    </w:r>
    <w:r w:rsidRPr="00E4053D">
      <w:fldChar w:fldCharType="separate"/>
    </w:r>
    <w:r w:rsidRPr="00E4053D">
      <w:t>s43008</w:t>
    </w:r>
    <w:r w:rsidRPr="00E4053D">
      <w:fldChar w:fldCharType="end"/>
    </w:r>
  </w:p>
  <w:p w:rsidR="00E4053D" w:rsidRPr="00E4053D" w:rsidRDefault="00E4053D">
    <w:pPr>
      <w:pStyle w:val="FSHRub1"/>
    </w:pPr>
    <w:r w:rsidRPr="00E4053D">
      <w:t>Motion till riksdagen</w:t>
    </w:r>
    <w:r w:rsidRPr="00E4053D">
      <w:br/>
    </w:r>
    <w:r w:rsidRPr="00E4053D">
      <w:fldChar w:fldCharType="begin" w:fldLock="1"/>
    </w:r>
    <w:r w:rsidRPr="00E4053D">
      <w:instrText xml:space="preserve"> DOCPROPERTY "YearUser" *\charformat </w:instrText>
    </w:r>
    <w:r w:rsidRPr="00E4053D">
      <w:fldChar w:fldCharType="separate"/>
    </w:r>
    <w:r w:rsidRPr="00E4053D">
      <w:t>2009/10</w:t>
    </w:r>
    <w:r w:rsidRPr="00E4053D">
      <w:fldChar w:fldCharType="end"/>
    </w:r>
    <w:r w:rsidRPr="00E4053D">
      <w:t>:</w:t>
    </w:r>
    <w:r w:rsidRPr="00E4053D">
      <w:fldChar w:fldCharType="begin" w:fldLock="1"/>
    </w:r>
    <w:r w:rsidRPr="00E4053D">
      <w:instrText xml:space="preserve"> DOCPROPERTY "Motionsnummer" *\charformat </w:instrText>
    </w:r>
    <w:r w:rsidRPr="00E4053D">
      <w:fldChar w:fldCharType="separate"/>
    </w:r>
    <w:r w:rsidRPr="00E4053D">
      <w:t>Fi324</w:t>
    </w:r>
    <w:r w:rsidRPr="00E4053D">
      <w:fldChar w:fldCharType="end"/>
    </w:r>
  </w:p>
  <w:p w:rsidR="00E4053D" w:rsidRPr="00E4053D" w:rsidRDefault="00E4053D">
    <w:pPr>
      <w:pStyle w:val="FSHNormalS5"/>
    </w:pPr>
    <w:r w:rsidRPr="00E4053D">
      <w:fldChar w:fldCharType="begin" w:fldLock="1"/>
    </w:r>
    <w:r w:rsidRPr="00E4053D">
      <w:instrText xml:space="preserve"> DOCPROPERTY "MotionarText" *\charformat </w:instrText>
    </w:r>
    <w:r w:rsidRPr="00E4053D">
      <w:fldChar w:fldCharType="separate"/>
    </w:r>
    <w:r w:rsidRPr="00E4053D">
      <w:t>av Thomas Östros m.fl. (s)</w:t>
    </w:r>
    <w:r w:rsidRPr="00E4053D">
      <w:fldChar w:fldCharType="end"/>
    </w:r>
    <w:r w:rsidRPr="00E4053D">
      <w:br/>
    </w:r>
    <w:r w:rsidRPr="00E4053D">
      <w:fldChar w:fldCharType="begin" w:fldLock="1"/>
    </w:r>
    <w:r w:rsidRPr="00E4053D">
      <w:instrText xml:space="preserve"> DOCPROPERTY "SvarFrasKort" *\charformat </w:instrText>
    </w:r>
    <w:r w:rsidRPr="00E4053D">
      <w:fldChar w:fldCharType="end"/>
    </w:r>
  </w:p>
  <w:p w:rsidR="00E4053D" w:rsidRPr="00E4053D" w:rsidRDefault="00E4053D">
    <w:pPr>
      <w:pStyle w:val="FSHTitel"/>
    </w:pPr>
    <w:r w:rsidRPr="00E4053D">
      <w:fldChar w:fldCharType="begin" w:fldLock="1"/>
    </w:r>
    <w:r w:rsidRPr="00E4053D">
      <w:instrText xml:space="preserve"> DOCPROPERTY</w:instrText>
    </w:r>
    <w:r w:rsidRPr="00E4053D">
      <w:rPr>
        <w:sz w:val="18"/>
      </w:rPr>
      <w:instrText xml:space="preserve"> "RubrikSvar" *\charformat </w:instrText>
    </w:r>
    <w:r w:rsidRPr="00E4053D">
      <w:fldChar w:fldCharType="separate"/>
    </w:r>
    <w:r w:rsidRPr="00E4053D">
      <w:t>Utgiftsområde 2 Samhällsekonomi och finansförvaltning</w:t>
    </w:r>
    <w:r w:rsidRPr="00E4053D">
      <w:fldChar w:fldCharType="end"/>
    </w:r>
  </w:p>
  <w:p w:rsidR="00E4053D" w:rsidRPr="00E4053D" w:rsidRDefault="00E4053D">
    <w:pPr>
      <w:pStyle w:val="Normal00"/>
    </w:pPr>
  </w:p>
  <w:p w:rsidR="00E4053D" w:rsidRPr="00E4053D" w:rsidRDefault="00E405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4DC732D"/>
    <w:multiLevelType w:val="hybridMultilevel"/>
    <w:tmpl w:val="BB12284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585AB9"/>
    <w:multiLevelType w:val="hybridMultilevel"/>
    <w:tmpl w:val="09B855D4"/>
    <w:lvl w:ilvl="0" w:tplc="00DA19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35105909">
    <w:abstractNumId w:val="8"/>
  </w:num>
  <w:num w:numId="2" w16cid:durableId="1649897736">
    <w:abstractNumId w:val="9"/>
  </w:num>
  <w:num w:numId="3" w16cid:durableId="345979593">
    <w:abstractNumId w:val="8"/>
  </w:num>
  <w:num w:numId="4" w16cid:durableId="1830636214">
    <w:abstractNumId w:val="9"/>
  </w:num>
  <w:num w:numId="5" w16cid:durableId="2091079995">
    <w:abstractNumId w:val="14"/>
  </w:num>
  <w:num w:numId="6" w16cid:durableId="1950235282">
    <w:abstractNumId w:val="10"/>
  </w:num>
  <w:num w:numId="7" w16cid:durableId="850408853">
    <w:abstractNumId w:val="12"/>
  </w:num>
  <w:num w:numId="8" w16cid:durableId="1140459594">
    <w:abstractNumId w:val="13"/>
  </w:num>
  <w:num w:numId="9" w16cid:durableId="502672542">
    <w:abstractNumId w:val="8"/>
  </w:num>
  <w:num w:numId="10" w16cid:durableId="1900050056">
    <w:abstractNumId w:val="3"/>
  </w:num>
  <w:num w:numId="11" w16cid:durableId="295335238">
    <w:abstractNumId w:val="2"/>
  </w:num>
  <w:num w:numId="12" w16cid:durableId="1135367981">
    <w:abstractNumId w:val="1"/>
  </w:num>
  <w:num w:numId="13" w16cid:durableId="696276362">
    <w:abstractNumId w:val="0"/>
  </w:num>
  <w:num w:numId="14" w16cid:durableId="1224682551">
    <w:abstractNumId w:val="9"/>
  </w:num>
  <w:num w:numId="15" w16cid:durableId="1789229354">
    <w:abstractNumId w:val="7"/>
  </w:num>
  <w:num w:numId="16" w16cid:durableId="522397806">
    <w:abstractNumId w:val="6"/>
  </w:num>
  <w:num w:numId="17" w16cid:durableId="1344240073">
    <w:abstractNumId w:val="5"/>
  </w:num>
  <w:num w:numId="18" w16cid:durableId="1857185846">
    <w:abstractNumId w:val="4"/>
  </w:num>
  <w:num w:numId="19" w16cid:durableId="917131752">
    <w:abstractNumId w:val="11"/>
  </w:num>
  <w:num w:numId="20" w16cid:durableId="2021732909">
    <w:abstractNumId w:val="12"/>
  </w:num>
  <w:num w:numId="21" w16cid:durableId="318576713">
    <w:abstractNumId w:val="10"/>
  </w:num>
  <w:num w:numId="22" w16cid:durableId="1613704312">
    <w:abstractNumId w:val="13"/>
  </w:num>
  <w:num w:numId="23" w16cid:durableId="7774804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8174F5EC-2C19-47A7-8116-E29AECD635DD},{F0F46440-DF61-4518-B0DB-CFE2EC079DF9},{1BC77BF2-1434-48AB-A11D-A22928463538},{DC6FF83B-20A2-436F-B4AD-3DC357958031},{4FF5EAB4-A55C-44C2-A9F4-CBC0FF005A1C},{65B7BAB0-9E4C-4D05-8016-3C0296CE1E45},{845665B1-8219-47B8-B35A-78D0563B89A8},{7B1181B9-0938-47D5-A0C4-C49B64785AB8}"/>
  </w:docVars>
  <w:rsids>
    <w:rsidRoot w:val="00BA3B0B"/>
    <w:rsid w:val="00BA3B0B"/>
    <w:rsid w:val="00E405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740A5F68-16E8-49A2-A50C-B8D37BA1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3521</Characters>
  <Application>Microsoft Office Word</Application>
  <DocSecurity>4</DocSecurity>
  <Lines>90</Lines>
  <Paragraphs>50</Paragraphs>
  <ScaleCrop>false</ScaleCrop>
  <HeadingPairs>
    <vt:vector size="2" baseType="variant">
      <vt:variant>
        <vt:lpstr>Rubrik</vt:lpstr>
      </vt:variant>
      <vt:variant>
        <vt:i4>1</vt:i4>
      </vt:variant>
    </vt:vector>
  </HeadingPairs>
  <TitlesOfParts>
    <vt:vector size="1" baseType="lpstr">
      <vt:lpstr>s43008</vt:lpstr>
    </vt:vector>
  </TitlesOfParts>
  <Company>Riksdagen</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s43008</dc:title>
  <dc:subject>s43008</dc:subject>
  <dc:creator>Riksdagen</dc:creator>
  <cp:keywords>Riksdagen</cp:keywords>
  <dc:description>Nya formatmallshantering för förslag+urix bakåtkomp+könamn</dc:description>
  <cp:lastModifiedBy>Lars Brink</cp:lastModifiedBy>
  <cp:revision>2</cp:revision>
  <cp:lastPrinted>2009-11-08T06:59:00Z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mot2000_512_2009-10-03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 Samhällsekonomi och finansförvaltning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 Samhällsekonomi och finansförvaltning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s43008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Thomas Östros m.fl. (s)</vt:lpwstr>
  </property>
  <property fmtid="{D5CDD505-2E9C-101B-9397-08002B2CF9AE}" pid="26" name="MotionarLista">
    <vt:lpwstr>Östros, Thomas (s)\Karlsson, Sonia (s)\Green, Monica (s)\Hoff, Hans (s)\Gille, Agneta (s)\Ternemar, Tommy (s)\Hellman, Jörgen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Östros (s), Sonia Karlsson (s), Monica Green (s), Hans Hoff (s), Agneta Gille (s), Tommy Ternemar (s), Jörgen Hellman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Fi324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20092010000000000115000430080075</vt:lpwstr>
  </property>
  <property fmtid="{D5CDD505-2E9C-101B-9397-08002B2CF9AE}" pid="47" name="datum">
    <vt:lpwstr>091006</vt:lpwstr>
  </property>
  <property fmtid="{D5CDD505-2E9C-101B-9397-08002B2CF9AE}" pid="48" name="avsändar-e-post">
    <vt:lpwstr>catharina.ljung@riksdagen.se</vt:lpwstr>
  </property>
  <property fmtid="{D5CDD505-2E9C-101B-9397-08002B2CF9AE}" pid="49" name="id">
    <vt:lpwstr>20092010000000000115000430080075</vt:lpwstr>
  </property>
  <property fmtid="{D5CDD505-2E9C-101B-9397-08002B2CF9AE}" pid="50" name="nummer">
    <vt:lpwstr>324</vt:lpwstr>
  </property>
  <property fmtid="{D5CDD505-2E9C-101B-9397-08002B2CF9AE}" pid="51" name="utskottsbeteckning">
    <vt:lpwstr>Fi</vt:lpwstr>
  </property>
  <property fmtid="{D5CDD505-2E9C-101B-9397-08002B2CF9AE}" pid="52" name="GlobalUID">
    <vt:lpwstr>{348DC77F-FA28-422E-ADB7-6EEA7464D7A3}</vt:lpwstr>
  </property>
  <property fmtid="{D5CDD505-2E9C-101B-9397-08002B2CF9AE}" pid="53" name="Överföringar">
    <vt:i4>1</vt:i4>
  </property>
  <property fmtid="{D5CDD505-2E9C-101B-9397-08002B2CF9AE}" pid="54" name="Checksum">
    <vt:lpwstr>*1002106446019*</vt:lpwstr>
  </property>
  <property fmtid="{D5CDD505-2E9C-101B-9397-08002B2CF9AE}" pid="55" name="skuggnummer">
    <vt:lpwstr>3761</vt:lpwstr>
  </property>
  <property fmtid="{D5CDD505-2E9C-101B-9397-08002B2CF9AE}" pid="56" name="urixVersion">
    <vt:lpwstr>4.0.0.9</vt:lpwstr>
  </property>
  <property fmtid="{D5CDD505-2E9C-101B-9397-08002B2CF9AE}" pid="57" name="urixOrigin">
    <vt:lpwstr>091207 17:38:49.386</vt:lpwstr>
  </property>
  <property fmtid="{D5CDD505-2E9C-101B-9397-08002B2CF9AE}" pid="58" name="urixGuid">
    <vt:lpwstr>{04225F12-742F-4EC4-8E1E-19265E421594}</vt:lpwstr>
  </property>
</Properties>
</file>