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21 maj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konsumentskydd på kreditmarknaden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Finansiering och riskdelning vid investeringar i ny kärnkraft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1.41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 till radio- och tv-företag vid privatkopiering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 och innovation för framtid, nyfikenhet och nytta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mer sammanhållet borgenärsansvar för Centrala studiestödsnämnden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för datacenter och hållbara bränslen samt en ny reduktionsplikt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Fiskeripolitik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13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maj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2025-05-21</SAFIR_Sammantradesdatum_Doc>
    <SAFIR_SammantradeID xmlns="C07A1A6C-0B19-41D9-BDF8-F523BA3921EB">552fd723-9b7f-4eca-bf8b-73a7ffbf0fd4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F12DB37-630A-42E5-9F95-30A4E343463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maj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