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20ED2" w14:textId="77777777" w:rsidR="00D11614" w:rsidRPr="003F0BB9" w:rsidRDefault="00D11614" w:rsidP="00A2305A">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D11614" w:rsidRPr="003F0BB9" w14:paraId="7818934E" w14:textId="77777777" w:rsidTr="00122ED6">
        <w:tc>
          <w:tcPr>
            <w:tcW w:w="9141" w:type="dxa"/>
          </w:tcPr>
          <w:p w14:paraId="4ABF74CA" w14:textId="77777777" w:rsidR="00D11614" w:rsidRPr="003F0BB9" w:rsidRDefault="00D11614" w:rsidP="00A2305A">
            <w:pPr>
              <w:rPr>
                <w:sz w:val="22"/>
                <w:szCs w:val="22"/>
              </w:rPr>
            </w:pPr>
            <w:r w:rsidRPr="003F0BB9">
              <w:rPr>
                <w:sz w:val="22"/>
                <w:szCs w:val="22"/>
              </w:rPr>
              <w:t>RIKSDAGEN</w:t>
            </w:r>
          </w:p>
          <w:p w14:paraId="2DF055CE" w14:textId="77777777" w:rsidR="00D11614" w:rsidRPr="003F0BB9" w:rsidRDefault="00D11614" w:rsidP="00A2305A">
            <w:pPr>
              <w:rPr>
                <w:sz w:val="22"/>
                <w:szCs w:val="22"/>
              </w:rPr>
            </w:pPr>
            <w:r w:rsidRPr="003F0BB9">
              <w:rPr>
                <w:sz w:val="22"/>
                <w:szCs w:val="22"/>
              </w:rPr>
              <w:t>TRAFIKUTSKOTTET</w:t>
            </w:r>
          </w:p>
        </w:tc>
      </w:tr>
    </w:tbl>
    <w:p w14:paraId="61D7FE83" w14:textId="77777777" w:rsidR="00D11614" w:rsidRPr="003F0BB9" w:rsidRDefault="00D11614" w:rsidP="00A2305A">
      <w:pPr>
        <w:rPr>
          <w:sz w:val="22"/>
          <w:szCs w:val="22"/>
        </w:rPr>
      </w:pPr>
    </w:p>
    <w:p w14:paraId="364BC613" w14:textId="77777777" w:rsidR="00D11614" w:rsidRPr="003F0BB9" w:rsidRDefault="00D11614" w:rsidP="00A2305A">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D11614" w:rsidRPr="003F0BB9" w14:paraId="3EB4A461" w14:textId="77777777" w:rsidTr="00122ED6">
        <w:trPr>
          <w:cantSplit/>
          <w:trHeight w:val="742"/>
        </w:trPr>
        <w:tc>
          <w:tcPr>
            <w:tcW w:w="1985" w:type="dxa"/>
          </w:tcPr>
          <w:p w14:paraId="13FAA29E" w14:textId="77777777" w:rsidR="00D11614" w:rsidRPr="003F0BB9" w:rsidRDefault="00D11614" w:rsidP="00A2305A">
            <w:pPr>
              <w:rPr>
                <w:b/>
                <w:sz w:val="22"/>
                <w:szCs w:val="22"/>
              </w:rPr>
            </w:pPr>
            <w:r w:rsidRPr="003F0BB9">
              <w:rPr>
                <w:b/>
                <w:sz w:val="22"/>
                <w:szCs w:val="22"/>
              </w:rPr>
              <w:t xml:space="preserve">PROTOKOLL </w:t>
            </w:r>
          </w:p>
        </w:tc>
        <w:tc>
          <w:tcPr>
            <w:tcW w:w="6463" w:type="dxa"/>
          </w:tcPr>
          <w:p w14:paraId="113D4777" w14:textId="658DDF20" w:rsidR="00D11614" w:rsidRPr="003F0BB9" w:rsidRDefault="00D11614" w:rsidP="00A2305A">
            <w:pPr>
              <w:rPr>
                <w:b/>
                <w:sz w:val="22"/>
                <w:szCs w:val="22"/>
              </w:rPr>
            </w:pPr>
            <w:r w:rsidRPr="003F0BB9">
              <w:rPr>
                <w:b/>
                <w:sz w:val="22"/>
                <w:szCs w:val="22"/>
              </w:rPr>
              <w:t>UTSKOTTSSAMMANTRÄDE 202</w:t>
            </w:r>
            <w:r>
              <w:rPr>
                <w:b/>
                <w:sz w:val="22"/>
                <w:szCs w:val="22"/>
              </w:rPr>
              <w:t>3</w:t>
            </w:r>
            <w:r w:rsidRPr="003F0BB9">
              <w:rPr>
                <w:b/>
                <w:sz w:val="22"/>
                <w:szCs w:val="22"/>
              </w:rPr>
              <w:t>/2</w:t>
            </w:r>
            <w:r>
              <w:rPr>
                <w:b/>
                <w:sz w:val="22"/>
                <w:szCs w:val="22"/>
              </w:rPr>
              <w:t>4</w:t>
            </w:r>
            <w:r w:rsidRPr="003F0BB9">
              <w:rPr>
                <w:b/>
                <w:sz w:val="22"/>
                <w:szCs w:val="22"/>
              </w:rPr>
              <w:t>:</w:t>
            </w:r>
            <w:r w:rsidR="00A2305A">
              <w:rPr>
                <w:b/>
                <w:sz w:val="22"/>
                <w:szCs w:val="22"/>
              </w:rPr>
              <w:t>2</w:t>
            </w:r>
          </w:p>
          <w:p w14:paraId="76EB5F51" w14:textId="77777777" w:rsidR="00D11614" w:rsidRPr="003F0BB9" w:rsidRDefault="00D11614" w:rsidP="00A2305A">
            <w:pPr>
              <w:rPr>
                <w:b/>
                <w:sz w:val="22"/>
                <w:szCs w:val="22"/>
              </w:rPr>
            </w:pPr>
          </w:p>
        </w:tc>
      </w:tr>
      <w:tr w:rsidR="00D11614" w:rsidRPr="003F0BB9" w14:paraId="1FEA488E" w14:textId="77777777" w:rsidTr="00122ED6">
        <w:tc>
          <w:tcPr>
            <w:tcW w:w="1985" w:type="dxa"/>
          </w:tcPr>
          <w:p w14:paraId="3313041E" w14:textId="77777777" w:rsidR="00D11614" w:rsidRPr="003F0BB9" w:rsidRDefault="00D11614" w:rsidP="00A2305A">
            <w:pPr>
              <w:rPr>
                <w:sz w:val="22"/>
                <w:szCs w:val="22"/>
              </w:rPr>
            </w:pPr>
            <w:r w:rsidRPr="003F0BB9">
              <w:rPr>
                <w:sz w:val="22"/>
                <w:szCs w:val="22"/>
              </w:rPr>
              <w:t>DATUM</w:t>
            </w:r>
          </w:p>
        </w:tc>
        <w:tc>
          <w:tcPr>
            <w:tcW w:w="6463" w:type="dxa"/>
          </w:tcPr>
          <w:p w14:paraId="7B91B56E" w14:textId="0D4C21DC" w:rsidR="00D11614" w:rsidRPr="003F0BB9" w:rsidRDefault="00D11614" w:rsidP="00A2305A">
            <w:pPr>
              <w:rPr>
                <w:sz w:val="22"/>
                <w:szCs w:val="22"/>
              </w:rPr>
            </w:pPr>
            <w:r w:rsidRPr="003F0BB9">
              <w:rPr>
                <w:sz w:val="22"/>
                <w:szCs w:val="22"/>
              </w:rPr>
              <w:t>2023-</w:t>
            </w:r>
            <w:r w:rsidR="00A2305A">
              <w:rPr>
                <w:sz w:val="22"/>
                <w:szCs w:val="22"/>
              </w:rPr>
              <w:t>10-03</w:t>
            </w:r>
          </w:p>
        </w:tc>
      </w:tr>
      <w:tr w:rsidR="00D11614" w:rsidRPr="003F0BB9" w14:paraId="0A92D1D2" w14:textId="77777777" w:rsidTr="00122ED6">
        <w:tc>
          <w:tcPr>
            <w:tcW w:w="1985" w:type="dxa"/>
          </w:tcPr>
          <w:p w14:paraId="79EE3258" w14:textId="77777777" w:rsidR="00D11614" w:rsidRPr="003F0BB9" w:rsidRDefault="00D11614" w:rsidP="00A2305A">
            <w:pPr>
              <w:rPr>
                <w:sz w:val="22"/>
                <w:szCs w:val="22"/>
              </w:rPr>
            </w:pPr>
            <w:r w:rsidRPr="003F0BB9">
              <w:rPr>
                <w:sz w:val="22"/>
                <w:szCs w:val="22"/>
              </w:rPr>
              <w:t>TID</w:t>
            </w:r>
          </w:p>
        </w:tc>
        <w:tc>
          <w:tcPr>
            <w:tcW w:w="6463" w:type="dxa"/>
          </w:tcPr>
          <w:p w14:paraId="420E541A" w14:textId="2553DE19" w:rsidR="00D11614" w:rsidRPr="003F0BB9" w:rsidRDefault="00A2305A" w:rsidP="00A2305A">
            <w:pPr>
              <w:rPr>
                <w:sz w:val="22"/>
                <w:szCs w:val="22"/>
              </w:rPr>
            </w:pPr>
            <w:r>
              <w:rPr>
                <w:sz w:val="22"/>
                <w:szCs w:val="22"/>
              </w:rPr>
              <w:t>11.00-12.</w:t>
            </w:r>
            <w:r w:rsidR="00076B21">
              <w:rPr>
                <w:sz w:val="22"/>
                <w:szCs w:val="22"/>
              </w:rPr>
              <w:t>05</w:t>
            </w:r>
          </w:p>
          <w:p w14:paraId="3ABD4648" w14:textId="77777777" w:rsidR="00D11614" w:rsidRPr="003F0BB9" w:rsidRDefault="00D11614" w:rsidP="00A2305A">
            <w:pPr>
              <w:rPr>
                <w:sz w:val="22"/>
                <w:szCs w:val="22"/>
              </w:rPr>
            </w:pPr>
          </w:p>
          <w:p w14:paraId="0A3E1406" w14:textId="77777777" w:rsidR="00D11614" w:rsidRPr="003F0BB9" w:rsidRDefault="00D11614" w:rsidP="00A2305A">
            <w:pPr>
              <w:rPr>
                <w:sz w:val="22"/>
                <w:szCs w:val="22"/>
              </w:rPr>
            </w:pPr>
          </w:p>
        </w:tc>
      </w:tr>
      <w:tr w:rsidR="00D11614" w:rsidRPr="003F0BB9" w14:paraId="50954FD8" w14:textId="77777777" w:rsidTr="00122ED6">
        <w:tc>
          <w:tcPr>
            <w:tcW w:w="1985" w:type="dxa"/>
          </w:tcPr>
          <w:p w14:paraId="3D881C23" w14:textId="77777777" w:rsidR="00D11614" w:rsidRPr="003F0BB9" w:rsidRDefault="00D11614" w:rsidP="00A2305A">
            <w:pPr>
              <w:rPr>
                <w:sz w:val="22"/>
                <w:szCs w:val="22"/>
              </w:rPr>
            </w:pPr>
            <w:r w:rsidRPr="003F0BB9">
              <w:rPr>
                <w:sz w:val="22"/>
                <w:szCs w:val="22"/>
              </w:rPr>
              <w:t>NÄRVARANDE</w:t>
            </w:r>
          </w:p>
        </w:tc>
        <w:tc>
          <w:tcPr>
            <w:tcW w:w="6463" w:type="dxa"/>
          </w:tcPr>
          <w:p w14:paraId="29AC430F" w14:textId="77777777" w:rsidR="00D11614" w:rsidRPr="003F0BB9" w:rsidRDefault="00D11614" w:rsidP="00A2305A">
            <w:pPr>
              <w:rPr>
                <w:sz w:val="22"/>
                <w:szCs w:val="22"/>
              </w:rPr>
            </w:pPr>
            <w:r w:rsidRPr="003F0BB9">
              <w:rPr>
                <w:sz w:val="22"/>
                <w:szCs w:val="22"/>
              </w:rPr>
              <w:t>Se bilaga 1</w:t>
            </w:r>
          </w:p>
        </w:tc>
      </w:tr>
    </w:tbl>
    <w:p w14:paraId="0B24F08E" w14:textId="77777777" w:rsidR="00D11614" w:rsidRPr="003F0BB9" w:rsidRDefault="00D11614" w:rsidP="00A2305A">
      <w:pPr>
        <w:rPr>
          <w:sz w:val="22"/>
          <w:szCs w:val="22"/>
        </w:rPr>
      </w:pPr>
    </w:p>
    <w:p w14:paraId="232D3E52" w14:textId="77777777" w:rsidR="00D11614" w:rsidRPr="003F0BB9" w:rsidRDefault="00D11614" w:rsidP="00A2305A">
      <w:pPr>
        <w:tabs>
          <w:tab w:val="left" w:pos="1701"/>
        </w:tabs>
        <w:rPr>
          <w:snapToGrid w:val="0"/>
          <w:color w:val="000000"/>
          <w:sz w:val="22"/>
          <w:szCs w:val="22"/>
        </w:rPr>
      </w:pPr>
    </w:p>
    <w:p w14:paraId="19BC9540" w14:textId="77777777" w:rsidR="00D11614" w:rsidRPr="003F0BB9" w:rsidRDefault="00D11614" w:rsidP="00A2305A">
      <w:pPr>
        <w:tabs>
          <w:tab w:val="left" w:pos="1701"/>
        </w:tabs>
        <w:rPr>
          <w:snapToGrid w:val="0"/>
          <w:color w:val="000000"/>
          <w:sz w:val="22"/>
          <w:szCs w:val="22"/>
        </w:rPr>
      </w:pPr>
    </w:p>
    <w:p w14:paraId="72B67A56" w14:textId="77777777" w:rsidR="00D11614" w:rsidRPr="003F0BB9" w:rsidRDefault="00D11614" w:rsidP="00A2305A">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D11614" w:rsidRPr="003F0BB9" w14:paraId="5AC36618" w14:textId="77777777" w:rsidTr="00122ED6">
        <w:tc>
          <w:tcPr>
            <w:tcW w:w="567" w:type="dxa"/>
          </w:tcPr>
          <w:p w14:paraId="1D0C1A45" w14:textId="4A9556CD" w:rsidR="006D0C3E" w:rsidRDefault="00D11614" w:rsidP="00A2305A">
            <w:pPr>
              <w:tabs>
                <w:tab w:val="left" w:pos="1701"/>
              </w:tabs>
              <w:rPr>
                <w:b/>
                <w:snapToGrid w:val="0"/>
                <w:sz w:val="22"/>
                <w:szCs w:val="22"/>
              </w:rPr>
            </w:pPr>
            <w:r w:rsidRPr="003F0BB9">
              <w:rPr>
                <w:b/>
                <w:snapToGrid w:val="0"/>
                <w:sz w:val="22"/>
                <w:szCs w:val="22"/>
              </w:rPr>
              <w:t>§ 1</w:t>
            </w:r>
          </w:p>
          <w:p w14:paraId="75B44B47" w14:textId="47511C8F" w:rsidR="006D0C3E" w:rsidRDefault="006D0C3E" w:rsidP="00A2305A">
            <w:pPr>
              <w:tabs>
                <w:tab w:val="left" w:pos="1701"/>
              </w:tabs>
              <w:rPr>
                <w:b/>
                <w:snapToGrid w:val="0"/>
                <w:sz w:val="22"/>
                <w:szCs w:val="22"/>
              </w:rPr>
            </w:pPr>
          </w:p>
          <w:p w14:paraId="0DC162A2" w14:textId="4EF19BAB" w:rsidR="00A30185" w:rsidRDefault="00A30185" w:rsidP="00A2305A">
            <w:pPr>
              <w:tabs>
                <w:tab w:val="left" w:pos="1701"/>
              </w:tabs>
              <w:rPr>
                <w:b/>
                <w:snapToGrid w:val="0"/>
                <w:sz w:val="22"/>
                <w:szCs w:val="22"/>
              </w:rPr>
            </w:pPr>
          </w:p>
          <w:p w14:paraId="25EDDF84" w14:textId="31A4901D" w:rsidR="00A30185" w:rsidRDefault="00A30185" w:rsidP="00A2305A">
            <w:pPr>
              <w:tabs>
                <w:tab w:val="left" w:pos="1701"/>
              </w:tabs>
              <w:rPr>
                <w:b/>
                <w:snapToGrid w:val="0"/>
                <w:sz w:val="22"/>
                <w:szCs w:val="22"/>
              </w:rPr>
            </w:pPr>
          </w:p>
          <w:p w14:paraId="1139751D" w14:textId="644EA570" w:rsidR="00A30185" w:rsidRDefault="00A30185" w:rsidP="00A2305A">
            <w:pPr>
              <w:tabs>
                <w:tab w:val="left" w:pos="1701"/>
              </w:tabs>
              <w:rPr>
                <w:b/>
                <w:snapToGrid w:val="0"/>
                <w:sz w:val="22"/>
                <w:szCs w:val="22"/>
              </w:rPr>
            </w:pPr>
          </w:p>
          <w:p w14:paraId="382D939A" w14:textId="47845396" w:rsidR="00A30185" w:rsidRDefault="00A30185" w:rsidP="00A2305A">
            <w:pPr>
              <w:tabs>
                <w:tab w:val="left" w:pos="1701"/>
              </w:tabs>
              <w:rPr>
                <w:b/>
                <w:snapToGrid w:val="0"/>
                <w:sz w:val="22"/>
                <w:szCs w:val="22"/>
              </w:rPr>
            </w:pPr>
          </w:p>
          <w:p w14:paraId="3A8776C3" w14:textId="79E3E570" w:rsidR="00A30185" w:rsidRDefault="00A30185" w:rsidP="00A2305A">
            <w:pPr>
              <w:tabs>
                <w:tab w:val="left" w:pos="1701"/>
              </w:tabs>
              <w:rPr>
                <w:b/>
                <w:snapToGrid w:val="0"/>
                <w:sz w:val="22"/>
                <w:szCs w:val="22"/>
              </w:rPr>
            </w:pPr>
          </w:p>
          <w:p w14:paraId="36E5E848" w14:textId="2D0CEFE5" w:rsidR="00A30185" w:rsidRDefault="00A30185" w:rsidP="00A2305A">
            <w:pPr>
              <w:tabs>
                <w:tab w:val="left" w:pos="1701"/>
              </w:tabs>
              <w:rPr>
                <w:b/>
                <w:snapToGrid w:val="0"/>
                <w:sz w:val="22"/>
                <w:szCs w:val="22"/>
              </w:rPr>
            </w:pPr>
          </w:p>
          <w:p w14:paraId="645BE095" w14:textId="33C39D67" w:rsidR="00A30185" w:rsidRDefault="00A30185" w:rsidP="00A2305A">
            <w:pPr>
              <w:tabs>
                <w:tab w:val="left" w:pos="1701"/>
              </w:tabs>
              <w:rPr>
                <w:b/>
                <w:snapToGrid w:val="0"/>
                <w:sz w:val="22"/>
                <w:szCs w:val="22"/>
              </w:rPr>
            </w:pPr>
          </w:p>
          <w:p w14:paraId="727A5A1F" w14:textId="5AE05211" w:rsidR="00A30185" w:rsidRDefault="00A30185" w:rsidP="00A2305A">
            <w:pPr>
              <w:tabs>
                <w:tab w:val="left" w:pos="1701"/>
              </w:tabs>
              <w:rPr>
                <w:b/>
                <w:snapToGrid w:val="0"/>
                <w:sz w:val="22"/>
                <w:szCs w:val="22"/>
              </w:rPr>
            </w:pPr>
          </w:p>
          <w:p w14:paraId="6AB94B49" w14:textId="618A2C0C" w:rsidR="00A30185" w:rsidRDefault="00A30185" w:rsidP="00A2305A">
            <w:pPr>
              <w:tabs>
                <w:tab w:val="left" w:pos="1701"/>
              </w:tabs>
              <w:rPr>
                <w:b/>
                <w:snapToGrid w:val="0"/>
                <w:sz w:val="22"/>
                <w:szCs w:val="22"/>
              </w:rPr>
            </w:pPr>
          </w:p>
          <w:p w14:paraId="0CC8C438" w14:textId="0D1C557D" w:rsidR="00A30185" w:rsidRDefault="00A30185" w:rsidP="00A2305A">
            <w:pPr>
              <w:tabs>
                <w:tab w:val="left" w:pos="1701"/>
              </w:tabs>
              <w:rPr>
                <w:b/>
                <w:snapToGrid w:val="0"/>
                <w:sz w:val="22"/>
                <w:szCs w:val="22"/>
              </w:rPr>
            </w:pPr>
          </w:p>
          <w:p w14:paraId="13085848" w14:textId="422F7AA7" w:rsidR="00A30185" w:rsidRDefault="00A30185" w:rsidP="00A2305A">
            <w:pPr>
              <w:tabs>
                <w:tab w:val="left" w:pos="1701"/>
              </w:tabs>
              <w:rPr>
                <w:b/>
                <w:snapToGrid w:val="0"/>
                <w:sz w:val="22"/>
                <w:szCs w:val="22"/>
              </w:rPr>
            </w:pPr>
          </w:p>
          <w:p w14:paraId="328130DC" w14:textId="213C39BF" w:rsidR="00A30185" w:rsidRDefault="00A30185" w:rsidP="00A2305A">
            <w:pPr>
              <w:tabs>
                <w:tab w:val="left" w:pos="1701"/>
              </w:tabs>
              <w:rPr>
                <w:b/>
                <w:snapToGrid w:val="0"/>
                <w:sz w:val="22"/>
                <w:szCs w:val="22"/>
              </w:rPr>
            </w:pPr>
          </w:p>
          <w:p w14:paraId="1E80155A" w14:textId="32BFE3AE" w:rsidR="00A30185" w:rsidRDefault="00A30185" w:rsidP="00A2305A">
            <w:pPr>
              <w:tabs>
                <w:tab w:val="left" w:pos="1701"/>
              </w:tabs>
              <w:rPr>
                <w:b/>
                <w:snapToGrid w:val="0"/>
                <w:sz w:val="22"/>
                <w:szCs w:val="22"/>
              </w:rPr>
            </w:pPr>
          </w:p>
          <w:p w14:paraId="068E56B7" w14:textId="1DA16F6B" w:rsidR="00A30185" w:rsidRDefault="00A30185" w:rsidP="00A2305A">
            <w:pPr>
              <w:tabs>
                <w:tab w:val="left" w:pos="1701"/>
              </w:tabs>
              <w:rPr>
                <w:b/>
                <w:snapToGrid w:val="0"/>
                <w:sz w:val="22"/>
                <w:szCs w:val="22"/>
              </w:rPr>
            </w:pPr>
          </w:p>
          <w:p w14:paraId="553C138B" w14:textId="77777777" w:rsidR="00A30185" w:rsidRPr="003F0BB9" w:rsidRDefault="00A30185" w:rsidP="00A2305A">
            <w:pPr>
              <w:tabs>
                <w:tab w:val="left" w:pos="1701"/>
              </w:tabs>
              <w:rPr>
                <w:b/>
                <w:snapToGrid w:val="0"/>
                <w:sz w:val="22"/>
                <w:szCs w:val="22"/>
              </w:rPr>
            </w:pPr>
          </w:p>
          <w:p w14:paraId="22F78F29" w14:textId="77777777" w:rsidR="00D11614" w:rsidRPr="003F0BB9" w:rsidRDefault="00D11614" w:rsidP="00A2305A">
            <w:pPr>
              <w:tabs>
                <w:tab w:val="left" w:pos="1701"/>
              </w:tabs>
              <w:rPr>
                <w:b/>
                <w:snapToGrid w:val="0"/>
                <w:sz w:val="22"/>
                <w:szCs w:val="22"/>
              </w:rPr>
            </w:pPr>
            <w:r w:rsidRPr="003F0BB9">
              <w:rPr>
                <w:b/>
                <w:sz w:val="22"/>
                <w:szCs w:val="22"/>
              </w:rPr>
              <w:t>§ 2</w:t>
            </w:r>
          </w:p>
          <w:p w14:paraId="2A822451" w14:textId="7DA73545" w:rsidR="00D11614" w:rsidRDefault="00D11614" w:rsidP="00A2305A">
            <w:pPr>
              <w:tabs>
                <w:tab w:val="left" w:pos="1701"/>
              </w:tabs>
              <w:rPr>
                <w:b/>
                <w:snapToGrid w:val="0"/>
                <w:sz w:val="22"/>
                <w:szCs w:val="22"/>
              </w:rPr>
            </w:pPr>
          </w:p>
          <w:p w14:paraId="12B38265" w14:textId="0B9E0694" w:rsidR="00E4553B" w:rsidRDefault="00E4553B" w:rsidP="00A2305A">
            <w:pPr>
              <w:tabs>
                <w:tab w:val="left" w:pos="1701"/>
              </w:tabs>
              <w:rPr>
                <w:b/>
                <w:snapToGrid w:val="0"/>
                <w:sz w:val="22"/>
                <w:szCs w:val="22"/>
              </w:rPr>
            </w:pPr>
          </w:p>
          <w:p w14:paraId="486F23D9" w14:textId="6ABF0BA1" w:rsidR="00E4553B" w:rsidRDefault="00E4553B" w:rsidP="00A2305A">
            <w:pPr>
              <w:tabs>
                <w:tab w:val="left" w:pos="1701"/>
              </w:tabs>
              <w:rPr>
                <w:b/>
                <w:snapToGrid w:val="0"/>
                <w:sz w:val="22"/>
                <w:szCs w:val="22"/>
              </w:rPr>
            </w:pPr>
          </w:p>
          <w:p w14:paraId="3E2E0A7C" w14:textId="07551F93" w:rsidR="00E4553B" w:rsidRDefault="00E4553B" w:rsidP="00A2305A">
            <w:pPr>
              <w:tabs>
                <w:tab w:val="left" w:pos="1701"/>
              </w:tabs>
              <w:rPr>
                <w:b/>
                <w:snapToGrid w:val="0"/>
                <w:sz w:val="22"/>
                <w:szCs w:val="22"/>
              </w:rPr>
            </w:pPr>
          </w:p>
          <w:p w14:paraId="67A90CC9" w14:textId="5B5C78AC" w:rsidR="00E4553B" w:rsidRDefault="00E4553B" w:rsidP="00A2305A">
            <w:pPr>
              <w:tabs>
                <w:tab w:val="left" w:pos="1701"/>
              </w:tabs>
              <w:rPr>
                <w:b/>
                <w:snapToGrid w:val="0"/>
                <w:sz w:val="22"/>
                <w:szCs w:val="22"/>
              </w:rPr>
            </w:pPr>
          </w:p>
          <w:p w14:paraId="058E4FC8" w14:textId="3F975158" w:rsidR="00E4553B" w:rsidRDefault="00E4553B" w:rsidP="00A2305A">
            <w:pPr>
              <w:tabs>
                <w:tab w:val="left" w:pos="1701"/>
              </w:tabs>
              <w:rPr>
                <w:b/>
                <w:snapToGrid w:val="0"/>
                <w:sz w:val="22"/>
                <w:szCs w:val="22"/>
              </w:rPr>
            </w:pPr>
          </w:p>
          <w:p w14:paraId="2B1884D2" w14:textId="66AC3CAF" w:rsidR="00E4553B" w:rsidRDefault="00E4553B" w:rsidP="00A2305A">
            <w:pPr>
              <w:tabs>
                <w:tab w:val="left" w:pos="1701"/>
              </w:tabs>
              <w:rPr>
                <w:b/>
                <w:snapToGrid w:val="0"/>
                <w:sz w:val="22"/>
                <w:szCs w:val="22"/>
              </w:rPr>
            </w:pPr>
          </w:p>
          <w:p w14:paraId="78A101F4" w14:textId="53D4DB8F" w:rsidR="00E4553B" w:rsidRDefault="00E4553B" w:rsidP="00A2305A">
            <w:pPr>
              <w:tabs>
                <w:tab w:val="left" w:pos="1701"/>
              </w:tabs>
              <w:rPr>
                <w:b/>
                <w:snapToGrid w:val="0"/>
                <w:sz w:val="22"/>
                <w:szCs w:val="22"/>
              </w:rPr>
            </w:pPr>
          </w:p>
          <w:p w14:paraId="27F7E8C6" w14:textId="6CA9B604" w:rsidR="00E4553B" w:rsidRDefault="00E4553B" w:rsidP="00A2305A">
            <w:pPr>
              <w:tabs>
                <w:tab w:val="left" w:pos="1701"/>
              </w:tabs>
              <w:rPr>
                <w:b/>
                <w:snapToGrid w:val="0"/>
                <w:sz w:val="22"/>
                <w:szCs w:val="22"/>
              </w:rPr>
            </w:pPr>
          </w:p>
          <w:p w14:paraId="45B8993C" w14:textId="55DB6E49" w:rsidR="00E4553B" w:rsidRDefault="00E4553B" w:rsidP="00A2305A">
            <w:pPr>
              <w:tabs>
                <w:tab w:val="left" w:pos="1701"/>
              </w:tabs>
              <w:rPr>
                <w:b/>
                <w:snapToGrid w:val="0"/>
                <w:sz w:val="22"/>
                <w:szCs w:val="22"/>
              </w:rPr>
            </w:pPr>
          </w:p>
          <w:p w14:paraId="5E22B80A" w14:textId="74FB4972" w:rsidR="00E4553B" w:rsidRDefault="00E4553B" w:rsidP="00A2305A">
            <w:pPr>
              <w:tabs>
                <w:tab w:val="left" w:pos="1701"/>
              </w:tabs>
              <w:rPr>
                <w:b/>
                <w:snapToGrid w:val="0"/>
                <w:sz w:val="22"/>
                <w:szCs w:val="22"/>
              </w:rPr>
            </w:pPr>
          </w:p>
          <w:p w14:paraId="673D973E" w14:textId="40E0170A" w:rsidR="00E4553B" w:rsidRDefault="00E4553B" w:rsidP="00A2305A">
            <w:pPr>
              <w:tabs>
                <w:tab w:val="left" w:pos="1701"/>
              </w:tabs>
              <w:rPr>
                <w:b/>
                <w:snapToGrid w:val="0"/>
                <w:sz w:val="22"/>
                <w:szCs w:val="22"/>
              </w:rPr>
            </w:pPr>
          </w:p>
          <w:p w14:paraId="6FE0BB96" w14:textId="1B896B58" w:rsidR="00E4553B" w:rsidRDefault="00E4553B" w:rsidP="00A2305A">
            <w:pPr>
              <w:tabs>
                <w:tab w:val="left" w:pos="1701"/>
              </w:tabs>
              <w:rPr>
                <w:b/>
                <w:snapToGrid w:val="0"/>
                <w:sz w:val="22"/>
                <w:szCs w:val="22"/>
              </w:rPr>
            </w:pPr>
          </w:p>
          <w:p w14:paraId="66FAAA6E" w14:textId="77777777" w:rsidR="00E4553B" w:rsidRPr="003F0BB9" w:rsidRDefault="00E4553B" w:rsidP="00A2305A">
            <w:pPr>
              <w:tabs>
                <w:tab w:val="left" w:pos="1701"/>
              </w:tabs>
              <w:rPr>
                <w:b/>
                <w:snapToGrid w:val="0"/>
                <w:sz w:val="22"/>
                <w:szCs w:val="22"/>
              </w:rPr>
            </w:pPr>
          </w:p>
          <w:p w14:paraId="548133E1" w14:textId="0A66B459" w:rsidR="006C009E" w:rsidRPr="00A2305A" w:rsidRDefault="00A2305A" w:rsidP="00A2305A">
            <w:pPr>
              <w:tabs>
                <w:tab w:val="left" w:pos="1701"/>
              </w:tabs>
              <w:rPr>
                <w:b/>
                <w:snapToGrid w:val="0"/>
                <w:sz w:val="22"/>
                <w:szCs w:val="22"/>
              </w:rPr>
            </w:pPr>
            <w:r w:rsidRPr="003F0BB9">
              <w:rPr>
                <w:b/>
                <w:sz w:val="22"/>
                <w:szCs w:val="22"/>
              </w:rPr>
              <w:t xml:space="preserve">§ </w:t>
            </w:r>
            <w:r>
              <w:rPr>
                <w:b/>
                <w:sz w:val="22"/>
                <w:szCs w:val="22"/>
              </w:rPr>
              <w:t>3</w:t>
            </w:r>
          </w:p>
          <w:p w14:paraId="1701FDE2" w14:textId="1BEFDDC2" w:rsidR="00D11614" w:rsidRDefault="00D11614" w:rsidP="00A2305A">
            <w:pPr>
              <w:rPr>
                <w:b/>
                <w:sz w:val="22"/>
                <w:szCs w:val="22"/>
              </w:rPr>
            </w:pPr>
          </w:p>
          <w:p w14:paraId="5C1B2E45" w14:textId="19CB0242" w:rsidR="0091628D" w:rsidRDefault="0091628D" w:rsidP="00A2305A">
            <w:pPr>
              <w:rPr>
                <w:b/>
                <w:sz w:val="22"/>
                <w:szCs w:val="22"/>
              </w:rPr>
            </w:pPr>
          </w:p>
          <w:p w14:paraId="1C2254C0" w14:textId="6C1A1B1F" w:rsidR="0091628D" w:rsidRDefault="0091628D" w:rsidP="00A2305A">
            <w:pPr>
              <w:rPr>
                <w:b/>
                <w:sz w:val="22"/>
                <w:szCs w:val="22"/>
              </w:rPr>
            </w:pPr>
          </w:p>
          <w:p w14:paraId="408F5824" w14:textId="56353BDD" w:rsidR="0091628D" w:rsidRDefault="0091628D" w:rsidP="00A2305A">
            <w:pPr>
              <w:rPr>
                <w:b/>
                <w:sz w:val="22"/>
                <w:szCs w:val="22"/>
              </w:rPr>
            </w:pPr>
          </w:p>
          <w:p w14:paraId="53465E82" w14:textId="4DA4772B" w:rsidR="0091628D" w:rsidRDefault="0091628D" w:rsidP="00A2305A">
            <w:pPr>
              <w:rPr>
                <w:b/>
                <w:sz w:val="22"/>
                <w:szCs w:val="22"/>
              </w:rPr>
            </w:pPr>
          </w:p>
          <w:p w14:paraId="397C9393" w14:textId="7B3637E7" w:rsidR="0091628D" w:rsidRDefault="0091628D" w:rsidP="00A2305A">
            <w:pPr>
              <w:rPr>
                <w:b/>
                <w:sz w:val="22"/>
                <w:szCs w:val="22"/>
              </w:rPr>
            </w:pPr>
          </w:p>
          <w:p w14:paraId="6A0BA063" w14:textId="5B14DF63" w:rsidR="0091628D" w:rsidRDefault="0091628D" w:rsidP="00A2305A">
            <w:pPr>
              <w:rPr>
                <w:b/>
                <w:sz w:val="22"/>
                <w:szCs w:val="22"/>
              </w:rPr>
            </w:pPr>
          </w:p>
          <w:p w14:paraId="4ACAC89C" w14:textId="607ED4DF" w:rsidR="0091628D" w:rsidRDefault="0091628D" w:rsidP="00A2305A">
            <w:pPr>
              <w:rPr>
                <w:b/>
                <w:sz w:val="22"/>
                <w:szCs w:val="22"/>
              </w:rPr>
            </w:pPr>
          </w:p>
          <w:p w14:paraId="7CB964CC" w14:textId="6F5CD4A0" w:rsidR="0091628D" w:rsidRDefault="0091628D" w:rsidP="00A2305A">
            <w:pPr>
              <w:rPr>
                <w:b/>
                <w:sz w:val="22"/>
                <w:szCs w:val="22"/>
              </w:rPr>
            </w:pPr>
          </w:p>
          <w:p w14:paraId="5755FB54" w14:textId="1897B370" w:rsidR="0091628D" w:rsidRDefault="0091628D" w:rsidP="00A2305A">
            <w:pPr>
              <w:rPr>
                <w:b/>
                <w:sz w:val="22"/>
                <w:szCs w:val="22"/>
              </w:rPr>
            </w:pPr>
          </w:p>
          <w:p w14:paraId="0ECB9513" w14:textId="3322B506" w:rsidR="0091628D" w:rsidRDefault="0091628D" w:rsidP="00A2305A">
            <w:pPr>
              <w:rPr>
                <w:b/>
                <w:sz w:val="22"/>
                <w:szCs w:val="22"/>
              </w:rPr>
            </w:pPr>
          </w:p>
          <w:p w14:paraId="558766B8" w14:textId="467C7BE2" w:rsidR="0091628D" w:rsidRDefault="0091628D" w:rsidP="00A2305A">
            <w:pPr>
              <w:rPr>
                <w:b/>
                <w:sz w:val="22"/>
                <w:szCs w:val="22"/>
              </w:rPr>
            </w:pPr>
          </w:p>
          <w:p w14:paraId="30A95B2E" w14:textId="6C1BB186" w:rsidR="0091628D" w:rsidRDefault="0091628D" w:rsidP="00A2305A">
            <w:pPr>
              <w:rPr>
                <w:b/>
                <w:sz w:val="22"/>
                <w:szCs w:val="22"/>
              </w:rPr>
            </w:pPr>
          </w:p>
          <w:p w14:paraId="7D765C42" w14:textId="77777777" w:rsidR="0091628D" w:rsidRPr="003F0BB9" w:rsidRDefault="0091628D" w:rsidP="00A2305A">
            <w:pPr>
              <w:rPr>
                <w:b/>
                <w:sz w:val="22"/>
                <w:szCs w:val="22"/>
              </w:rPr>
            </w:pPr>
          </w:p>
          <w:p w14:paraId="17DAD048" w14:textId="77777777" w:rsidR="007C10AE" w:rsidRDefault="00D11614" w:rsidP="00A2305A">
            <w:pPr>
              <w:rPr>
                <w:b/>
                <w:sz w:val="22"/>
                <w:szCs w:val="22"/>
              </w:rPr>
            </w:pPr>
            <w:r w:rsidRPr="003F0BB9">
              <w:rPr>
                <w:b/>
                <w:sz w:val="22"/>
                <w:szCs w:val="22"/>
              </w:rPr>
              <w:t>§ 4</w:t>
            </w:r>
          </w:p>
          <w:p w14:paraId="22227C75" w14:textId="40BE5679" w:rsidR="007C10AE" w:rsidRDefault="007C10AE" w:rsidP="00A2305A">
            <w:pPr>
              <w:rPr>
                <w:b/>
                <w:sz w:val="22"/>
                <w:szCs w:val="22"/>
              </w:rPr>
            </w:pPr>
          </w:p>
          <w:p w14:paraId="61083B98" w14:textId="2F58A50A" w:rsidR="0091628D" w:rsidRDefault="0091628D" w:rsidP="00A2305A">
            <w:pPr>
              <w:rPr>
                <w:b/>
                <w:sz w:val="22"/>
                <w:szCs w:val="22"/>
              </w:rPr>
            </w:pPr>
          </w:p>
          <w:p w14:paraId="76C03F61" w14:textId="77777777" w:rsidR="0091628D" w:rsidRDefault="0091628D" w:rsidP="00A2305A">
            <w:pPr>
              <w:rPr>
                <w:b/>
                <w:sz w:val="22"/>
                <w:szCs w:val="22"/>
              </w:rPr>
            </w:pPr>
          </w:p>
          <w:p w14:paraId="349C0A71" w14:textId="77777777" w:rsidR="007C10AE" w:rsidRDefault="00D11614" w:rsidP="00A2305A">
            <w:pPr>
              <w:rPr>
                <w:b/>
                <w:sz w:val="22"/>
                <w:szCs w:val="22"/>
              </w:rPr>
            </w:pPr>
            <w:r w:rsidRPr="003F0BB9">
              <w:rPr>
                <w:b/>
                <w:sz w:val="22"/>
                <w:szCs w:val="22"/>
              </w:rPr>
              <w:t xml:space="preserve">§ </w:t>
            </w:r>
            <w:r w:rsidR="007C10AE">
              <w:rPr>
                <w:b/>
                <w:sz w:val="22"/>
                <w:szCs w:val="22"/>
              </w:rPr>
              <w:t>5</w:t>
            </w:r>
          </w:p>
          <w:p w14:paraId="262F62DE" w14:textId="13E315AE" w:rsidR="0038361B" w:rsidRDefault="0038361B" w:rsidP="00A2305A">
            <w:pPr>
              <w:rPr>
                <w:b/>
                <w:sz w:val="22"/>
                <w:szCs w:val="22"/>
              </w:rPr>
            </w:pPr>
          </w:p>
          <w:p w14:paraId="09C3776D" w14:textId="469DF925" w:rsidR="0091628D" w:rsidRDefault="0091628D" w:rsidP="00A2305A">
            <w:pPr>
              <w:rPr>
                <w:b/>
                <w:sz w:val="22"/>
                <w:szCs w:val="22"/>
              </w:rPr>
            </w:pPr>
          </w:p>
          <w:p w14:paraId="356BD1BD" w14:textId="045A1C93" w:rsidR="0091628D" w:rsidRDefault="0091628D" w:rsidP="00A2305A">
            <w:pPr>
              <w:rPr>
                <w:b/>
                <w:sz w:val="22"/>
                <w:szCs w:val="22"/>
              </w:rPr>
            </w:pPr>
          </w:p>
          <w:p w14:paraId="1006EFDF" w14:textId="77777777" w:rsidR="0091628D" w:rsidRDefault="0091628D" w:rsidP="00A2305A">
            <w:pPr>
              <w:rPr>
                <w:b/>
                <w:sz w:val="22"/>
                <w:szCs w:val="22"/>
              </w:rPr>
            </w:pPr>
          </w:p>
          <w:p w14:paraId="758470DF" w14:textId="77777777" w:rsidR="0091628D" w:rsidRDefault="0091628D" w:rsidP="00A2305A">
            <w:pPr>
              <w:rPr>
                <w:b/>
                <w:sz w:val="22"/>
                <w:szCs w:val="22"/>
              </w:rPr>
            </w:pPr>
          </w:p>
          <w:p w14:paraId="2CD71C77" w14:textId="7F63793F" w:rsidR="00D11614" w:rsidRPr="003F0BB9" w:rsidRDefault="00D11614" w:rsidP="00A2305A">
            <w:pPr>
              <w:rPr>
                <w:b/>
                <w:sz w:val="22"/>
                <w:szCs w:val="22"/>
              </w:rPr>
            </w:pPr>
            <w:r w:rsidRPr="003F0BB9">
              <w:rPr>
                <w:b/>
                <w:sz w:val="22"/>
                <w:szCs w:val="22"/>
              </w:rPr>
              <w:t>§ 6</w:t>
            </w:r>
          </w:p>
          <w:p w14:paraId="69E66888" w14:textId="74EB154B" w:rsidR="00715EB0" w:rsidRDefault="00715EB0" w:rsidP="00A2305A">
            <w:pPr>
              <w:rPr>
                <w:b/>
                <w:sz w:val="22"/>
                <w:szCs w:val="22"/>
              </w:rPr>
            </w:pPr>
          </w:p>
          <w:p w14:paraId="799CC8DE" w14:textId="0ED2D8C6" w:rsidR="0091628D" w:rsidRDefault="0091628D" w:rsidP="00A2305A">
            <w:pPr>
              <w:rPr>
                <w:b/>
                <w:sz w:val="22"/>
                <w:szCs w:val="22"/>
              </w:rPr>
            </w:pPr>
          </w:p>
          <w:p w14:paraId="49D2DB9A" w14:textId="393F7B36" w:rsidR="0091628D" w:rsidRDefault="0091628D" w:rsidP="00A2305A">
            <w:pPr>
              <w:rPr>
                <w:b/>
                <w:sz w:val="22"/>
                <w:szCs w:val="22"/>
              </w:rPr>
            </w:pPr>
          </w:p>
          <w:p w14:paraId="53669F68" w14:textId="22FE3BFD" w:rsidR="0091628D" w:rsidRDefault="0091628D" w:rsidP="00A2305A">
            <w:pPr>
              <w:rPr>
                <w:b/>
                <w:sz w:val="22"/>
                <w:szCs w:val="22"/>
              </w:rPr>
            </w:pPr>
          </w:p>
          <w:p w14:paraId="0E501F45" w14:textId="32CC630C" w:rsidR="0091628D" w:rsidRDefault="0091628D" w:rsidP="00A2305A">
            <w:pPr>
              <w:rPr>
                <w:b/>
                <w:sz w:val="22"/>
                <w:szCs w:val="22"/>
              </w:rPr>
            </w:pPr>
          </w:p>
          <w:p w14:paraId="66009A0D" w14:textId="4022C4A2" w:rsidR="0091628D" w:rsidRDefault="0091628D" w:rsidP="00A2305A">
            <w:pPr>
              <w:rPr>
                <w:b/>
                <w:sz w:val="22"/>
                <w:szCs w:val="22"/>
              </w:rPr>
            </w:pPr>
          </w:p>
          <w:p w14:paraId="10DE4183" w14:textId="3983FD15" w:rsidR="0091628D" w:rsidRDefault="0091628D" w:rsidP="00A2305A">
            <w:pPr>
              <w:rPr>
                <w:b/>
                <w:sz w:val="22"/>
                <w:szCs w:val="22"/>
              </w:rPr>
            </w:pPr>
          </w:p>
          <w:p w14:paraId="1790D4D7" w14:textId="77777777" w:rsidR="0091628D" w:rsidRDefault="0091628D" w:rsidP="00A2305A">
            <w:pPr>
              <w:rPr>
                <w:b/>
                <w:sz w:val="22"/>
                <w:szCs w:val="22"/>
              </w:rPr>
            </w:pPr>
          </w:p>
          <w:p w14:paraId="13D5ABC2" w14:textId="2B22A4FF" w:rsidR="00D11614" w:rsidRDefault="00D11614" w:rsidP="00A2305A">
            <w:pPr>
              <w:rPr>
                <w:b/>
                <w:sz w:val="22"/>
                <w:szCs w:val="22"/>
              </w:rPr>
            </w:pPr>
            <w:r w:rsidRPr="003F0BB9">
              <w:rPr>
                <w:b/>
                <w:sz w:val="22"/>
                <w:szCs w:val="22"/>
              </w:rPr>
              <w:t xml:space="preserve">§ 7 </w:t>
            </w:r>
          </w:p>
          <w:p w14:paraId="0A40ABFA" w14:textId="2A41F727" w:rsidR="0038361B" w:rsidRDefault="0038361B" w:rsidP="00A2305A">
            <w:pPr>
              <w:rPr>
                <w:b/>
                <w:sz w:val="22"/>
                <w:szCs w:val="22"/>
              </w:rPr>
            </w:pPr>
          </w:p>
          <w:p w14:paraId="3FB34BBD" w14:textId="5C6D70D1" w:rsidR="0091628D" w:rsidRDefault="0091628D" w:rsidP="00A2305A">
            <w:pPr>
              <w:rPr>
                <w:b/>
                <w:sz w:val="22"/>
                <w:szCs w:val="22"/>
              </w:rPr>
            </w:pPr>
          </w:p>
          <w:p w14:paraId="6D8DF5FD" w14:textId="7A22D29C" w:rsidR="0091628D" w:rsidRDefault="0091628D" w:rsidP="00A2305A">
            <w:pPr>
              <w:rPr>
                <w:b/>
                <w:sz w:val="22"/>
                <w:szCs w:val="22"/>
              </w:rPr>
            </w:pPr>
          </w:p>
          <w:p w14:paraId="24F69380" w14:textId="22854D79" w:rsidR="0091628D" w:rsidRDefault="0091628D" w:rsidP="00A2305A">
            <w:pPr>
              <w:rPr>
                <w:b/>
                <w:sz w:val="22"/>
                <w:szCs w:val="22"/>
              </w:rPr>
            </w:pPr>
          </w:p>
          <w:p w14:paraId="6EF9E8BB" w14:textId="04623C9B" w:rsidR="0091628D" w:rsidRDefault="0091628D" w:rsidP="00A2305A">
            <w:pPr>
              <w:rPr>
                <w:b/>
                <w:sz w:val="22"/>
                <w:szCs w:val="22"/>
              </w:rPr>
            </w:pPr>
          </w:p>
          <w:p w14:paraId="47BBC4B9" w14:textId="0976D2D0" w:rsidR="0091628D" w:rsidRDefault="0091628D" w:rsidP="00A2305A">
            <w:pPr>
              <w:rPr>
                <w:b/>
                <w:sz w:val="22"/>
                <w:szCs w:val="22"/>
              </w:rPr>
            </w:pPr>
          </w:p>
          <w:p w14:paraId="2E8234BA" w14:textId="542DA221" w:rsidR="0091628D" w:rsidRDefault="0091628D" w:rsidP="00A2305A">
            <w:pPr>
              <w:rPr>
                <w:b/>
                <w:sz w:val="22"/>
                <w:szCs w:val="22"/>
              </w:rPr>
            </w:pPr>
          </w:p>
          <w:p w14:paraId="42B84251" w14:textId="77777777" w:rsidR="0091628D" w:rsidRPr="003F0BB9" w:rsidRDefault="0091628D" w:rsidP="00A2305A">
            <w:pPr>
              <w:rPr>
                <w:b/>
                <w:sz w:val="22"/>
                <w:szCs w:val="22"/>
              </w:rPr>
            </w:pPr>
          </w:p>
          <w:p w14:paraId="4F8548D0" w14:textId="77777777" w:rsidR="00D11614" w:rsidRDefault="00D11614" w:rsidP="00A2305A">
            <w:pPr>
              <w:rPr>
                <w:b/>
                <w:sz w:val="22"/>
                <w:szCs w:val="22"/>
              </w:rPr>
            </w:pPr>
            <w:r w:rsidRPr="003F0BB9">
              <w:rPr>
                <w:b/>
                <w:sz w:val="22"/>
                <w:szCs w:val="22"/>
              </w:rPr>
              <w:t>§ 8</w:t>
            </w:r>
          </w:p>
          <w:p w14:paraId="594E6648" w14:textId="31D5013B" w:rsidR="0038361B" w:rsidRDefault="0038361B" w:rsidP="00A2305A">
            <w:pPr>
              <w:rPr>
                <w:b/>
                <w:sz w:val="22"/>
                <w:szCs w:val="22"/>
              </w:rPr>
            </w:pPr>
          </w:p>
          <w:p w14:paraId="539D0C2C" w14:textId="4AE8E8B9" w:rsidR="0091628D" w:rsidRDefault="0091628D" w:rsidP="00A2305A">
            <w:pPr>
              <w:rPr>
                <w:b/>
                <w:sz w:val="22"/>
                <w:szCs w:val="22"/>
              </w:rPr>
            </w:pPr>
          </w:p>
          <w:p w14:paraId="6434DAE5" w14:textId="5ABE6D4A" w:rsidR="0091628D" w:rsidRDefault="0091628D" w:rsidP="00A2305A">
            <w:pPr>
              <w:rPr>
                <w:b/>
                <w:sz w:val="22"/>
                <w:szCs w:val="22"/>
              </w:rPr>
            </w:pPr>
          </w:p>
          <w:p w14:paraId="56739183" w14:textId="2AA2426E" w:rsidR="0091628D" w:rsidRDefault="0091628D" w:rsidP="00A2305A">
            <w:pPr>
              <w:rPr>
                <w:b/>
                <w:sz w:val="22"/>
                <w:szCs w:val="22"/>
              </w:rPr>
            </w:pPr>
          </w:p>
          <w:p w14:paraId="2DDB48C2" w14:textId="5083094D" w:rsidR="0091628D" w:rsidRDefault="0091628D" w:rsidP="00A2305A">
            <w:pPr>
              <w:rPr>
                <w:b/>
                <w:sz w:val="22"/>
                <w:szCs w:val="22"/>
              </w:rPr>
            </w:pPr>
          </w:p>
          <w:p w14:paraId="4E08AC1C" w14:textId="3DBF7F8B" w:rsidR="0091628D" w:rsidRDefault="0091628D" w:rsidP="00A2305A">
            <w:pPr>
              <w:rPr>
                <w:b/>
                <w:sz w:val="22"/>
                <w:szCs w:val="22"/>
              </w:rPr>
            </w:pPr>
          </w:p>
          <w:p w14:paraId="768CDB5F" w14:textId="14C8D096" w:rsidR="0091628D" w:rsidRDefault="0091628D" w:rsidP="00A2305A">
            <w:pPr>
              <w:rPr>
                <w:b/>
                <w:sz w:val="22"/>
                <w:szCs w:val="22"/>
              </w:rPr>
            </w:pPr>
          </w:p>
          <w:p w14:paraId="76F6D4BE" w14:textId="764C7D73" w:rsidR="0091628D" w:rsidRDefault="0091628D" w:rsidP="00A2305A">
            <w:pPr>
              <w:rPr>
                <w:b/>
                <w:sz w:val="22"/>
                <w:szCs w:val="22"/>
              </w:rPr>
            </w:pPr>
          </w:p>
          <w:p w14:paraId="6F758B80" w14:textId="0B75AEE8" w:rsidR="0091628D" w:rsidRDefault="0091628D" w:rsidP="00A2305A">
            <w:pPr>
              <w:rPr>
                <w:b/>
                <w:sz w:val="22"/>
                <w:szCs w:val="22"/>
              </w:rPr>
            </w:pPr>
          </w:p>
          <w:p w14:paraId="3CC3A212" w14:textId="77777777" w:rsidR="0091628D" w:rsidRDefault="0091628D" w:rsidP="00A2305A">
            <w:pPr>
              <w:rPr>
                <w:b/>
                <w:sz w:val="22"/>
                <w:szCs w:val="22"/>
              </w:rPr>
            </w:pPr>
          </w:p>
          <w:p w14:paraId="7FBEE593" w14:textId="75FF2C0E" w:rsidR="0038361B" w:rsidRDefault="0038361B" w:rsidP="00A2305A">
            <w:pPr>
              <w:rPr>
                <w:b/>
                <w:sz w:val="22"/>
                <w:szCs w:val="22"/>
              </w:rPr>
            </w:pPr>
            <w:r w:rsidRPr="003F0BB9">
              <w:rPr>
                <w:b/>
                <w:sz w:val="22"/>
                <w:szCs w:val="22"/>
              </w:rPr>
              <w:t xml:space="preserve">§ </w:t>
            </w:r>
            <w:r>
              <w:rPr>
                <w:b/>
                <w:sz w:val="22"/>
                <w:szCs w:val="22"/>
              </w:rPr>
              <w:t>9</w:t>
            </w:r>
          </w:p>
          <w:p w14:paraId="5949FFB5" w14:textId="06E3AEE1" w:rsidR="0091628D" w:rsidRDefault="0091628D" w:rsidP="00A2305A">
            <w:pPr>
              <w:rPr>
                <w:b/>
                <w:sz w:val="22"/>
                <w:szCs w:val="22"/>
              </w:rPr>
            </w:pPr>
          </w:p>
          <w:p w14:paraId="67B8A555" w14:textId="31ABA58A" w:rsidR="0091628D" w:rsidRDefault="0091628D" w:rsidP="00A2305A">
            <w:pPr>
              <w:rPr>
                <w:b/>
                <w:sz w:val="22"/>
                <w:szCs w:val="22"/>
              </w:rPr>
            </w:pPr>
          </w:p>
          <w:p w14:paraId="20FA7C0C" w14:textId="447594D4" w:rsidR="0091628D" w:rsidRDefault="0091628D" w:rsidP="00A2305A">
            <w:pPr>
              <w:rPr>
                <w:b/>
                <w:sz w:val="22"/>
                <w:szCs w:val="22"/>
              </w:rPr>
            </w:pPr>
          </w:p>
          <w:p w14:paraId="6DDB52E4" w14:textId="1207F8C8" w:rsidR="0091628D" w:rsidRDefault="0091628D" w:rsidP="00A2305A">
            <w:pPr>
              <w:rPr>
                <w:b/>
                <w:sz w:val="22"/>
                <w:szCs w:val="22"/>
              </w:rPr>
            </w:pPr>
          </w:p>
          <w:p w14:paraId="56DFBF30" w14:textId="60B6668F" w:rsidR="0091628D" w:rsidRDefault="0091628D" w:rsidP="00A2305A">
            <w:pPr>
              <w:rPr>
                <w:b/>
                <w:sz w:val="22"/>
                <w:szCs w:val="22"/>
              </w:rPr>
            </w:pPr>
          </w:p>
          <w:p w14:paraId="508958C9" w14:textId="77777777" w:rsidR="0091628D" w:rsidRDefault="0091628D" w:rsidP="00A2305A">
            <w:pPr>
              <w:rPr>
                <w:b/>
                <w:sz w:val="22"/>
                <w:szCs w:val="22"/>
              </w:rPr>
            </w:pPr>
          </w:p>
          <w:p w14:paraId="322450C2" w14:textId="0FC79080" w:rsidR="0091628D" w:rsidRDefault="0091628D" w:rsidP="0091628D">
            <w:pPr>
              <w:rPr>
                <w:b/>
                <w:sz w:val="22"/>
                <w:szCs w:val="22"/>
              </w:rPr>
            </w:pPr>
            <w:r w:rsidRPr="003F0BB9">
              <w:rPr>
                <w:b/>
                <w:sz w:val="22"/>
                <w:szCs w:val="22"/>
              </w:rPr>
              <w:t xml:space="preserve">§ </w:t>
            </w:r>
            <w:r>
              <w:rPr>
                <w:b/>
                <w:sz w:val="22"/>
                <w:szCs w:val="22"/>
              </w:rPr>
              <w:t>10</w:t>
            </w:r>
          </w:p>
          <w:p w14:paraId="64208F26" w14:textId="28D7F00C" w:rsidR="0091628D" w:rsidRDefault="0091628D" w:rsidP="0091628D">
            <w:pPr>
              <w:rPr>
                <w:b/>
                <w:sz w:val="22"/>
                <w:szCs w:val="22"/>
              </w:rPr>
            </w:pPr>
          </w:p>
          <w:p w14:paraId="7F20C436" w14:textId="2714533D" w:rsidR="005E3207" w:rsidRDefault="005E3207" w:rsidP="0091628D">
            <w:pPr>
              <w:rPr>
                <w:b/>
                <w:sz w:val="22"/>
                <w:szCs w:val="22"/>
              </w:rPr>
            </w:pPr>
          </w:p>
          <w:p w14:paraId="51CA1C4F" w14:textId="51ACD1AC" w:rsidR="005E3207" w:rsidRDefault="005E3207" w:rsidP="0091628D">
            <w:pPr>
              <w:rPr>
                <w:b/>
                <w:sz w:val="22"/>
                <w:szCs w:val="22"/>
              </w:rPr>
            </w:pPr>
          </w:p>
          <w:p w14:paraId="6DF49E8E" w14:textId="5C739D14" w:rsidR="005E3207" w:rsidRDefault="005E3207" w:rsidP="0091628D">
            <w:pPr>
              <w:rPr>
                <w:b/>
                <w:sz w:val="22"/>
                <w:szCs w:val="22"/>
              </w:rPr>
            </w:pPr>
          </w:p>
          <w:p w14:paraId="5A5DECE5" w14:textId="6055E4DB" w:rsidR="005E3207" w:rsidRDefault="005E3207" w:rsidP="0091628D">
            <w:pPr>
              <w:rPr>
                <w:b/>
                <w:sz w:val="22"/>
                <w:szCs w:val="22"/>
              </w:rPr>
            </w:pPr>
          </w:p>
          <w:p w14:paraId="5A399354" w14:textId="6DD5DB53" w:rsidR="005E3207" w:rsidRDefault="005E3207" w:rsidP="0091628D">
            <w:pPr>
              <w:rPr>
                <w:b/>
                <w:sz w:val="22"/>
                <w:szCs w:val="22"/>
              </w:rPr>
            </w:pPr>
          </w:p>
          <w:p w14:paraId="404BE8E0" w14:textId="3B31BE9B" w:rsidR="005E3207" w:rsidRDefault="005E3207" w:rsidP="0091628D">
            <w:pPr>
              <w:rPr>
                <w:b/>
                <w:sz w:val="22"/>
                <w:szCs w:val="22"/>
              </w:rPr>
            </w:pPr>
          </w:p>
          <w:p w14:paraId="7E6A02FE" w14:textId="4401BD70" w:rsidR="005E3207" w:rsidRDefault="005E3207" w:rsidP="0091628D">
            <w:pPr>
              <w:rPr>
                <w:b/>
                <w:sz w:val="22"/>
                <w:szCs w:val="22"/>
              </w:rPr>
            </w:pPr>
          </w:p>
          <w:p w14:paraId="11CD5293" w14:textId="0CE57F90" w:rsidR="005E3207" w:rsidRDefault="005E3207" w:rsidP="0091628D">
            <w:pPr>
              <w:rPr>
                <w:b/>
                <w:sz w:val="22"/>
                <w:szCs w:val="22"/>
              </w:rPr>
            </w:pPr>
          </w:p>
          <w:p w14:paraId="5B5B6697" w14:textId="77777777" w:rsidR="005E3207" w:rsidRDefault="005E3207" w:rsidP="0091628D">
            <w:pPr>
              <w:rPr>
                <w:b/>
                <w:sz w:val="22"/>
                <w:szCs w:val="22"/>
              </w:rPr>
            </w:pPr>
          </w:p>
          <w:p w14:paraId="363AFA85" w14:textId="27A31B54" w:rsidR="0091628D" w:rsidRDefault="0091628D" w:rsidP="0091628D">
            <w:pPr>
              <w:rPr>
                <w:b/>
                <w:sz w:val="22"/>
                <w:szCs w:val="22"/>
              </w:rPr>
            </w:pPr>
            <w:r w:rsidRPr="003F0BB9">
              <w:rPr>
                <w:b/>
                <w:sz w:val="22"/>
                <w:szCs w:val="22"/>
              </w:rPr>
              <w:t xml:space="preserve">§ </w:t>
            </w:r>
            <w:r>
              <w:rPr>
                <w:b/>
                <w:sz w:val="22"/>
                <w:szCs w:val="22"/>
              </w:rPr>
              <w:t>11</w:t>
            </w:r>
          </w:p>
          <w:p w14:paraId="0DC15D9A" w14:textId="77777777" w:rsidR="005E3207" w:rsidRDefault="005E3207" w:rsidP="0091628D">
            <w:pPr>
              <w:rPr>
                <w:b/>
                <w:sz w:val="22"/>
                <w:szCs w:val="22"/>
              </w:rPr>
            </w:pPr>
          </w:p>
          <w:p w14:paraId="38FEA6F3" w14:textId="77777777" w:rsidR="005E3207" w:rsidRDefault="005E3207" w:rsidP="0091628D">
            <w:pPr>
              <w:rPr>
                <w:b/>
                <w:sz w:val="22"/>
                <w:szCs w:val="22"/>
              </w:rPr>
            </w:pPr>
          </w:p>
          <w:p w14:paraId="64EC8D52" w14:textId="77777777" w:rsidR="005E3207" w:rsidRDefault="005E3207" w:rsidP="0091628D">
            <w:pPr>
              <w:rPr>
                <w:b/>
                <w:sz w:val="22"/>
                <w:szCs w:val="22"/>
              </w:rPr>
            </w:pPr>
          </w:p>
          <w:p w14:paraId="468B18C9" w14:textId="77777777" w:rsidR="005E3207" w:rsidRDefault="005E3207" w:rsidP="0091628D">
            <w:pPr>
              <w:rPr>
                <w:b/>
                <w:sz w:val="22"/>
                <w:szCs w:val="22"/>
              </w:rPr>
            </w:pPr>
          </w:p>
          <w:p w14:paraId="56345D58" w14:textId="77777777" w:rsidR="005E3207" w:rsidRDefault="005E3207" w:rsidP="0091628D">
            <w:pPr>
              <w:rPr>
                <w:b/>
                <w:sz w:val="22"/>
                <w:szCs w:val="22"/>
              </w:rPr>
            </w:pPr>
          </w:p>
          <w:p w14:paraId="0C557A05" w14:textId="77777777" w:rsidR="005E3207" w:rsidRDefault="005E3207" w:rsidP="0091628D">
            <w:pPr>
              <w:rPr>
                <w:b/>
                <w:sz w:val="22"/>
                <w:szCs w:val="22"/>
              </w:rPr>
            </w:pPr>
          </w:p>
          <w:p w14:paraId="0FA98434" w14:textId="31EDD6C8" w:rsidR="0091628D" w:rsidRDefault="0091628D" w:rsidP="0091628D">
            <w:pPr>
              <w:rPr>
                <w:b/>
                <w:sz w:val="22"/>
                <w:szCs w:val="22"/>
              </w:rPr>
            </w:pPr>
            <w:r w:rsidRPr="003F0BB9">
              <w:rPr>
                <w:b/>
                <w:sz w:val="22"/>
                <w:szCs w:val="22"/>
              </w:rPr>
              <w:t xml:space="preserve">§ </w:t>
            </w:r>
            <w:r>
              <w:rPr>
                <w:b/>
                <w:sz w:val="22"/>
                <w:szCs w:val="22"/>
              </w:rPr>
              <w:t>12</w:t>
            </w:r>
          </w:p>
          <w:p w14:paraId="3FEDAC64" w14:textId="77777777" w:rsidR="005E3207" w:rsidRDefault="005E3207" w:rsidP="0091628D">
            <w:pPr>
              <w:rPr>
                <w:b/>
                <w:sz w:val="22"/>
                <w:szCs w:val="22"/>
              </w:rPr>
            </w:pPr>
          </w:p>
          <w:p w14:paraId="1235FCB0" w14:textId="77777777" w:rsidR="005E3207" w:rsidRDefault="005E3207" w:rsidP="0091628D">
            <w:pPr>
              <w:rPr>
                <w:b/>
                <w:sz w:val="22"/>
                <w:szCs w:val="22"/>
              </w:rPr>
            </w:pPr>
          </w:p>
          <w:p w14:paraId="6F3F264F" w14:textId="77777777" w:rsidR="005E3207" w:rsidRDefault="005E3207" w:rsidP="0091628D">
            <w:pPr>
              <w:rPr>
                <w:b/>
                <w:sz w:val="22"/>
                <w:szCs w:val="22"/>
              </w:rPr>
            </w:pPr>
          </w:p>
          <w:p w14:paraId="720F80F2" w14:textId="77777777" w:rsidR="005E3207" w:rsidRDefault="005E3207" w:rsidP="0091628D">
            <w:pPr>
              <w:rPr>
                <w:b/>
                <w:sz w:val="22"/>
                <w:szCs w:val="22"/>
              </w:rPr>
            </w:pPr>
          </w:p>
          <w:p w14:paraId="481FCE3C" w14:textId="77777777" w:rsidR="005E3207" w:rsidRDefault="005E3207" w:rsidP="0091628D">
            <w:pPr>
              <w:rPr>
                <w:b/>
                <w:sz w:val="22"/>
                <w:szCs w:val="22"/>
              </w:rPr>
            </w:pPr>
          </w:p>
          <w:p w14:paraId="0DEC152F" w14:textId="4606AE3F" w:rsidR="0091628D" w:rsidRDefault="0091628D" w:rsidP="0091628D">
            <w:pPr>
              <w:rPr>
                <w:b/>
                <w:sz w:val="22"/>
                <w:szCs w:val="22"/>
              </w:rPr>
            </w:pPr>
            <w:r w:rsidRPr="003F0BB9">
              <w:rPr>
                <w:b/>
                <w:sz w:val="22"/>
                <w:szCs w:val="22"/>
              </w:rPr>
              <w:t xml:space="preserve">§ </w:t>
            </w:r>
            <w:r>
              <w:rPr>
                <w:b/>
                <w:sz w:val="22"/>
                <w:szCs w:val="22"/>
              </w:rPr>
              <w:t>13</w:t>
            </w:r>
          </w:p>
          <w:p w14:paraId="749C2C4B" w14:textId="4D3D013E" w:rsidR="00212062" w:rsidRDefault="00212062" w:rsidP="0091628D">
            <w:pPr>
              <w:rPr>
                <w:b/>
                <w:sz w:val="22"/>
                <w:szCs w:val="22"/>
              </w:rPr>
            </w:pPr>
          </w:p>
          <w:p w14:paraId="386595D2" w14:textId="2C315B27" w:rsidR="000351CD" w:rsidRDefault="000351CD" w:rsidP="0091628D">
            <w:pPr>
              <w:rPr>
                <w:b/>
                <w:sz w:val="22"/>
                <w:szCs w:val="22"/>
              </w:rPr>
            </w:pPr>
          </w:p>
          <w:p w14:paraId="7C82B40B" w14:textId="3D41F1C6" w:rsidR="000351CD" w:rsidRDefault="000351CD" w:rsidP="0091628D">
            <w:pPr>
              <w:rPr>
                <w:b/>
                <w:sz w:val="22"/>
                <w:szCs w:val="22"/>
              </w:rPr>
            </w:pPr>
          </w:p>
          <w:p w14:paraId="25E50270" w14:textId="5D9B3D6E" w:rsidR="000351CD" w:rsidRDefault="000351CD" w:rsidP="0091628D">
            <w:pPr>
              <w:rPr>
                <w:b/>
                <w:sz w:val="22"/>
                <w:szCs w:val="22"/>
              </w:rPr>
            </w:pPr>
          </w:p>
          <w:p w14:paraId="27908E63" w14:textId="77777777" w:rsidR="000351CD" w:rsidRDefault="000351CD" w:rsidP="0091628D">
            <w:pPr>
              <w:rPr>
                <w:b/>
                <w:sz w:val="22"/>
                <w:szCs w:val="22"/>
              </w:rPr>
            </w:pPr>
          </w:p>
          <w:p w14:paraId="635EDEBA" w14:textId="37A8BAD5" w:rsidR="00212062" w:rsidRDefault="00212062" w:rsidP="00212062">
            <w:pPr>
              <w:rPr>
                <w:b/>
                <w:sz w:val="22"/>
                <w:szCs w:val="22"/>
              </w:rPr>
            </w:pPr>
            <w:r w:rsidRPr="003F0BB9">
              <w:rPr>
                <w:b/>
                <w:sz w:val="22"/>
                <w:szCs w:val="22"/>
              </w:rPr>
              <w:t xml:space="preserve">§ </w:t>
            </w:r>
            <w:r>
              <w:rPr>
                <w:b/>
                <w:sz w:val="22"/>
                <w:szCs w:val="22"/>
              </w:rPr>
              <w:t>14</w:t>
            </w:r>
          </w:p>
          <w:p w14:paraId="15A60B9F" w14:textId="77777777" w:rsidR="0038361B" w:rsidRDefault="0038361B" w:rsidP="00A2305A">
            <w:pPr>
              <w:rPr>
                <w:b/>
                <w:sz w:val="22"/>
                <w:szCs w:val="22"/>
              </w:rPr>
            </w:pPr>
          </w:p>
          <w:p w14:paraId="4EBB1E02" w14:textId="77777777" w:rsidR="00D11614" w:rsidRPr="003F0BB9" w:rsidRDefault="00D11614" w:rsidP="00A2305A">
            <w:pPr>
              <w:rPr>
                <w:b/>
                <w:sz w:val="22"/>
                <w:szCs w:val="22"/>
              </w:rPr>
            </w:pPr>
          </w:p>
        </w:tc>
        <w:tc>
          <w:tcPr>
            <w:tcW w:w="6946" w:type="dxa"/>
          </w:tcPr>
          <w:p w14:paraId="48D90D28" w14:textId="208C7D8F" w:rsidR="00A2305A" w:rsidRPr="00A2305A" w:rsidRDefault="00A2305A" w:rsidP="00A2305A">
            <w:pPr>
              <w:tabs>
                <w:tab w:val="left" w:pos="1701"/>
              </w:tabs>
              <w:rPr>
                <w:b/>
                <w:bCs/>
                <w:sz w:val="22"/>
                <w:szCs w:val="22"/>
              </w:rPr>
            </w:pPr>
            <w:r w:rsidRPr="00A2305A">
              <w:rPr>
                <w:b/>
                <w:bCs/>
                <w:sz w:val="22"/>
                <w:szCs w:val="22"/>
              </w:rPr>
              <w:lastRenderedPageBreak/>
              <w:t>Förslag till revidering av olycksutrednings-, hamnstatskontroll- respektive flaggstatsdirektivet</w:t>
            </w:r>
          </w:p>
          <w:p w14:paraId="555E7E19" w14:textId="77D1E9D8" w:rsidR="00A2305A" w:rsidRDefault="00A2305A" w:rsidP="00A2305A">
            <w:pPr>
              <w:tabs>
                <w:tab w:val="left" w:pos="1701"/>
              </w:tabs>
              <w:rPr>
                <w:sz w:val="22"/>
                <w:szCs w:val="22"/>
              </w:rPr>
            </w:pPr>
          </w:p>
          <w:p w14:paraId="7BA13614" w14:textId="77777777" w:rsidR="00A30185" w:rsidRPr="00A30185" w:rsidRDefault="00A30185" w:rsidP="00A30185">
            <w:pPr>
              <w:tabs>
                <w:tab w:val="left" w:pos="1701"/>
              </w:tabs>
              <w:rPr>
                <w:sz w:val="22"/>
                <w:szCs w:val="22"/>
              </w:rPr>
            </w:pPr>
            <w:r w:rsidRPr="00A30185">
              <w:rPr>
                <w:sz w:val="22"/>
                <w:szCs w:val="22"/>
              </w:rPr>
              <w:t>Utskottet överlade med statssekreterare Johan Davidson, biträdd av medarbetare från Landsbygds- och infrastrukturdepartementet.</w:t>
            </w:r>
          </w:p>
          <w:p w14:paraId="72A4893C" w14:textId="77777777" w:rsidR="00A30185" w:rsidRPr="00A30185" w:rsidRDefault="00A30185" w:rsidP="00A30185">
            <w:pPr>
              <w:tabs>
                <w:tab w:val="left" w:pos="1701"/>
              </w:tabs>
              <w:rPr>
                <w:sz w:val="22"/>
                <w:szCs w:val="22"/>
              </w:rPr>
            </w:pPr>
          </w:p>
          <w:p w14:paraId="2D31B943" w14:textId="77777777" w:rsidR="00A30185" w:rsidRPr="00A30185" w:rsidRDefault="00A30185" w:rsidP="00A30185">
            <w:pPr>
              <w:tabs>
                <w:tab w:val="left" w:pos="1701"/>
              </w:tabs>
              <w:rPr>
                <w:sz w:val="22"/>
                <w:szCs w:val="22"/>
              </w:rPr>
            </w:pPr>
            <w:r w:rsidRPr="00A30185">
              <w:rPr>
                <w:sz w:val="22"/>
                <w:szCs w:val="22"/>
              </w:rPr>
              <w:t xml:space="preserve">Underlaget utgjordes av kommissionens förslag </w:t>
            </w:r>
            <w:proofErr w:type="gramStart"/>
            <w:r w:rsidRPr="00A30185">
              <w:rPr>
                <w:sz w:val="22"/>
                <w:szCs w:val="22"/>
              </w:rPr>
              <w:t>COM(</w:t>
            </w:r>
            <w:proofErr w:type="gramEnd"/>
            <w:r w:rsidRPr="00A30185">
              <w:rPr>
                <w:sz w:val="22"/>
                <w:szCs w:val="22"/>
              </w:rPr>
              <w:t xml:space="preserve">2023) 270, COM(2023) 271 och COM(2023) 272 samt Regeringskansliets faktapromemoria 2022/23:FPM102 (dnr 121-2023/24). </w:t>
            </w:r>
          </w:p>
          <w:p w14:paraId="679CF98F" w14:textId="77777777" w:rsidR="00A30185" w:rsidRPr="00A30185" w:rsidRDefault="00A30185" w:rsidP="00A30185">
            <w:pPr>
              <w:tabs>
                <w:tab w:val="left" w:pos="1701"/>
              </w:tabs>
              <w:rPr>
                <w:sz w:val="22"/>
                <w:szCs w:val="22"/>
              </w:rPr>
            </w:pPr>
          </w:p>
          <w:p w14:paraId="0C1EC1F6" w14:textId="77777777" w:rsidR="00A30185" w:rsidRPr="00A30185" w:rsidRDefault="00A30185" w:rsidP="00A30185">
            <w:pPr>
              <w:tabs>
                <w:tab w:val="left" w:pos="1701"/>
              </w:tabs>
              <w:rPr>
                <w:sz w:val="22"/>
                <w:szCs w:val="22"/>
              </w:rPr>
            </w:pPr>
            <w:r w:rsidRPr="00A30185">
              <w:rPr>
                <w:sz w:val="22"/>
                <w:szCs w:val="22"/>
              </w:rPr>
              <w:t>Statssekreterare Johan Davidson redogjorde för regeringens ståndpunkt i enlighet med faktapromemorian (bilaga 2).</w:t>
            </w:r>
          </w:p>
          <w:p w14:paraId="1303BA22" w14:textId="77777777" w:rsidR="00A30185" w:rsidRPr="00A30185" w:rsidRDefault="00A30185" w:rsidP="00A30185">
            <w:pPr>
              <w:tabs>
                <w:tab w:val="left" w:pos="1701"/>
              </w:tabs>
              <w:rPr>
                <w:sz w:val="22"/>
                <w:szCs w:val="22"/>
              </w:rPr>
            </w:pPr>
          </w:p>
          <w:p w14:paraId="110873EF" w14:textId="77777777" w:rsidR="00A30185" w:rsidRPr="00A30185" w:rsidRDefault="00A30185" w:rsidP="00A30185">
            <w:pPr>
              <w:tabs>
                <w:tab w:val="left" w:pos="1701"/>
              </w:tabs>
              <w:rPr>
                <w:sz w:val="22"/>
                <w:szCs w:val="22"/>
              </w:rPr>
            </w:pPr>
            <w:r w:rsidRPr="00A30185">
              <w:rPr>
                <w:sz w:val="22"/>
                <w:szCs w:val="22"/>
              </w:rPr>
              <w:t xml:space="preserve">Ordföranden konstaterade att det fanns stöd för regeringens ståndpunkt. </w:t>
            </w:r>
          </w:p>
          <w:p w14:paraId="0C54598A" w14:textId="77777777" w:rsidR="00A30185" w:rsidRPr="00A30185" w:rsidRDefault="00A30185" w:rsidP="00A30185">
            <w:pPr>
              <w:tabs>
                <w:tab w:val="left" w:pos="1701"/>
              </w:tabs>
              <w:rPr>
                <w:sz w:val="22"/>
                <w:szCs w:val="22"/>
              </w:rPr>
            </w:pPr>
          </w:p>
          <w:p w14:paraId="4B04F283" w14:textId="1AFBC213" w:rsidR="00A30185" w:rsidRDefault="00A30185" w:rsidP="00A30185">
            <w:pPr>
              <w:tabs>
                <w:tab w:val="left" w:pos="1701"/>
              </w:tabs>
              <w:rPr>
                <w:sz w:val="22"/>
                <w:szCs w:val="22"/>
              </w:rPr>
            </w:pPr>
            <w:r w:rsidRPr="00A30185">
              <w:rPr>
                <w:sz w:val="22"/>
                <w:szCs w:val="22"/>
              </w:rPr>
              <w:t>Denna paragraf förklarades omedelbart justerad.</w:t>
            </w:r>
          </w:p>
          <w:p w14:paraId="336E705D" w14:textId="77777777" w:rsidR="00A2305A" w:rsidRDefault="00A2305A" w:rsidP="00A2305A">
            <w:pPr>
              <w:tabs>
                <w:tab w:val="left" w:pos="1701"/>
              </w:tabs>
              <w:rPr>
                <w:sz w:val="22"/>
                <w:szCs w:val="22"/>
              </w:rPr>
            </w:pPr>
          </w:p>
          <w:p w14:paraId="702BCCA1" w14:textId="63307752" w:rsidR="00A2305A" w:rsidRPr="00A2305A" w:rsidRDefault="00A2305A" w:rsidP="00A2305A">
            <w:pPr>
              <w:tabs>
                <w:tab w:val="left" w:pos="1701"/>
              </w:tabs>
              <w:rPr>
                <w:b/>
                <w:bCs/>
                <w:sz w:val="22"/>
                <w:szCs w:val="22"/>
              </w:rPr>
            </w:pPr>
            <w:r w:rsidRPr="00A2305A">
              <w:rPr>
                <w:b/>
                <w:bCs/>
                <w:sz w:val="22"/>
                <w:szCs w:val="22"/>
              </w:rPr>
              <w:t>Förslag till ändring av direktivet om föroreningar från fartyg</w:t>
            </w:r>
          </w:p>
          <w:p w14:paraId="66F3AE1E" w14:textId="33CBDB3A" w:rsidR="00A2305A" w:rsidRDefault="00A2305A" w:rsidP="00A2305A">
            <w:pPr>
              <w:tabs>
                <w:tab w:val="left" w:pos="1701"/>
              </w:tabs>
              <w:rPr>
                <w:sz w:val="22"/>
                <w:szCs w:val="22"/>
              </w:rPr>
            </w:pPr>
          </w:p>
          <w:p w14:paraId="52E1243F" w14:textId="77777777" w:rsidR="00A30185" w:rsidRPr="00A30185" w:rsidRDefault="00A30185" w:rsidP="00A30185">
            <w:pPr>
              <w:tabs>
                <w:tab w:val="left" w:pos="1701"/>
              </w:tabs>
              <w:rPr>
                <w:sz w:val="22"/>
                <w:szCs w:val="22"/>
              </w:rPr>
            </w:pPr>
            <w:r w:rsidRPr="00A30185">
              <w:rPr>
                <w:sz w:val="22"/>
                <w:szCs w:val="22"/>
              </w:rPr>
              <w:t>Utskottet överlade med statssekreterare Johan Davidson, biträdd av medarbetare från Landsbygds- och infrastrukturdepartementet.</w:t>
            </w:r>
          </w:p>
          <w:p w14:paraId="22385C68" w14:textId="77777777" w:rsidR="00A30185" w:rsidRPr="00A30185" w:rsidRDefault="00A30185" w:rsidP="00A30185">
            <w:pPr>
              <w:tabs>
                <w:tab w:val="left" w:pos="1701"/>
              </w:tabs>
              <w:rPr>
                <w:sz w:val="22"/>
                <w:szCs w:val="22"/>
              </w:rPr>
            </w:pPr>
          </w:p>
          <w:p w14:paraId="673DBB40" w14:textId="77777777" w:rsidR="00A30185" w:rsidRPr="00A30185" w:rsidRDefault="00A30185" w:rsidP="00A30185">
            <w:pPr>
              <w:tabs>
                <w:tab w:val="left" w:pos="1701"/>
              </w:tabs>
              <w:rPr>
                <w:sz w:val="22"/>
                <w:szCs w:val="22"/>
              </w:rPr>
            </w:pPr>
            <w:r w:rsidRPr="00A30185">
              <w:rPr>
                <w:sz w:val="22"/>
                <w:szCs w:val="22"/>
              </w:rPr>
              <w:t xml:space="preserve">Underlaget utgjordes av kommissionens förslag </w:t>
            </w:r>
            <w:proofErr w:type="gramStart"/>
            <w:r w:rsidRPr="00A30185">
              <w:rPr>
                <w:sz w:val="22"/>
                <w:szCs w:val="22"/>
              </w:rPr>
              <w:t>COM(</w:t>
            </w:r>
            <w:proofErr w:type="gramEnd"/>
            <w:r w:rsidRPr="00A30185">
              <w:rPr>
                <w:sz w:val="22"/>
                <w:szCs w:val="22"/>
              </w:rPr>
              <w:t xml:space="preserve">2023) 273 och Regeringskansliets faktapromemoria 2022/23:FPM103 (dnr 2530-2022/23). </w:t>
            </w:r>
          </w:p>
          <w:p w14:paraId="46456C4D" w14:textId="77777777" w:rsidR="00A30185" w:rsidRPr="00A30185" w:rsidRDefault="00A30185" w:rsidP="00A30185">
            <w:pPr>
              <w:tabs>
                <w:tab w:val="left" w:pos="1701"/>
              </w:tabs>
              <w:rPr>
                <w:sz w:val="22"/>
                <w:szCs w:val="22"/>
              </w:rPr>
            </w:pPr>
          </w:p>
          <w:p w14:paraId="7058AEF2" w14:textId="110A9668" w:rsidR="00A30185" w:rsidRPr="00A30185" w:rsidRDefault="00A30185" w:rsidP="00A30185">
            <w:pPr>
              <w:tabs>
                <w:tab w:val="left" w:pos="1701"/>
              </w:tabs>
              <w:rPr>
                <w:sz w:val="22"/>
                <w:szCs w:val="22"/>
              </w:rPr>
            </w:pPr>
            <w:r w:rsidRPr="00A30185">
              <w:rPr>
                <w:sz w:val="22"/>
                <w:szCs w:val="22"/>
              </w:rPr>
              <w:t xml:space="preserve">Statssekreterare Johan Davidson redogjorde för regeringens ståndpunkt i enlighet med faktapromemorian (bilaga </w:t>
            </w:r>
            <w:r w:rsidR="00E4553B">
              <w:rPr>
                <w:sz w:val="22"/>
                <w:szCs w:val="22"/>
              </w:rPr>
              <w:t>3</w:t>
            </w:r>
            <w:r w:rsidRPr="00A30185">
              <w:rPr>
                <w:sz w:val="22"/>
                <w:szCs w:val="22"/>
              </w:rPr>
              <w:t>).</w:t>
            </w:r>
          </w:p>
          <w:p w14:paraId="153C661D" w14:textId="77777777" w:rsidR="00A30185" w:rsidRPr="00A30185" w:rsidRDefault="00A30185" w:rsidP="00A30185">
            <w:pPr>
              <w:tabs>
                <w:tab w:val="left" w:pos="1701"/>
              </w:tabs>
              <w:rPr>
                <w:sz w:val="22"/>
                <w:szCs w:val="22"/>
              </w:rPr>
            </w:pPr>
          </w:p>
          <w:p w14:paraId="4926251A" w14:textId="77777777" w:rsidR="00A30185" w:rsidRPr="00A30185" w:rsidRDefault="00A30185" w:rsidP="00A30185">
            <w:pPr>
              <w:tabs>
                <w:tab w:val="left" w:pos="1701"/>
              </w:tabs>
              <w:rPr>
                <w:sz w:val="22"/>
                <w:szCs w:val="22"/>
              </w:rPr>
            </w:pPr>
            <w:r w:rsidRPr="00A30185">
              <w:rPr>
                <w:sz w:val="22"/>
                <w:szCs w:val="22"/>
              </w:rPr>
              <w:t xml:space="preserve">Ordföranden konstaterade att det fanns stöd för regeringens ståndpunkt. </w:t>
            </w:r>
          </w:p>
          <w:p w14:paraId="576A239F" w14:textId="77777777" w:rsidR="00A30185" w:rsidRPr="00A30185" w:rsidRDefault="00A30185" w:rsidP="00A30185">
            <w:pPr>
              <w:tabs>
                <w:tab w:val="left" w:pos="1701"/>
              </w:tabs>
              <w:rPr>
                <w:sz w:val="22"/>
                <w:szCs w:val="22"/>
              </w:rPr>
            </w:pPr>
          </w:p>
          <w:p w14:paraId="2EA621A1" w14:textId="1DE5680D" w:rsidR="00A30185" w:rsidRDefault="00A30185" w:rsidP="00A30185">
            <w:pPr>
              <w:tabs>
                <w:tab w:val="left" w:pos="1701"/>
              </w:tabs>
              <w:rPr>
                <w:sz w:val="22"/>
                <w:szCs w:val="22"/>
              </w:rPr>
            </w:pPr>
            <w:r w:rsidRPr="00A30185">
              <w:rPr>
                <w:sz w:val="22"/>
                <w:szCs w:val="22"/>
              </w:rPr>
              <w:t>Denna paragraf förklarades omedelbart justerad.</w:t>
            </w:r>
          </w:p>
          <w:p w14:paraId="3EAECCE0" w14:textId="77777777" w:rsidR="00A2305A" w:rsidRDefault="00A2305A" w:rsidP="00A2305A">
            <w:pPr>
              <w:tabs>
                <w:tab w:val="left" w:pos="1701"/>
              </w:tabs>
              <w:rPr>
                <w:sz w:val="22"/>
                <w:szCs w:val="22"/>
              </w:rPr>
            </w:pPr>
          </w:p>
          <w:p w14:paraId="0DC44F25" w14:textId="53A03DD4" w:rsidR="00A2305A" w:rsidRPr="00A2305A" w:rsidRDefault="00A2305A" w:rsidP="00A2305A">
            <w:pPr>
              <w:tabs>
                <w:tab w:val="left" w:pos="1701"/>
              </w:tabs>
              <w:rPr>
                <w:b/>
                <w:bCs/>
                <w:sz w:val="22"/>
                <w:szCs w:val="22"/>
              </w:rPr>
            </w:pPr>
            <w:r w:rsidRPr="00A2305A">
              <w:rPr>
                <w:b/>
                <w:bCs/>
                <w:sz w:val="22"/>
                <w:szCs w:val="22"/>
              </w:rPr>
              <w:t xml:space="preserve">Förslag till förordning för Europeiska sjösäkerhetsbyrån (EMSA) </w:t>
            </w:r>
          </w:p>
          <w:p w14:paraId="4570CFCC" w14:textId="4DE09A42" w:rsidR="00A2305A" w:rsidRDefault="00A2305A" w:rsidP="00A2305A">
            <w:pPr>
              <w:tabs>
                <w:tab w:val="left" w:pos="1701"/>
              </w:tabs>
              <w:rPr>
                <w:sz w:val="22"/>
                <w:szCs w:val="22"/>
              </w:rPr>
            </w:pPr>
          </w:p>
          <w:p w14:paraId="18A2C898" w14:textId="77777777" w:rsidR="00E0676A" w:rsidRPr="00E0676A" w:rsidRDefault="00E0676A" w:rsidP="00E0676A">
            <w:pPr>
              <w:tabs>
                <w:tab w:val="left" w:pos="1701"/>
              </w:tabs>
              <w:rPr>
                <w:sz w:val="22"/>
                <w:szCs w:val="22"/>
              </w:rPr>
            </w:pPr>
            <w:r w:rsidRPr="00E0676A">
              <w:rPr>
                <w:sz w:val="22"/>
                <w:szCs w:val="22"/>
              </w:rPr>
              <w:t>Utskottet överlade med statssekreterare Johan Davidson, biträdd av medarbetare från Landsbygds- och infrastrukturdepartementet.</w:t>
            </w:r>
          </w:p>
          <w:p w14:paraId="37F61B34" w14:textId="77777777" w:rsidR="00E0676A" w:rsidRPr="00E0676A" w:rsidRDefault="00E0676A" w:rsidP="00E0676A">
            <w:pPr>
              <w:tabs>
                <w:tab w:val="left" w:pos="1701"/>
              </w:tabs>
              <w:rPr>
                <w:sz w:val="22"/>
                <w:szCs w:val="22"/>
              </w:rPr>
            </w:pPr>
          </w:p>
          <w:p w14:paraId="777E6544" w14:textId="77777777" w:rsidR="00E0676A" w:rsidRPr="00E0676A" w:rsidRDefault="00E0676A" w:rsidP="00E0676A">
            <w:pPr>
              <w:tabs>
                <w:tab w:val="left" w:pos="1701"/>
              </w:tabs>
              <w:rPr>
                <w:sz w:val="22"/>
                <w:szCs w:val="22"/>
              </w:rPr>
            </w:pPr>
            <w:r w:rsidRPr="00E0676A">
              <w:rPr>
                <w:sz w:val="22"/>
                <w:szCs w:val="22"/>
              </w:rPr>
              <w:t xml:space="preserve">Underlaget utgjordes av kommissionens förslag </w:t>
            </w:r>
            <w:proofErr w:type="gramStart"/>
            <w:r w:rsidRPr="00E0676A">
              <w:rPr>
                <w:sz w:val="22"/>
                <w:szCs w:val="22"/>
              </w:rPr>
              <w:t>COM(</w:t>
            </w:r>
            <w:proofErr w:type="gramEnd"/>
            <w:r w:rsidRPr="00E0676A">
              <w:rPr>
                <w:sz w:val="22"/>
                <w:szCs w:val="22"/>
              </w:rPr>
              <w:t xml:space="preserve">2023) 269 och Regeringskansliets faktapromemoria 2022/23:FPM104 (dnr 2531-2022/23). </w:t>
            </w:r>
          </w:p>
          <w:p w14:paraId="46FFD791" w14:textId="77777777" w:rsidR="00E0676A" w:rsidRPr="00E0676A" w:rsidRDefault="00E0676A" w:rsidP="00E0676A">
            <w:pPr>
              <w:tabs>
                <w:tab w:val="left" w:pos="1701"/>
              </w:tabs>
              <w:rPr>
                <w:sz w:val="22"/>
                <w:szCs w:val="22"/>
              </w:rPr>
            </w:pPr>
          </w:p>
          <w:p w14:paraId="5FFDA4E0" w14:textId="3DB81163" w:rsidR="00E0676A" w:rsidRPr="00E0676A" w:rsidRDefault="00E0676A" w:rsidP="00E0676A">
            <w:pPr>
              <w:tabs>
                <w:tab w:val="left" w:pos="1701"/>
              </w:tabs>
              <w:rPr>
                <w:sz w:val="22"/>
                <w:szCs w:val="22"/>
              </w:rPr>
            </w:pPr>
            <w:r w:rsidRPr="00E0676A">
              <w:rPr>
                <w:sz w:val="22"/>
                <w:szCs w:val="22"/>
              </w:rPr>
              <w:lastRenderedPageBreak/>
              <w:t xml:space="preserve">Statssekreterare Johan Davidson redogjorde för regeringens ståndpunkt i enlighet med faktapromemorian (bilaga </w:t>
            </w:r>
            <w:r>
              <w:rPr>
                <w:sz w:val="22"/>
                <w:szCs w:val="22"/>
              </w:rPr>
              <w:t>4</w:t>
            </w:r>
            <w:r w:rsidRPr="00E0676A">
              <w:rPr>
                <w:sz w:val="22"/>
                <w:szCs w:val="22"/>
              </w:rPr>
              <w:t>).</w:t>
            </w:r>
          </w:p>
          <w:p w14:paraId="20AAFEFE" w14:textId="77777777" w:rsidR="00E0676A" w:rsidRPr="00E0676A" w:rsidRDefault="00E0676A" w:rsidP="00E0676A">
            <w:pPr>
              <w:tabs>
                <w:tab w:val="left" w:pos="1701"/>
              </w:tabs>
              <w:rPr>
                <w:sz w:val="22"/>
                <w:szCs w:val="22"/>
              </w:rPr>
            </w:pPr>
          </w:p>
          <w:p w14:paraId="5B05130A" w14:textId="77777777" w:rsidR="00E0676A" w:rsidRPr="00E0676A" w:rsidRDefault="00E0676A" w:rsidP="00E0676A">
            <w:pPr>
              <w:tabs>
                <w:tab w:val="left" w:pos="1701"/>
              </w:tabs>
              <w:rPr>
                <w:sz w:val="22"/>
                <w:szCs w:val="22"/>
              </w:rPr>
            </w:pPr>
            <w:r w:rsidRPr="00E0676A">
              <w:rPr>
                <w:sz w:val="22"/>
                <w:szCs w:val="22"/>
              </w:rPr>
              <w:t xml:space="preserve">Ordföranden konstaterade att det fanns stöd för regeringens ståndpunkt. </w:t>
            </w:r>
          </w:p>
          <w:p w14:paraId="6CB84C62" w14:textId="77777777" w:rsidR="00E0676A" w:rsidRPr="00E0676A" w:rsidRDefault="00E0676A" w:rsidP="00E0676A">
            <w:pPr>
              <w:tabs>
                <w:tab w:val="left" w:pos="1701"/>
              </w:tabs>
              <w:rPr>
                <w:sz w:val="22"/>
                <w:szCs w:val="22"/>
              </w:rPr>
            </w:pPr>
          </w:p>
          <w:p w14:paraId="75573F10" w14:textId="77777777" w:rsidR="00E0676A" w:rsidRPr="00E0676A" w:rsidRDefault="00E0676A" w:rsidP="00E0676A">
            <w:pPr>
              <w:tabs>
                <w:tab w:val="left" w:pos="1701"/>
              </w:tabs>
              <w:rPr>
                <w:sz w:val="22"/>
                <w:szCs w:val="22"/>
              </w:rPr>
            </w:pPr>
            <w:r w:rsidRPr="00E0676A">
              <w:rPr>
                <w:sz w:val="22"/>
                <w:szCs w:val="22"/>
              </w:rPr>
              <w:t>Denna paragraf förklarades omedelbart justerad.</w:t>
            </w:r>
          </w:p>
          <w:p w14:paraId="2B7AFF3C" w14:textId="77777777" w:rsidR="00A2305A" w:rsidRPr="00A2305A" w:rsidRDefault="00A2305A" w:rsidP="00A2305A">
            <w:pPr>
              <w:tabs>
                <w:tab w:val="left" w:pos="1701"/>
              </w:tabs>
              <w:rPr>
                <w:sz w:val="22"/>
                <w:szCs w:val="22"/>
              </w:rPr>
            </w:pPr>
          </w:p>
          <w:p w14:paraId="3F1CE927" w14:textId="593363B9" w:rsidR="00A2305A" w:rsidRPr="00A2305A" w:rsidRDefault="00A2305A" w:rsidP="00A2305A">
            <w:pPr>
              <w:tabs>
                <w:tab w:val="left" w:pos="1701"/>
              </w:tabs>
              <w:rPr>
                <w:b/>
                <w:bCs/>
                <w:sz w:val="22"/>
                <w:szCs w:val="22"/>
              </w:rPr>
            </w:pPr>
            <w:r w:rsidRPr="00A2305A">
              <w:rPr>
                <w:b/>
                <w:bCs/>
                <w:sz w:val="22"/>
                <w:szCs w:val="22"/>
              </w:rPr>
              <w:t>Justering av protokoll</w:t>
            </w:r>
          </w:p>
          <w:p w14:paraId="5F146088" w14:textId="0834FA6A" w:rsidR="00A2305A" w:rsidRDefault="00A2305A" w:rsidP="00A2305A">
            <w:pPr>
              <w:tabs>
                <w:tab w:val="left" w:pos="1701"/>
              </w:tabs>
              <w:rPr>
                <w:sz w:val="22"/>
                <w:szCs w:val="22"/>
              </w:rPr>
            </w:pPr>
          </w:p>
          <w:p w14:paraId="73776ECD" w14:textId="2063CA67" w:rsidR="0091628D" w:rsidRPr="0091628D" w:rsidRDefault="0091628D" w:rsidP="00A2305A">
            <w:pPr>
              <w:tabs>
                <w:tab w:val="left" w:pos="1701"/>
              </w:tabs>
              <w:rPr>
                <w:bCs/>
                <w:sz w:val="22"/>
                <w:szCs w:val="22"/>
              </w:rPr>
            </w:pPr>
            <w:r w:rsidRPr="0091628D">
              <w:rPr>
                <w:bCs/>
                <w:sz w:val="22"/>
                <w:szCs w:val="22"/>
              </w:rPr>
              <w:t>Utskottet justerade protokoll 202</w:t>
            </w:r>
            <w:r>
              <w:rPr>
                <w:bCs/>
                <w:sz w:val="22"/>
                <w:szCs w:val="22"/>
              </w:rPr>
              <w:t>3/24:1</w:t>
            </w:r>
            <w:r w:rsidRPr="0091628D">
              <w:rPr>
                <w:bCs/>
                <w:sz w:val="22"/>
                <w:szCs w:val="22"/>
              </w:rPr>
              <w:t>.</w:t>
            </w:r>
          </w:p>
          <w:p w14:paraId="5458BD44" w14:textId="77777777" w:rsidR="00A30185" w:rsidRDefault="00A30185" w:rsidP="00A2305A">
            <w:pPr>
              <w:tabs>
                <w:tab w:val="left" w:pos="1701"/>
              </w:tabs>
              <w:rPr>
                <w:sz w:val="22"/>
                <w:szCs w:val="22"/>
              </w:rPr>
            </w:pPr>
          </w:p>
          <w:p w14:paraId="158DE578" w14:textId="1F501A79" w:rsidR="00A2305A" w:rsidRPr="00A2305A" w:rsidRDefault="00A2305A" w:rsidP="00A2305A">
            <w:pPr>
              <w:tabs>
                <w:tab w:val="left" w:pos="1701"/>
              </w:tabs>
              <w:rPr>
                <w:b/>
                <w:bCs/>
                <w:sz w:val="22"/>
                <w:szCs w:val="22"/>
              </w:rPr>
            </w:pPr>
            <w:r w:rsidRPr="00A2305A">
              <w:rPr>
                <w:b/>
                <w:bCs/>
                <w:sz w:val="22"/>
                <w:szCs w:val="22"/>
              </w:rPr>
              <w:t>En gemensam laddningsstandard för viss radioutrustning (TU2)</w:t>
            </w:r>
          </w:p>
          <w:p w14:paraId="11EFB35A" w14:textId="77777777" w:rsidR="0091628D" w:rsidRPr="0091628D" w:rsidRDefault="0091628D" w:rsidP="0091628D">
            <w:pPr>
              <w:tabs>
                <w:tab w:val="left" w:pos="1701"/>
              </w:tabs>
              <w:rPr>
                <w:sz w:val="22"/>
                <w:szCs w:val="22"/>
              </w:rPr>
            </w:pPr>
          </w:p>
          <w:p w14:paraId="33C02F14" w14:textId="17A596FC" w:rsidR="0091628D" w:rsidRPr="0091628D" w:rsidRDefault="0091628D" w:rsidP="0091628D">
            <w:pPr>
              <w:tabs>
                <w:tab w:val="left" w:pos="1701"/>
              </w:tabs>
              <w:rPr>
                <w:sz w:val="22"/>
                <w:szCs w:val="22"/>
              </w:rPr>
            </w:pPr>
            <w:r w:rsidRPr="0091628D">
              <w:rPr>
                <w:sz w:val="22"/>
                <w:szCs w:val="22"/>
              </w:rPr>
              <w:t>Utskottet påbörjade behandlingen av proposition 202</w:t>
            </w:r>
            <w:r>
              <w:rPr>
                <w:sz w:val="22"/>
                <w:szCs w:val="22"/>
              </w:rPr>
              <w:t>2</w:t>
            </w:r>
            <w:r w:rsidRPr="0091628D">
              <w:rPr>
                <w:sz w:val="22"/>
                <w:szCs w:val="22"/>
              </w:rPr>
              <w:t>/2</w:t>
            </w:r>
            <w:r>
              <w:rPr>
                <w:sz w:val="22"/>
                <w:szCs w:val="22"/>
              </w:rPr>
              <w:t>3</w:t>
            </w:r>
            <w:r w:rsidRPr="0091628D">
              <w:rPr>
                <w:sz w:val="22"/>
                <w:szCs w:val="22"/>
              </w:rPr>
              <w:t>:</w:t>
            </w:r>
            <w:r>
              <w:rPr>
                <w:sz w:val="22"/>
                <w:szCs w:val="22"/>
              </w:rPr>
              <w:t>138</w:t>
            </w:r>
            <w:r w:rsidRPr="0091628D">
              <w:rPr>
                <w:sz w:val="22"/>
                <w:szCs w:val="22"/>
              </w:rPr>
              <w:t>.</w:t>
            </w:r>
          </w:p>
          <w:p w14:paraId="6EDAF29F" w14:textId="77777777" w:rsidR="0091628D" w:rsidRPr="0091628D" w:rsidRDefault="0091628D" w:rsidP="0091628D">
            <w:pPr>
              <w:tabs>
                <w:tab w:val="left" w:pos="1701"/>
              </w:tabs>
              <w:rPr>
                <w:sz w:val="22"/>
                <w:szCs w:val="22"/>
              </w:rPr>
            </w:pPr>
          </w:p>
          <w:p w14:paraId="6EBB4CB1" w14:textId="609AAE3A" w:rsidR="00A2305A" w:rsidRDefault="0091628D" w:rsidP="0091628D">
            <w:pPr>
              <w:tabs>
                <w:tab w:val="left" w:pos="1701"/>
              </w:tabs>
              <w:rPr>
                <w:sz w:val="22"/>
                <w:szCs w:val="22"/>
              </w:rPr>
            </w:pPr>
            <w:r w:rsidRPr="0091628D">
              <w:rPr>
                <w:sz w:val="22"/>
                <w:szCs w:val="22"/>
              </w:rPr>
              <w:t>Ärendet bordlades.</w:t>
            </w:r>
          </w:p>
          <w:p w14:paraId="7D356787" w14:textId="77777777" w:rsidR="00A2305A" w:rsidRPr="00A2305A" w:rsidRDefault="00A2305A" w:rsidP="00A2305A">
            <w:pPr>
              <w:tabs>
                <w:tab w:val="left" w:pos="1701"/>
              </w:tabs>
              <w:rPr>
                <w:sz w:val="22"/>
                <w:szCs w:val="22"/>
              </w:rPr>
            </w:pPr>
          </w:p>
          <w:p w14:paraId="5BC8D62C" w14:textId="3BA8F33C" w:rsidR="00A2305A" w:rsidRPr="00A2305A" w:rsidRDefault="00A2305A" w:rsidP="00A2305A">
            <w:pPr>
              <w:tabs>
                <w:tab w:val="left" w:pos="1701"/>
              </w:tabs>
              <w:rPr>
                <w:b/>
                <w:bCs/>
                <w:sz w:val="22"/>
                <w:szCs w:val="22"/>
              </w:rPr>
            </w:pPr>
            <w:r w:rsidRPr="00A2305A">
              <w:rPr>
                <w:b/>
                <w:bCs/>
                <w:sz w:val="22"/>
                <w:szCs w:val="22"/>
              </w:rPr>
              <w:t>Förslag till Europaparlamentets och rådets förordning om redovisning av växthusgasutsläpp från transporttjänster</w:t>
            </w:r>
          </w:p>
          <w:p w14:paraId="6863A83F" w14:textId="77777777" w:rsidR="00E0676A" w:rsidRDefault="00E0676A" w:rsidP="00E0676A">
            <w:pPr>
              <w:tabs>
                <w:tab w:val="left" w:pos="1701"/>
              </w:tabs>
              <w:rPr>
                <w:sz w:val="22"/>
                <w:szCs w:val="22"/>
              </w:rPr>
            </w:pPr>
          </w:p>
          <w:p w14:paraId="32347837" w14:textId="62DD8C7E" w:rsidR="00E0676A" w:rsidRPr="00E0676A" w:rsidRDefault="00E0676A" w:rsidP="00E0676A">
            <w:pPr>
              <w:tabs>
                <w:tab w:val="left" w:pos="1701"/>
              </w:tabs>
              <w:rPr>
                <w:sz w:val="22"/>
                <w:szCs w:val="22"/>
              </w:rPr>
            </w:pPr>
            <w:r w:rsidRPr="00E0676A">
              <w:rPr>
                <w:sz w:val="22"/>
                <w:szCs w:val="22"/>
              </w:rPr>
              <w:t xml:space="preserve">Utskottet inledde subsidiaritetsprövningen av </w:t>
            </w:r>
            <w:proofErr w:type="gramStart"/>
            <w:r w:rsidRPr="00E0676A">
              <w:rPr>
                <w:sz w:val="22"/>
                <w:szCs w:val="22"/>
              </w:rPr>
              <w:t>COM(</w:t>
            </w:r>
            <w:proofErr w:type="gramEnd"/>
            <w:r w:rsidRPr="00E0676A">
              <w:rPr>
                <w:sz w:val="22"/>
                <w:szCs w:val="22"/>
              </w:rPr>
              <w:t>2023) 441.</w:t>
            </w:r>
          </w:p>
          <w:p w14:paraId="21F4AC4D" w14:textId="77777777" w:rsidR="00E0676A" w:rsidRPr="00E0676A" w:rsidRDefault="00E0676A" w:rsidP="00E0676A">
            <w:pPr>
              <w:tabs>
                <w:tab w:val="left" w:pos="1701"/>
              </w:tabs>
              <w:rPr>
                <w:sz w:val="22"/>
                <w:szCs w:val="22"/>
              </w:rPr>
            </w:pPr>
          </w:p>
          <w:p w14:paraId="4282C30A" w14:textId="77777777" w:rsidR="00E0676A" w:rsidRPr="00E0676A" w:rsidRDefault="00E0676A" w:rsidP="00E0676A">
            <w:pPr>
              <w:tabs>
                <w:tab w:val="left" w:pos="1701"/>
              </w:tabs>
              <w:rPr>
                <w:sz w:val="22"/>
                <w:szCs w:val="22"/>
              </w:rPr>
            </w:pPr>
            <w:r w:rsidRPr="00E0676A">
              <w:rPr>
                <w:sz w:val="22"/>
                <w:szCs w:val="22"/>
              </w:rPr>
              <w:t>Utskottet ansåg att förslaget inte strider mot subsidiaritetsprincipen.</w:t>
            </w:r>
          </w:p>
          <w:p w14:paraId="278DCCCD" w14:textId="77777777" w:rsidR="00E0676A" w:rsidRPr="00E0676A" w:rsidRDefault="00E0676A" w:rsidP="00E0676A">
            <w:pPr>
              <w:tabs>
                <w:tab w:val="left" w:pos="1701"/>
              </w:tabs>
              <w:rPr>
                <w:sz w:val="22"/>
                <w:szCs w:val="22"/>
              </w:rPr>
            </w:pPr>
          </w:p>
          <w:p w14:paraId="7BAE554D" w14:textId="05F6A9D2" w:rsidR="00A2305A" w:rsidRDefault="00E0676A" w:rsidP="00E0676A">
            <w:pPr>
              <w:tabs>
                <w:tab w:val="left" w:pos="1701"/>
              </w:tabs>
              <w:rPr>
                <w:sz w:val="22"/>
                <w:szCs w:val="22"/>
              </w:rPr>
            </w:pPr>
            <w:r w:rsidRPr="00E0676A">
              <w:rPr>
                <w:sz w:val="22"/>
                <w:szCs w:val="22"/>
              </w:rPr>
              <w:t>Denna paragraf förklarades omedelbart justerad.</w:t>
            </w:r>
          </w:p>
          <w:p w14:paraId="66127313" w14:textId="77777777" w:rsidR="00A2305A" w:rsidRPr="00A2305A" w:rsidRDefault="00A2305A" w:rsidP="00A2305A">
            <w:pPr>
              <w:tabs>
                <w:tab w:val="left" w:pos="1701"/>
              </w:tabs>
              <w:rPr>
                <w:sz w:val="22"/>
                <w:szCs w:val="22"/>
              </w:rPr>
            </w:pPr>
          </w:p>
          <w:p w14:paraId="6A0B5BAA" w14:textId="7ADB18D4" w:rsidR="00A2305A" w:rsidRPr="00A2305A" w:rsidRDefault="00A2305A" w:rsidP="00A2305A">
            <w:pPr>
              <w:tabs>
                <w:tab w:val="left" w:pos="1701"/>
              </w:tabs>
              <w:rPr>
                <w:b/>
                <w:bCs/>
                <w:sz w:val="22"/>
                <w:szCs w:val="22"/>
              </w:rPr>
            </w:pPr>
            <w:r w:rsidRPr="00A2305A">
              <w:rPr>
                <w:b/>
                <w:bCs/>
                <w:sz w:val="22"/>
                <w:szCs w:val="22"/>
              </w:rPr>
              <w:t>Förslag till Europaparlamentets och rådets förordning om utnyttjande av järnvägsinfrastrukturkapacitet i det gemensamma europeiska järnvägsområdet, om ändring av direktiv 2012/34/EU och om upphävande av förordning (EU) nr 913/2010</w:t>
            </w:r>
          </w:p>
          <w:p w14:paraId="3ED0399B" w14:textId="77777777" w:rsidR="00A2305A" w:rsidRDefault="00A2305A" w:rsidP="00A2305A">
            <w:pPr>
              <w:tabs>
                <w:tab w:val="left" w:pos="1701"/>
              </w:tabs>
              <w:rPr>
                <w:sz w:val="22"/>
                <w:szCs w:val="22"/>
              </w:rPr>
            </w:pPr>
          </w:p>
          <w:p w14:paraId="03EDEDB6" w14:textId="77777777" w:rsidR="00E0676A" w:rsidRPr="00E0676A" w:rsidRDefault="00E0676A" w:rsidP="00E0676A">
            <w:pPr>
              <w:tabs>
                <w:tab w:val="left" w:pos="1701"/>
              </w:tabs>
              <w:rPr>
                <w:sz w:val="22"/>
                <w:szCs w:val="22"/>
              </w:rPr>
            </w:pPr>
            <w:r w:rsidRPr="00E0676A">
              <w:rPr>
                <w:sz w:val="22"/>
                <w:szCs w:val="22"/>
              </w:rPr>
              <w:t xml:space="preserve">Utskottet inledde subsidiaritetsprövningen av </w:t>
            </w:r>
            <w:proofErr w:type="gramStart"/>
            <w:r w:rsidRPr="00E0676A">
              <w:rPr>
                <w:sz w:val="22"/>
                <w:szCs w:val="22"/>
              </w:rPr>
              <w:t>COM(</w:t>
            </w:r>
            <w:proofErr w:type="gramEnd"/>
            <w:r w:rsidRPr="00E0676A">
              <w:rPr>
                <w:sz w:val="22"/>
                <w:szCs w:val="22"/>
              </w:rPr>
              <w:t>2023) 443.</w:t>
            </w:r>
          </w:p>
          <w:p w14:paraId="59C511FE" w14:textId="77777777" w:rsidR="00E0676A" w:rsidRPr="00E0676A" w:rsidRDefault="00E0676A" w:rsidP="00E0676A">
            <w:pPr>
              <w:tabs>
                <w:tab w:val="left" w:pos="1701"/>
              </w:tabs>
              <w:rPr>
                <w:sz w:val="22"/>
                <w:szCs w:val="22"/>
              </w:rPr>
            </w:pPr>
          </w:p>
          <w:p w14:paraId="632DBA31" w14:textId="049AF9A6" w:rsidR="00A2305A" w:rsidRDefault="005E3207" w:rsidP="00E0676A">
            <w:pPr>
              <w:tabs>
                <w:tab w:val="left" w:pos="1701"/>
              </w:tabs>
              <w:rPr>
                <w:sz w:val="22"/>
                <w:szCs w:val="22"/>
              </w:rPr>
            </w:pPr>
            <w:r>
              <w:rPr>
                <w:sz w:val="22"/>
                <w:szCs w:val="22"/>
              </w:rPr>
              <w:t>Ärendet bordlades.</w:t>
            </w:r>
          </w:p>
          <w:p w14:paraId="5C07ED90" w14:textId="77777777" w:rsidR="00A2305A" w:rsidRDefault="00A2305A" w:rsidP="00A2305A">
            <w:pPr>
              <w:tabs>
                <w:tab w:val="left" w:pos="1701"/>
              </w:tabs>
              <w:rPr>
                <w:sz w:val="22"/>
                <w:szCs w:val="22"/>
              </w:rPr>
            </w:pPr>
          </w:p>
          <w:p w14:paraId="2CC60804" w14:textId="5B4D21AF" w:rsidR="00A2305A" w:rsidRPr="00A2305A" w:rsidRDefault="00A2305A" w:rsidP="00A2305A">
            <w:pPr>
              <w:tabs>
                <w:tab w:val="left" w:pos="1701"/>
              </w:tabs>
              <w:rPr>
                <w:b/>
                <w:bCs/>
                <w:sz w:val="22"/>
                <w:szCs w:val="22"/>
              </w:rPr>
            </w:pPr>
            <w:r w:rsidRPr="00A2305A">
              <w:rPr>
                <w:b/>
                <w:bCs/>
                <w:sz w:val="22"/>
                <w:szCs w:val="22"/>
              </w:rPr>
              <w:t>Förslag till Europaparlamentets och rådets förordning om ändring av rådets direktiv 96/53/EG om största tillåtna dimensioner i nationell och internationell trafik och högsta tillåtna vikter i internationell trafik för vissa vägfordon som framförs inom gemenskapen</w:t>
            </w:r>
          </w:p>
          <w:p w14:paraId="400D9501" w14:textId="2C7414C7" w:rsidR="00A2305A" w:rsidRDefault="00A2305A" w:rsidP="00A2305A">
            <w:pPr>
              <w:tabs>
                <w:tab w:val="left" w:pos="1701"/>
              </w:tabs>
              <w:rPr>
                <w:sz w:val="22"/>
                <w:szCs w:val="22"/>
              </w:rPr>
            </w:pPr>
          </w:p>
          <w:p w14:paraId="191EB3AF" w14:textId="77777777" w:rsidR="00E0676A" w:rsidRPr="00E0676A" w:rsidRDefault="00E0676A" w:rsidP="00E0676A">
            <w:pPr>
              <w:tabs>
                <w:tab w:val="left" w:pos="1701"/>
              </w:tabs>
              <w:rPr>
                <w:sz w:val="22"/>
                <w:szCs w:val="22"/>
              </w:rPr>
            </w:pPr>
            <w:r w:rsidRPr="00E0676A">
              <w:rPr>
                <w:sz w:val="22"/>
                <w:szCs w:val="22"/>
              </w:rPr>
              <w:t xml:space="preserve">Utskottet inledde subsidiaritetsprövningen av </w:t>
            </w:r>
            <w:proofErr w:type="gramStart"/>
            <w:r w:rsidRPr="00E0676A">
              <w:rPr>
                <w:sz w:val="22"/>
                <w:szCs w:val="22"/>
              </w:rPr>
              <w:t>COM(</w:t>
            </w:r>
            <w:proofErr w:type="gramEnd"/>
            <w:r w:rsidRPr="00E0676A">
              <w:rPr>
                <w:sz w:val="22"/>
                <w:szCs w:val="22"/>
              </w:rPr>
              <w:t>2023) 445.</w:t>
            </w:r>
          </w:p>
          <w:p w14:paraId="49DFFCE4" w14:textId="77777777" w:rsidR="00E0676A" w:rsidRPr="00E0676A" w:rsidRDefault="00E0676A" w:rsidP="00E0676A">
            <w:pPr>
              <w:tabs>
                <w:tab w:val="left" w:pos="1701"/>
              </w:tabs>
              <w:rPr>
                <w:sz w:val="22"/>
                <w:szCs w:val="22"/>
              </w:rPr>
            </w:pPr>
          </w:p>
          <w:p w14:paraId="30F59923" w14:textId="77777777" w:rsidR="00E0676A" w:rsidRPr="00E0676A" w:rsidRDefault="00E0676A" w:rsidP="00E0676A">
            <w:pPr>
              <w:tabs>
                <w:tab w:val="left" w:pos="1701"/>
              </w:tabs>
              <w:rPr>
                <w:sz w:val="22"/>
                <w:szCs w:val="22"/>
              </w:rPr>
            </w:pPr>
            <w:r w:rsidRPr="00E0676A">
              <w:rPr>
                <w:sz w:val="22"/>
                <w:szCs w:val="22"/>
              </w:rPr>
              <w:t>Utskottet ansåg att förslaget inte strider mot subsidiaritetsprincipen.</w:t>
            </w:r>
          </w:p>
          <w:p w14:paraId="5900932E" w14:textId="77777777" w:rsidR="00E0676A" w:rsidRPr="00E0676A" w:rsidRDefault="00E0676A" w:rsidP="00E0676A">
            <w:pPr>
              <w:tabs>
                <w:tab w:val="left" w:pos="1701"/>
              </w:tabs>
              <w:rPr>
                <w:sz w:val="22"/>
                <w:szCs w:val="22"/>
              </w:rPr>
            </w:pPr>
          </w:p>
          <w:p w14:paraId="7C4DDE5F" w14:textId="061B1FC9" w:rsidR="00E0676A" w:rsidRDefault="00E0676A" w:rsidP="00E0676A">
            <w:pPr>
              <w:tabs>
                <w:tab w:val="left" w:pos="1701"/>
              </w:tabs>
              <w:rPr>
                <w:sz w:val="22"/>
                <w:szCs w:val="22"/>
              </w:rPr>
            </w:pPr>
            <w:r w:rsidRPr="00E0676A">
              <w:rPr>
                <w:sz w:val="22"/>
                <w:szCs w:val="22"/>
              </w:rPr>
              <w:t>Denna paragraf förklarades omedelbart justerad.</w:t>
            </w:r>
          </w:p>
          <w:p w14:paraId="7705BBB6" w14:textId="599F0DDA" w:rsidR="00A2305A" w:rsidRDefault="00A2305A" w:rsidP="00A2305A">
            <w:pPr>
              <w:tabs>
                <w:tab w:val="left" w:pos="1701"/>
              </w:tabs>
              <w:rPr>
                <w:sz w:val="22"/>
                <w:szCs w:val="22"/>
              </w:rPr>
            </w:pPr>
          </w:p>
          <w:p w14:paraId="45E34800" w14:textId="41209BC0" w:rsidR="00E0676A" w:rsidRPr="00E0676A" w:rsidRDefault="00E0676A" w:rsidP="00A2305A">
            <w:pPr>
              <w:tabs>
                <w:tab w:val="left" w:pos="1701"/>
              </w:tabs>
              <w:rPr>
                <w:b/>
                <w:bCs/>
                <w:sz w:val="22"/>
                <w:szCs w:val="22"/>
              </w:rPr>
            </w:pPr>
            <w:r w:rsidRPr="00E0676A">
              <w:rPr>
                <w:b/>
                <w:bCs/>
                <w:sz w:val="22"/>
                <w:szCs w:val="22"/>
              </w:rPr>
              <w:t>Beslut om överläggning</w:t>
            </w:r>
          </w:p>
          <w:p w14:paraId="1B03E839" w14:textId="77777777" w:rsidR="00E0676A" w:rsidRDefault="00E0676A" w:rsidP="00A2305A">
            <w:pPr>
              <w:tabs>
                <w:tab w:val="left" w:pos="1701"/>
              </w:tabs>
              <w:rPr>
                <w:sz w:val="22"/>
                <w:szCs w:val="22"/>
              </w:rPr>
            </w:pPr>
          </w:p>
          <w:p w14:paraId="1C34FBE5" w14:textId="3788435A" w:rsidR="00E0676A" w:rsidRDefault="00E0676A" w:rsidP="00A2305A">
            <w:pPr>
              <w:tabs>
                <w:tab w:val="left" w:pos="1701"/>
              </w:tabs>
              <w:rPr>
                <w:sz w:val="22"/>
                <w:szCs w:val="22"/>
              </w:rPr>
            </w:pPr>
            <w:r>
              <w:rPr>
                <w:sz w:val="22"/>
                <w:szCs w:val="22"/>
              </w:rPr>
              <w:t>Utskottet beslutade att överlägga med regeringen om dels förslag i kommissionens paket för gröna godstransporter (</w:t>
            </w:r>
            <w:proofErr w:type="gramStart"/>
            <w:r>
              <w:rPr>
                <w:sz w:val="22"/>
                <w:szCs w:val="22"/>
              </w:rPr>
              <w:t>COM(</w:t>
            </w:r>
            <w:proofErr w:type="gramEnd"/>
            <w:r>
              <w:rPr>
                <w:sz w:val="22"/>
                <w:szCs w:val="22"/>
              </w:rPr>
              <w:t>2023) 441, COM(2023) 443 och COM(2023) 445), dels förslag</w:t>
            </w:r>
            <w:r w:rsidR="001B435B">
              <w:rPr>
                <w:sz w:val="22"/>
                <w:szCs w:val="22"/>
              </w:rPr>
              <w:t>et</w:t>
            </w:r>
            <w:r>
              <w:rPr>
                <w:sz w:val="22"/>
                <w:szCs w:val="22"/>
              </w:rPr>
              <w:t xml:space="preserve"> till f</w:t>
            </w:r>
            <w:r w:rsidRPr="00E0676A">
              <w:rPr>
                <w:sz w:val="22"/>
                <w:szCs w:val="22"/>
              </w:rPr>
              <w:t xml:space="preserve">örordning om ändrade minimikrav för </w:t>
            </w:r>
            <w:r>
              <w:rPr>
                <w:sz w:val="22"/>
                <w:szCs w:val="22"/>
              </w:rPr>
              <w:t>kör- och vilotider (COM(2023) 256).</w:t>
            </w:r>
          </w:p>
          <w:p w14:paraId="3A58EA66" w14:textId="77777777" w:rsidR="00E0676A" w:rsidRDefault="00E0676A" w:rsidP="00A2305A">
            <w:pPr>
              <w:tabs>
                <w:tab w:val="left" w:pos="1701"/>
              </w:tabs>
              <w:rPr>
                <w:sz w:val="22"/>
                <w:szCs w:val="22"/>
              </w:rPr>
            </w:pPr>
          </w:p>
          <w:p w14:paraId="2F7FBFD4" w14:textId="641A3103" w:rsidR="00A2305A" w:rsidRPr="00A2305A" w:rsidRDefault="00A2305A" w:rsidP="00A2305A">
            <w:pPr>
              <w:tabs>
                <w:tab w:val="left" w:pos="1701"/>
              </w:tabs>
              <w:rPr>
                <w:b/>
                <w:bCs/>
                <w:sz w:val="22"/>
                <w:szCs w:val="22"/>
              </w:rPr>
            </w:pPr>
            <w:r w:rsidRPr="00A2305A">
              <w:rPr>
                <w:b/>
                <w:bCs/>
                <w:sz w:val="22"/>
                <w:szCs w:val="22"/>
              </w:rPr>
              <w:t>Fråga om utskottsinitiativ om järnvägsunderhåll i egen regi</w:t>
            </w:r>
          </w:p>
          <w:p w14:paraId="66B149A1" w14:textId="0E5E27EA" w:rsidR="00A2305A" w:rsidRDefault="00A2305A" w:rsidP="00A2305A">
            <w:pPr>
              <w:tabs>
                <w:tab w:val="left" w:pos="1701"/>
              </w:tabs>
              <w:rPr>
                <w:sz w:val="22"/>
                <w:szCs w:val="22"/>
              </w:rPr>
            </w:pPr>
          </w:p>
          <w:p w14:paraId="4D2DFC98" w14:textId="7289B0A7" w:rsidR="0034038E" w:rsidRDefault="0034038E" w:rsidP="00A2305A">
            <w:pPr>
              <w:tabs>
                <w:tab w:val="left" w:pos="1701"/>
              </w:tabs>
              <w:rPr>
                <w:sz w:val="22"/>
                <w:szCs w:val="22"/>
              </w:rPr>
            </w:pPr>
            <w:r>
              <w:rPr>
                <w:sz w:val="22"/>
                <w:szCs w:val="22"/>
              </w:rPr>
              <w:t xml:space="preserve">Utskottet fortsatte behandlingen av frågan om ett initiativ om järnvägsunderhåll i egen regi. </w:t>
            </w:r>
          </w:p>
          <w:p w14:paraId="274AFCF1" w14:textId="02D67036" w:rsidR="0034038E" w:rsidRDefault="0034038E" w:rsidP="00A2305A">
            <w:pPr>
              <w:tabs>
                <w:tab w:val="left" w:pos="1701"/>
              </w:tabs>
              <w:rPr>
                <w:sz w:val="22"/>
                <w:szCs w:val="22"/>
              </w:rPr>
            </w:pPr>
          </w:p>
          <w:p w14:paraId="779B861B" w14:textId="22ED568D" w:rsidR="0034038E" w:rsidRDefault="0034038E" w:rsidP="00A2305A">
            <w:pPr>
              <w:tabs>
                <w:tab w:val="left" w:pos="1701"/>
              </w:tabs>
              <w:rPr>
                <w:sz w:val="22"/>
                <w:szCs w:val="22"/>
              </w:rPr>
            </w:pPr>
            <w:r>
              <w:rPr>
                <w:sz w:val="22"/>
                <w:szCs w:val="22"/>
              </w:rPr>
              <w:t xml:space="preserve">Utskottet beslutade att inte ta något </w:t>
            </w:r>
            <w:r w:rsidR="005E3207">
              <w:rPr>
                <w:sz w:val="22"/>
                <w:szCs w:val="22"/>
              </w:rPr>
              <w:t>initiativ</w:t>
            </w:r>
            <w:r>
              <w:rPr>
                <w:sz w:val="22"/>
                <w:szCs w:val="22"/>
              </w:rPr>
              <w:t>.</w:t>
            </w:r>
          </w:p>
          <w:p w14:paraId="19205C0D" w14:textId="09782F33" w:rsidR="0034038E" w:rsidRDefault="0034038E" w:rsidP="00A2305A">
            <w:pPr>
              <w:tabs>
                <w:tab w:val="left" w:pos="1701"/>
              </w:tabs>
              <w:rPr>
                <w:sz w:val="22"/>
                <w:szCs w:val="22"/>
              </w:rPr>
            </w:pPr>
          </w:p>
          <w:p w14:paraId="62B76E26" w14:textId="3AA6B76F" w:rsidR="0034038E" w:rsidRDefault="005E3207" w:rsidP="00A2305A">
            <w:pPr>
              <w:tabs>
                <w:tab w:val="left" w:pos="1701"/>
              </w:tabs>
              <w:rPr>
                <w:sz w:val="22"/>
                <w:szCs w:val="22"/>
              </w:rPr>
            </w:pPr>
            <w:r>
              <w:rPr>
                <w:sz w:val="22"/>
                <w:szCs w:val="22"/>
              </w:rPr>
              <w:t>S</w:t>
            </w:r>
            <w:r w:rsidR="0034038E">
              <w:rPr>
                <w:sz w:val="22"/>
                <w:szCs w:val="22"/>
              </w:rPr>
              <w:t>-</w:t>
            </w:r>
            <w:r>
              <w:rPr>
                <w:sz w:val="22"/>
                <w:szCs w:val="22"/>
              </w:rPr>
              <w:t>, V- och MP-</w:t>
            </w:r>
            <w:r w:rsidR="0034038E">
              <w:rPr>
                <w:sz w:val="22"/>
                <w:szCs w:val="22"/>
              </w:rPr>
              <w:t>ledamöterna reserverade sig mot beslutet och ansåg att utskottet borde ha inlett ett beredningsarbete i syfte att kunna ta ett initiativ i frågan.</w:t>
            </w:r>
          </w:p>
          <w:p w14:paraId="7416D902" w14:textId="77777777" w:rsidR="00A2305A" w:rsidRDefault="00A2305A" w:rsidP="00A2305A">
            <w:pPr>
              <w:tabs>
                <w:tab w:val="left" w:pos="1701"/>
              </w:tabs>
              <w:rPr>
                <w:sz w:val="22"/>
                <w:szCs w:val="22"/>
              </w:rPr>
            </w:pPr>
          </w:p>
          <w:p w14:paraId="058BFF1D" w14:textId="4861DDCF" w:rsidR="00A2305A" w:rsidRPr="00A2305A" w:rsidRDefault="00A2305A" w:rsidP="00A2305A">
            <w:pPr>
              <w:tabs>
                <w:tab w:val="left" w:pos="1701"/>
              </w:tabs>
              <w:rPr>
                <w:b/>
                <w:bCs/>
                <w:sz w:val="22"/>
                <w:szCs w:val="22"/>
              </w:rPr>
            </w:pPr>
            <w:r w:rsidRPr="00A2305A">
              <w:rPr>
                <w:b/>
                <w:bCs/>
                <w:sz w:val="22"/>
                <w:szCs w:val="22"/>
              </w:rPr>
              <w:t>Inkomna EU-dokument</w:t>
            </w:r>
          </w:p>
          <w:p w14:paraId="7184FD1E" w14:textId="7A0D3D13" w:rsidR="00A2305A" w:rsidRDefault="00A2305A" w:rsidP="00A2305A">
            <w:pPr>
              <w:tabs>
                <w:tab w:val="left" w:pos="1701"/>
              </w:tabs>
              <w:rPr>
                <w:sz w:val="22"/>
                <w:szCs w:val="22"/>
              </w:rPr>
            </w:pPr>
          </w:p>
          <w:p w14:paraId="3170B5F8" w14:textId="3F9B835A" w:rsidR="0091628D" w:rsidRDefault="0091628D" w:rsidP="00A2305A">
            <w:pPr>
              <w:tabs>
                <w:tab w:val="left" w:pos="1701"/>
              </w:tabs>
              <w:rPr>
                <w:sz w:val="22"/>
                <w:szCs w:val="22"/>
              </w:rPr>
            </w:pPr>
            <w:r>
              <w:rPr>
                <w:sz w:val="22"/>
                <w:szCs w:val="22"/>
              </w:rPr>
              <w:t>En sammanställning över EU-dokument som inkommit under juni</w:t>
            </w:r>
            <w:r w:rsidR="001B435B">
              <w:rPr>
                <w:sz w:val="22"/>
                <w:szCs w:val="22"/>
              </w:rPr>
              <w:softHyphen/>
              <w:t>–s</w:t>
            </w:r>
            <w:r>
              <w:rPr>
                <w:sz w:val="22"/>
                <w:szCs w:val="22"/>
              </w:rPr>
              <w:t>eptember 2023 anmäldes.</w:t>
            </w:r>
          </w:p>
          <w:p w14:paraId="7B3D52DF" w14:textId="77777777" w:rsidR="0091628D" w:rsidRDefault="0091628D" w:rsidP="00A2305A">
            <w:pPr>
              <w:tabs>
                <w:tab w:val="left" w:pos="1701"/>
              </w:tabs>
              <w:rPr>
                <w:sz w:val="22"/>
                <w:szCs w:val="22"/>
              </w:rPr>
            </w:pPr>
          </w:p>
          <w:p w14:paraId="68ECEF5F" w14:textId="7CE32789" w:rsidR="0091628D" w:rsidRDefault="0091628D" w:rsidP="00A2305A">
            <w:pPr>
              <w:tabs>
                <w:tab w:val="left" w:pos="1701"/>
              </w:tabs>
              <w:rPr>
                <w:sz w:val="22"/>
                <w:szCs w:val="22"/>
              </w:rPr>
            </w:pPr>
            <w:r>
              <w:rPr>
                <w:sz w:val="22"/>
                <w:szCs w:val="22"/>
              </w:rPr>
              <w:t>Kansliet informerade om aktuella EU-frågor.</w:t>
            </w:r>
          </w:p>
          <w:p w14:paraId="1DE3539A" w14:textId="77777777" w:rsidR="00A2305A" w:rsidRDefault="00A2305A" w:rsidP="00A2305A">
            <w:pPr>
              <w:tabs>
                <w:tab w:val="left" w:pos="1701"/>
              </w:tabs>
              <w:rPr>
                <w:sz w:val="22"/>
                <w:szCs w:val="22"/>
              </w:rPr>
            </w:pPr>
          </w:p>
          <w:p w14:paraId="1D340F12" w14:textId="7611A491" w:rsidR="00D11614" w:rsidRPr="00A2305A" w:rsidRDefault="00A2305A" w:rsidP="00A2305A">
            <w:pPr>
              <w:tabs>
                <w:tab w:val="left" w:pos="1701"/>
              </w:tabs>
              <w:rPr>
                <w:b/>
                <w:bCs/>
                <w:sz w:val="22"/>
                <w:szCs w:val="22"/>
              </w:rPr>
            </w:pPr>
            <w:r w:rsidRPr="00A2305A">
              <w:rPr>
                <w:b/>
                <w:bCs/>
                <w:sz w:val="22"/>
                <w:szCs w:val="22"/>
              </w:rPr>
              <w:t>Anmälan av reseredogörelse</w:t>
            </w:r>
          </w:p>
          <w:p w14:paraId="7853C214" w14:textId="24B6C8D8" w:rsidR="00A2305A" w:rsidRDefault="00A2305A" w:rsidP="00A2305A">
            <w:pPr>
              <w:tabs>
                <w:tab w:val="left" w:pos="1701"/>
              </w:tabs>
              <w:rPr>
                <w:rFonts w:eastAsiaTheme="minorHAnsi"/>
                <w:color w:val="000000"/>
                <w:sz w:val="22"/>
                <w:szCs w:val="22"/>
                <w:lang w:eastAsia="en-US"/>
              </w:rPr>
            </w:pPr>
          </w:p>
          <w:p w14:paraId="4F78E6FD" w14:textId="147C07EC" w:rsidR="00A2305A" w:rsidRDefault="0091628D" w:rsidP="00A2305A">
            <w:pPr>
              <w:tabs>
                <w:tab w:val="left" w:pos="1701"/>
              </w:tabs>
              <w:rPr>
                <w:rFonts w:eastAsiaTheme="minorHAnsi"/>
                <w:color w:val="000000"/>
                <w:sz w:val="22"/>
                <w:szCs w:val="22"/>
                <w:lang w:eastAsia="en-US"/>
              </w:rPr>
            </w:pPr>
            <w:bookmarkStart w:id="0" w:name="_Hlk147228347"/>
            <w:r>
              <w:rPr>
                <w:rFonts w:eastAsiaTheme="minorHAnsi"/>
                <w:color w:val="000000"/>
                <w:sz w:val="22"/>
                <w:szCs w:val="22"/>
                <w:lang w:eastAsia="en-US"/>
              </w:rPr>
              <w:t xml:space="preserve">Reseredogörelsen från utskottets studieresa till Estland </w:t>
            </w:r>
            <w:bookmarkEnd w:id="0"/>
            <w:r>
              <w:rPr>
                <w:rFonts w:eastAsiaTheme="minorHAnsi"/>
                <w:color w:val="000000"/>
                <w:sz w:val="22"/>
                <w:szCs w:val="22"/>
                <w:lang w:eastAsia="en-US"/>
              </w:rPr>
              <w:t xml:space="preserve">anmäldes (dnr </w:t>
            </w:r>
            <w:proofErr w:type="gramStart"/>
            <w:r w:rsidR="00212062">
              <w:rPr>
                <w:rFonts w:eastAsiaTheme="minorHAnsi"/>
                <w:color w:val="000000"/>
                <w:sz w:val="22"/>
                <w:szCs w:val="22"/>
                <w:lang w:eastAsia="en-US"/>
              </w:rPr>
              <w:t>2155</w:t>
            </w:r>
            <w:r>
              <w:rPr>
                <w:rFonts w:eastAsiaTheme="minorHAnsi"/>
                <w:color w:val="000000"/>
                <w:sz w:val="22"/>
                <w:szCs w:val="22"/>
                <w:lang w:eastAsia="en-US"/>
              </w:rPr>
              <w:t>-2023</w:t>
            </w:r>
            <w:proofErr w:type="gramEnd"/>
            <w:r>
              <w:rPr>
                <w:rFonts w:eastAsiaTheme="minorHAnsi"/>
                <w:color w:val="000000"/>
                <w:sz w:val="22"/>
                <w:szCs w:val="22"/>
                <w:lang w:eastAsia="en-US"/>
              </w:rPr>
              <w:t>/24). Utskottet beslutade att lämna reseredogörelsen till Riksdagsförvaltningen.</w:t>
            </w:r>
          </w:p>
          <w:p w14:paraId="4869575C" w14:textId="77777777" w:rsidR="00A2305A" w:rsidRPr="00A2305A" w:rsidRDefault="00A2305A" w:rsidP="00A2305A">
            <w:pPr>
              <w:tabs>
                <w:tab w:val="left" w:pos="1701"/>
              </w:tabs>
              <w:rPr>
                <w:rFonts w:eastAsiaTheme="minorHAnsi"/>
                <w:color w:val="000000"/>
                <w:sz w:val="22"/>
                <w:szCs w:val="22"/>
                <w:lang w:eastAsia="en-US"/>
              </w:rPr>
            </w:pPr>
          </w:p>
          <w:p w14:paraId="7132DA96" w14:textId="1D6210EB" w:rsidR="00D11614" w:rsidRDefault="00D11614" w:rsidP="00A2305A">
            <w:pPr>
              <w:widowControl/>
              <w:rPr>
                <w:rFonts w:eastAsiaTheme="minorHAnsi"/>
                <w:b/>
                <w:color w:val="000000"/>
                <w:sz w:val="22"/>
                <w:szCs w:val="22"/>
                <w:lang w:eastAsia="en-US"/>
              </w:rPr>
            </w:pPr>
            <w:r>
              <w:rPr>
                <w:rFonts w:eastAsiaTheme="minorHAnsi"/>
                <w:b/>
                <w:color w:val="000000"/>
                <w:sz w:val="22"/>
                <w:szCs w:val="22"/>
                <w:lang w:eastAsia="en-US"/>
              </w:rPr>
              <w:t>Övriga frågor</w:t>
            </w:r>
          </w:p>
          <w:p w14:paraId="1313689E" w14:textId="4719BBE3" w:rsidR="00A2305A" w:rsidRDefault="00A2305A" w:rsidP="00A2305A">
            <w:pPr>
              <w:widowControl/>
              <w:rPr>
                <w:rFonts w:eastAsiaTheme="minorHAnsi"/>
                <w:bCs/>
                <w:color w:val="000000"/>
                <w:sz w:val="22"/>
                <w:szCs w:val="22"/>
                <w:lang w:eastAsia="en-US"/>
              </w:rPr>
            </w:pPr>
          </w:p>
          <w:p w14:paraId="1936252D" w14:textId="6FE1040F" w:rsidR="000351CD" w:rsidRDefault="001B435B" w:rsidP="00A2305A">
            <w:pPr>
              <w:widowControl/>
              <w:rPr>
                <w:rFonts w:eastAsiaTheme="minorHAnsi"/>
                <w:bCs/>
                <w:color w:val="000000"/>
                <w:sz w:val="22"/>
                <w:szCs w:val="22"/>
                <w:lang w:eastAsia="en-US"/>
              </w:rPr>
            </w:pPr>
            <w:r>
              <w:rPr>
                <w:rFonts w:eastAsiaTheme="minorHAnsi"/>
                <w:bCs/>
                <w:color w:val="000000"/>
                <w:sz w:val="22"/>
                <w:szCs w:val="22"/>
                <w:lang w:eastAsia="en-US"/>
              </w:rPr>
              <w:t>Helena Gellerman (L) och Rashid Farivar (SD)</w:t>
            </w:r>
            <w:r w:rsidR="00076B21">
              <w:rPr>
                <w:rFonts w:eastAsiaTheme="minorHAnsi"/>
                <w:bCs/>
                <w:color w:val="000000"/>
                <w:sz w:val="22"/>
                <w:szCs w:val="22"/>
                <w:lang w:eastAsia="en-US"/>
              </w:rPr>
              <w:t xml:space="preserve"> informerade om ett besök av en delegation </w:t>
            </w:r>
            <w:r w:rsidR="000351CD">
              <w:rPr>
                <w:rFonts w:eastAsiaTheme="minorHAnsi"/>
                <w:bCs/>
                <w:color w:val="000000"/>
                <w:sz w:val="22"/>
                <w:szCs w:val="22"/>
                <w:lang w:eastAsia="en-US"/>
              </w:rPr>
              <w:t xml:space="preserve">från </w:t>
            </w:r>
            <w:r w:rsidR="00076B21">
              <w:rPr>
                <w:rFonts w:eastAsiaTheme="minorHAnsi"/>
                <w:bCs/>
                <w:color w:val="000000"/>
                <w:sz w:val="22"/>
                <w:szCs w:val="22"/>
                <w:lang w:eastAsia="en-US"/>
              </w:rPr>
              <w:t xml:space="preserve">det </w:t>
            </w:r>
            <w:r w:rsidR="000351CD">
              <w:rPr>
                <w:rFonts w:eastAsiaTheme="minorHAnsi"/>
                <w:bCs/>
                <w:color w:val="000000"/>
                <w:sz w:val="22"/>
                <w:szCs w:val="22"/>
                <w:lang w:eastAsia="en-US"/>
              </w:rPr>
              <w:t>Namibi</w:t>
            </w:r>
            <w:r w:rsidR="00076B21">
              <w:rPr>
                <w:rFonts w:eastAsiaTheme="minorHAnsi"/>
                <w:bCs/>
                <w:color w:val="000000"/>
                <w:sz w:val="22"/>
                <w:szCs w:val="22"/>
                <w:lang w:eastAsia="en-US"/>
              </w:rPr>
              <w:t>ska parlamentet onsdagen den 27 september.</w:t>
            </w:r>
          </w:p>
          <w:p w14:paraId="1828425B" w14:textId="77777777" w:rsidR="00076B21" w:rsidRDefault="00076B21" w:rsidP="00A2305A">
            <w:pPr>
              <w:widowControl/>
              <w:rPr>
                <w:rFonts w:eastAsiaTheme="minorHAnsi"/>
                <w:bCs/>
                <w:color w:val="000000"/>
                <w:sz w:val="22"/>
                <w:szCs w:val="22"/>
                <w:lang w:eastAsia="en-US"/>
              </w:rPr>
            </w:pPr>
          </w:p>
          <w:p w14:paraId="43876C99" w14:textId="77777777" w:rsidR="00A2305A" w:rsidRDefault="00A2305A" w:rsidP="00A2305A">
            <w:pPr>
              <w:widowControl/>
              <w:rPr>
                <w:rFonts w:eastAsiaTheme="minorHAnsi"/>
                <w:bCs/>
                <w:color w:val="000000"/>
                <w:sz w:val="22"/>
                <w:szCs w:val="22"/>
                <w:lang w:eastAsia="en-US"/>
              </w:rPr>
            </w:pPr>
          </w:p>
          <w:p w14:paraId="79359AF1" w14:textId="65FDA589" w:rsidR="00D11614" w:rsidRDefault="00D11614" w:rsidP="00A2305A">
            <w:pPr>
              <w:widowControl/>
              <w:rPr>
                <w:rFonts w:eastAsiaTheme="minorHAnsi"/>
                <w:b/>
                <w:color w:val="000000"/>
                <w:sz w:val="22"/>
                <w:szCs w:val="22"/>
                <w:lang w:eastAsia="en-US"/>
              </w:rPr>
            </w:pPr>
            <w:r w:rsidRPr="003F0BB9">
              <w:rPr>
                <w:rFonts w:eastAsiaTheme="minorHAnsi"/>
                <w:b/>
                <w:color w:val="000000"/>
                <w:sz w:val="22"/>
                <w:szCs w:val="22"/>
                <w:lang w:eastAsia="en-US"/>
              </w:rPr>
              <w:t xml:space="preserve">Nästa sammanträde </w:t>
            </w:r>
          </w:p>
          <w:p w14:paraId="4EC475AD" w14:textId="77777777" w:rsidR="00F42833" w:rsidRPr="000D5B1D" w:rsidRDefault="00F42833" w:rsidP="00A2305A">
            <w:pPr>
              <w:widowControl/>
              <w:rPr>
                <w:bCs/>
                <w:sz w:val="22"/>
                <w:szCs w:val="22"/>
              </w:rPr>
            </w:pPr>
          </w:p>
          <w:p w14:paraId="32082981" w14:textId="741BB50D" w:rsidR="00A2305A" w:rsidRPr="000D5B1D" w:rsidRDefault="0034038E" w:rsidP="00A2305A">
            <w:pPr>
              <w:widowControl/>
              <w:rPr>
                <w:sz w:val="22"/>
                <w:szCs w:val="22"/>
              </w:rPr>
            </w:pPr>
            <w:r w:rsidRPr="000D5B1D">
              <w:rPr>
                <w:sz w:val="22"/>
                <w:szCs w:val="22"/>
              </w:rPr>
              <w:t xml:space="preserve">Nästa sammanträde äger rum tisdagen den 17 oktober 2023 kl. 11.00. </w:t>
            </w:r>
          </w:p>
          <w:p w14:paraId="6F3B19B8" w14:textId="77777777" w:rsidR="00D11614" w:rsidRPr="000D5B1D" w:rsidRDefault="00D11614" w:rsidP="00A2305A">
            <w:pPr>
              <w:widowControl/>
              <w:rPr>
                <w:sz w:val="22"/>
                <w:szCs w:val="22"/>
              </w:rPr>
            </w:pPr>
          </w:p>
          <w:p w14:paraId="4956886D" w14:textId="77777777" w:rsidR="00D11614" w:rsidRPr="000D5B1D" w:rsidRDefault="00D11614" w:rsidP="00A2305A">
            <w:pPr>
              <w:widowControl/>
              <w:rPr>
                <w:sz w:val="22"/>
                <w:szCs w:val="22"/>
              </w:rPr>
            </w:pPr>
            <w:r w:rsidRPr="000D5B1D">
              <w:rPr>
                <w:sz w:val="22"/>
                <w:szCs w:val="22"/>
              </w:rPr>
              <w:t xml:space="preserve">Vid protokollet </w:t>
            </w:r>
          </w:p>
          <w:p w14:paraId="17BC9CAF" w14:textId="7CE19AA0" w:rsidR="00D11614" w:rsidRDefault="00D11614" w:rsidP="00A2305A">
            <w:pPr>
              <w:widowControl/>
              <w:rPr>
                <w:sz w:val="22"/>
                <w:szCs w:val="22"/>
              </w:rPr>
            </w:pPr>
          </w:p>
          <w:p w14:paraId="75F5F8EA" w14:textId="16366525" w:rsidR="000D5B1D" w:rsidRDefault="000D5B1D" w:rsidP="00A2305A">
            <w:pPr>
              <w:widowControl/>
              <w:rPr>
                <w:sz w:val="22"/>
                <w:szCs w:val="22"/>
              </w:rPr>
            </w:pPr>
          </w:p>
          <w:p w14:paraId="36D85C29" w14:textId="77777777" w:rsidR="00397E05" w:rsidRPr="000D5B1D" w:rsidRDefault="00397E05" w:rsidP="00A2305A">
            <w:pPr>
              <w:widowControl/>
              <w:rPr>
                <w:sz w:val="22"/>
                <w:szCs w:val="22"/>
              </w:rPr>
            </w:pPr>
          </w:p>
          <w:p w14:paraId="08861829" w14:textId="300EE867" w:rsidR="00D11614" w:rsidRPr="000D5B1D" w:rsidRDefault="00D11614" w:rsidP="000D5B1D">
            <w:pPr>
              <w:rPr>
                <w:snapToGrid w:val="0"/>
                <w:sz w:val="22"/>
                <w:szCs w:val="22"/>
              </w:rPr>
            </w:pPr>
            <w:r w:rsidRPr="000D5B1D">
              <w:rPr>
                <w:snapToGrid w:val="0"/>
                <w:sz w:val="22"/>
                <w:szCs w:val="22"/>
              </w:rPr>
              <w:t xml:space="preserve">Justeras den </w:t>
            </w:r>
            <w:r w:rsidR="00A2305A" w:rsidRPr="000D5B1D">
              <w:rPr>
                <w:snapToGrid w:val="0"/>
                <w:sz w:val="22"/>
                <w:szCs w:val="22"/>
              </w:rPr>
              <w:t>17</w:t>
            </w:r>
            <w:r w:rsidRPr="000D5B1D">
              <w:rPr>
                <w:snapToGrid w:val="0"/>
                <w:sz w:val="22"/>
                <w:szCs w:val="22"/>
              </w:rPr>
              <w:t xml:space="preserve"> oktober 2023</w:t>
            </w:r>
          </w:p>
          <w:p w14:paraId="1B599EFC" w14:textId="785B0E88" w:rsidR="00D11614" w:rsidRDefault="00D11614" w:rsidP="00A2305A">
            <w:pPr>
              <w:pStyle w:val="Oformateradtext"/>
              <w:rPr>
                <w:rFonts w:ascii="Times New Roman" w:hAnsi="Times New Roman" w:cs="Times New Roman"/>
                <w:snapToGrid w:val="0"/>
                <w:szCs w:val="22"/>
              </w:rPr>
            </w:pPr>
          </w:p>
          <w:p w14:paraId="58497C67" w14:textId="77777777" w:rsidR="000D5B1D" w:rsidRPr="000D5B1D" w:rsidRDefault="000D5B1D" w:rsidP="00A2305A">
            <w:pPr>
              <w:pStyle w:val="Oformateradtext"/>
              <w:rPr>
                <w:rFonts w:ascii="Times New Roman" w:hAnsi="Times New Roman" w:cs="Times New Roman"/>
                <w:snapToGrid w:val="0"/>
                <w:szCs w:val="22"/>
              </w:rPr>
            </w:pPr>
          </w:p>
          <w:p w14:paraId="31AC6A30" w14:textId="77777777" w:rsidR="00397E05" w:rsidRPr="000D5B1D" w:rsidRDefault="00397E05" w:rsidP="00A2305A">
            <w:pPr>
              <w:pStyle w:val="Oformateradtext"/>
              <w:rPr>
                <w:rFonts w:ascii="Times New Roman" w:hAnsi="Times New Roman" w:cs="Times New Roman"/>
                <w:snapToGrid w:val="0"/>
                <w:szCs w:val="22"/>
              </w:rPr>
            </w:pPr>
          </w:p>
          <w:p w14:paraId="2D6D7237" w14:textId="77777777" w:rsidR="00D11614" w:rsidRPr="003F0BB9" w:rsidRDefault="00D11614" w:rsidP="00A2305A">
            <w:pPr>
              <w:pStyle w:val="Oformateradtext"/>
              <w:rPr>
                <w:rFonts w:ascii="Times New Roman" w:hAnsi="Times New Roman" w:cs="Times New Roman"/>
                <w:b/>
                <w:bCs/>
                <w:snapToGrid w:val="0"/>
                <w:szCs w:val="22"/>
              </w:rPr>
            </w:pPr>
            <w:r w:rsidRPr="000D5B1D">
              <w:rPr>
                <w:rFonts w:ascii="Times New Roman" w:hAnsi="Times New Roman" w:cs="Times New Roman"/>
                <w:snapToGrid w:val="0"/>
                <w:szCs w:val="22"/>
              </w:rPr>
              <w:t>Ulrika Heie</w:t>
            </w:r>
          </w:p>
        </w:tc>
      </w:tr>
      <w:tr w:rsidR="00D11614" w:rsidRPr="003F0BB9" w14:paraId="068A5940" w14:textId="77777777" w:rsidTr="00122ED6">
        <w:tc>
          <w:tcPr>
            <w:tcW w:w="567" w:type="dxa"/>
          </w:tcPr>
          <w:p w14:paraId="153096D0" w14:textId="77777777" w:rsidR="00D11614" w:rsidRPr="003F0BB9" w:rsidRDefault="00D11614" w:rsidP="00A2305A">
            <w:pPr>
              <w:tabs>
                <w:tab w:val="left" w:pos="1701"/>
              </w:tabs>
              <w:rPr>
                <w:b/>
                <w:snapToGrid w:val="0"/>
                <w:sz w:val="22"/>
                <w:szCs w:val="22"/>
              </w:rPr>
            </w:pPr>
          </w:p>
        </w:tc>
        <w:tc>
          <w:tcPr>
            <w:tcW w:w="6946" w:type="dxa"/>
          </w:tcPr>
          <w:p w14:paraId="04167937" w14:textId="77777777" w:rsidR="00D11614" w:rsidRPr="003F0BB9" w:rsidRDefault="00D11614" w:rsidP="00A2305A">
            <w:pPr>
              <w:pStyle w:val="Oformateradtext"/>
              <w:rPr>
                <w:b/>
                <w:snapToGrid w:val="0"/>
                <w:szCs w:val="22"/>
              </w:rPr>
            </w:pPr>
          </w:p>
          <w:p w14:paraId="6D34E9AD" w14:textId="77777777" w:rsidR="00D11614" w:rsidRPr="003F0BB9" w:rsidRDefault="00D11614" w:rsidP="00A2305A">
            <w:pPr>
              <w:pStyle w:val="Oformateradtext"/>
              <w:rPr>
                <w:b/>
                <w:snapToGrid w:val="0"/>
                <w:szCs w:val="22"/>
              </w:rPr>
            </w:pPr>
          </w:p>
          <w:p w14:paraId="21F5829E" w14:textId="77777777" w:rsidR="00D11614" w:rsidRDefault="00D11614" w:rsidP="00A2305A">
            <w:pPr>
              <w:pStyle w:val="Oformateradtext"/>
              <w:rPr>
                <w:b/>
                <w:snapToGrid w:val="0"/>
                <w:szCs w:val="22"/>
              </w:rPr>
            </w:pPr>
          </w:p>
          <w:p w14:paraId="62A0A91C" w14:textId="77777777" w:rsidR="00D11614" w:rsidRDefault="00D11614" w:rsidP="00A2305A">
            <w:pPr>
              <w:pStyle w:val="Oformateradtext"/>
              <w:rPr>
                <w:b/>
                <w:snapToGrid w:val="0"/>
                <w:szCs w:val="22"/>
              </w:rPr>
            </w:pPr>
          </w:p>
          <w:p w14:paraId="48847C7A" w14:textId="77777777" w:rsidR="00D11614" w:rsidRDefault="00D11614" w:rsidP="00A2305A">
            <w:pPr>
              <w:pStyle w:val="Oformateradtext"/>
              <w:rPr>
                <w:b/>
                <w:snapToGrid w:val="0"/>
                <w:szCs w:val="22"/>
              </w:rPr>
            </w:pPr>
          </w:p>
          <w:p w14:paraId="1DA81DFA" w14:textId="77777777" w:rsidR="00D11614" w:rsidRDefault="00D11614" w:rsidP="00A2305A">
            <w:pPr>
              <w:pStyle w:val="Oformateradtext"/>
              <w:rPr>
                <w:b/>
                <w:snapToGrid w:val="0"/>
                <w:szCs w:val="22"/>
              </w:rPr>
            </w:pPr>
          </w:p>
          <w:p w14:paraId="1B1EC578" w14:textId="77777777" w:rsidR="00D11614" w:rsidRPr="003F0BB9" w:rsidRDefault="00D11614" w:rsidP="00A30185">
            <w:pPr>
              <w:pStyle w:val="Oformateradtext"/>
              <w:rPr>
                <w:b/>
                <w:snapToGrid w:val="0"/>
                <w:szCs w:val="22"/>
              </w:rPr>
            </w:pPr>
          </w:p>
        </w:tc>
      </w:tr>
      <w:tr w:rsidR="00D11614" w:rsidRPr="003F0BB9" w14:paraId="73EDD014" w14:textId="77777777" w:rsidTr="00122ED6">
        <w:tc>
          <w:tcPr>
            <w:tcW w:w="567" w:type="dxa"/>
          </w:tcPr>
          <w:p w14:paraId="048E98C3" w14:textId="77777777" w:rsidR="00D11614" w:rsidRPr="003F0BB9" w:rsidRDefault="00D11614" w:rsidP="00A2305A">
            <w:pPr>
              <w:tabs>
                <w:tab w:val="left" w:pos="1701"/>
              </w:tabs>
              <w:rPr>
                <w:b/>
                <w:snapToGrid w:val="0"/>
                <w:sz w:val="22"/>
                <w:szCs w:val="22"/>
              </w:rPr>
            </w:pPr>
          </w:p>
        </w:tc>
        <w:tc>
          <w:tcPr>
            <w:tcW w:w="6946" w:type="dxa"/>
          </w:tcPr>
          <w:p w14:paraId="6D872044" w14:textId="77777777" w:rsidR="00D11614" w:rsidRPr="003F0BB9" w:rsidRDefault="00D11614" w:rsidP="00A2305A">
            <w:pPr>
              <w:tabs>
                <w:tab w:val="left" w:pos="1701"/>
              </w:tabs>
              <w:rPr>
                <w:snapToGrid w:val="0"/>
                <w:sz w:val="22"/>
                <w:szCs w:val="22"/>
              </w:rPr>
            </w:pPr>
          </w:p>
        </w:tc>
      </w:tr>
    </w:tbl>
    <w:p w14:paraId="05548761" w14:textId="60CBFF3D" w:rsidR="00D11614" w:rsidRDefault="00D11614" w:rsidP="00A2305A">
      <w:pPr>
        <w:rPr>
          <w:sz w:val="22"/>
          <w:szCs w:val="22"/>
        </w:rPr>
      </w:pPr>
    </w:p>
    <w:p w14:paraId="0D0BB35C" w14:textId="14EC8EFD" w:rsidR="006153DC" w:rsidRDefault="006153DC" w:rsidP="00A2305A">
      <w:pPr>
        <w:rPr>
          <w:sz w:val="22"/>
          <w:szCs w:val="22"/>
        </w:rPr>
      </w:pPr>
    </w:p>
    <w:p w14:paraId="624C3AAF" w14:textId="5E38BD5D" w:rsidR="00FC31F9" w:rsidRDefault="00A2305A" w:rsidP="00A30185">
      <w:pPr>
        <w:widowControl/>
        <w:spacing w:after="160" w:line="259" w:lineRule="auto"/>
        <w:rPr>
          <w:sz w:val="22"/>
          <w:szCs w:val="22"/>
        </w:rPr>
      </w:pPr>
      <w:r>
        <w:rPr>
          <w:sz w:val="22"/>
          <w:szCs w:val="22"/>
        </w:rPr>
        <w:br w:type="page"/>
      </w:r>
    </w:p>
    <w:tbl>
      <w:tblPr>
        <w:tblW w:w="8496" w:type="dxa"/>
        <w:tblInd w:w="212" w:type="dxa"/>
        <w:tblLayout w:type="fixed"/>
        <w:tblCellMar>
          <w:left w:w="70" w:type="dxa"/>
          <w:right w:w="70" w:type="dxa"/>
        </w:tblCellMar>
        <w:tblLook w:val="04A0" w:firstRow="1" w:lastRow="0" w:firstColumn="1" w:lastColumn="0" w:noHBand="0" w:noVBand="1"/>
      </w:tblPr>
      <w:tblGrid>
        <w:gridCol w:w="1836"/>
        <w:gridCol w:w="1597"/>
        <w:gridCol w:w="355"/>
        <w:gridCol w:w="356"/>
        <w:gridCol w:w="314"/>
        <w:gridCol w:w="398"/>
        <w:gridCol w:w="356"/>
        <w:gridCol w:w="356"/>
        <w:gridCol w:w="449"/>
        <w:gridCol w:w="263"/>
        <w:gridCol w:w="356"/>
        <w:gridCol w:w="356"/>
        <w:gridCol w:w="359"/>
        <w:gridCol w:w="359"/>
        <w:gridCol w:w="356"/>
        <w:gridCol w:w="430"/>
      </w:tblGrid>
      <w:tr w:rsidR="005E3207" w:rsidRPr="003F0BB9" w14:paraId="386A8291" w14:textId="77777777" w:rsidTr="00945269">
        <w:trPr>
          <w:cantSplit/>
        </w:trPr>
        <w:tc>
          <w:tcPr>
            <w:tcW w:w="3433" w:type="dxa"/>
            <w:gridSpan w:val="2"/>
            <w:tcBorders>
              <w:top w:val="single" w:sz="6" w:space="0" w:color="auto"/>
              <w:left w:val="single" w:sz="6" w:space="0" w:color="auto"/>
              <w:bottom w:val="single" w:sz="6" w:space="0" w:color="auto"/>
              <w:right w:val="single" w:sz="6" w:space="0" w:color="auto"/>
            </w:tcBorders>
            <w:hideMark/>
          </w:tcPr>
          <w:p w14:paraId="69EB20DC" w14:textId="77777777" w:rsidR="005E3207" w:rsidRPr="003F0BB9" w:rsidRDefault="005E3207" w:rsidP="009452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szCs w:val="22"/>
              </w:rPr>
            </w:pPr>
            <w:r w:rsidRPr="003F0BB9">
              <w:rPr>
                <w:b/>
                <w:sz w:val="22"/>
                <w:szCs w:val="22"/>
              </w:rPr>
              <w:lastRenderedPageBreak/>
              <w:t>TRAFIKUTSKOTTET</w:t>
            </w:r>
          </w:p>
        </w:tc>
        <w:tc>
          <w:tcPr>
            <w:tcW w:w="2847" w:type="dxa"/>
            <w:gridSpan w:val="8"/>
            <w:tcBorders>
              <w:top w:val="single" w:sz="6" w:space="0" w:color="auto"/>
              <w:left w:val="single" w:sz="6" w:space="0" w:color="auto"/>
              <w:bottom w:val="single" w:sz="6" w:space="0" w:color="auto"/>
              <w:right w:val="single" w:sz="6" w:space="0" w:color="auto"/>
            </w:tcBorders>
            <w:hideMark/>
          </w:tcPr>
          <w:p w14:paraId="7C5885D7" w14:textId="77777777" w:rsidR="005E3207" w:rsidRPr="003F0BB9" w:rsidRDefault="005E3207" w:rsidP="009452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szCs w:val="22"/>
              </w:rPr>
            </w:pPr>
            <w:r w:rsidRPr="003F0BB9">
              <w:rPr>
                <w:b/>
                <w:sz w:val="22"/>
                <w:szCs w:val="22"/>
              </w:rPr>
              <w:t>Närvaroförteckning</w:t>
            </w:r>
          </w:p>
        </w:tc>
        <w:tc>
          <w:tcPr>
            <w:tcW w:w="2216" w:type="dxa"/>
            <w:gridSpan w:val="6"/>
            <w:tcBorders>
              <w:top w:val="single" w:sz="6" w:space="0" w:color="auto"/>
              <w:left w:val="single" w:sz="6" w:space="0" w:color="auto"/>
              <w:bottom w:val="single" w:sz="6" w:space="0" w:color="auto"/>
              <w:right w:val="single" w:sz="6" w:space="0" w:color="auto"/>
            </w:tcBorders>
            <w:hideMark/>
          </w:tcPr>
          <w:p w14:paraId="6B1374DA" w14:textId="77777777" w:rsidR="005E3207" w:rsidRPr="003F0BB9" w:rsidRDefault="005E3207" w:rsidP="009452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b/>
                <w:sz w:val="22"/>
                <w:szCs w:val="22"/>
              </w:rPr>
              <w:t>Bilaga 1 till protokoll</w:t>
            </w:r>
            <w:r w:rsidRPr="003F0BB9">
              <w:rPr>
                <w:sz w:val="22"/>
                <w:szCs w:val="22"/>
              </w:rPr>
              <w:t xml:space="preserve"> </w:t>
            </w:r>
          </w:p>
          <w:p w14:paraId="6476B0D3" w14:textId="3BCC4466" w:rsidR="005E3207" w:rsidRPr="003F0BB9" w:rsidRDefault="005E3207" w:rsidP="009452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b/>
                <w:sz w:val="22"/>
                <w:szCs w:val="22"/>
              </w:rPr>
              <w:t>202</w:t>
            </w:r>
            <w:r>
              <w:rPr>
                <w:b/>
                <w:sz w:val="22"/>
                <w:szCs w:val="22"/>
              </w:rPr>
              <w:t>3</w:t>
            </w:r>
            <w:r w:rsidRPr="003F0BB9">
              <w:rPr>
                <w:b/>
                <w:sz w:val="22"/>
                <w:szCs w:val="22"/>
              </w:rPr>
              <w:t>/</w:t>
            </w:r>
            <w:r>
              <w:rPr>
                <w:b/>
                <w:sz w:val="22"/>
                <w:szCs w:val="22"/>
              </w:rPr>
              <w:t>24</w:t>
            </w:r>
            <w:r w:rsidRPr="003F0BB9">
              <w:rPr>
                <w:b/>
                <w:sz w:val="22"/>
                <w:szCs w:val="22"/>
              </w:rPr>
              <w:t>:</w:t>
            </w:r>
            <w:r w:rsidR="00362E91">
              <w:rPr>
                <w:b/>
                <w:sz w:val="22"/>
                <w:szCs w:val="22"/>
              </w:rPr>
              <w:t>2</w:t>
            </w:r>
          </w:p>
        </w:tc>
      </w:tr>
      <w:tr w:rsidR="001B435B" w:rsidRPr="003F0BB9" w14:paraId="10D21FA5" w14:textId="77777777" w:rsidTr="00945269">
        <w:trPr>
          <w:cantSplit/>
        </w:trPr>
        <w:tc>
          <w:tcPr>
            <w:tcW w:w="3433" w:type="dxa"/>
            <w:gridSpan w:val="2"/>
            <w:tcBorders>
              <w:top w:val="single" w:sz="6" w:space="0" w:color="auto"/>
              <w:left w:val="single" w:sz="6" w:space="0" w:color="auto"/>
              <w:bottom w:val="single" w:sz="6" w:space="0" w:color="auto"/>
              <w:right w:val="single" w:sz="6" w:space="0" w:color="auto"/>
            </w:tcBorders>
          </w:tcPr>
          <w:p w14:paraId="691FCE7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11" w:type="dxa"/>
            <w:gridSpan w:val="2"/>
            <w:tcBorders>
              <w:top w:val="single" w:sz="6" w:space="0" w:color="auto"/>
              <w:left w:val="single" w:sz="6" w:space="0" w:color="auto"/>
              <w:bottom w:val="single" w:sz="6" w:space="0" w:color="auto"/>
              <w:right w:val="single" w:sz="6" w:space="0" w:color="auto"/>
            </w:tcBorders>
            <w:hideMark/>
          </w:tcPr>
          <w:p w14:paraId="043F8FC2" w14:textId="27C4AAFD"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 xml:space="preserve">§ </w:t>
            </w:r>
            <w:proofErr w:type="gramStart"/>
            <w:r w:rsidRPr="003F0BB9">
              <w:rPr>
                <w:sz w:val="22"/>
                <w:szCs w:val="22"/>
              </w:rPr>
              <w:t>1</w:t>
            </w:r>
            <w:r>
              <w:rPr>
                <w:sz w:val="22"/>
                <w:szCs w:val="22"/>
              </w:rPr>
              <w:t>-3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57ABCA0" w14:textId="48EBBA91"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 xml:space="preserve">§ </w:t>
            </w:r>
            <w:proofErr w:type="gramStart"/>
            <w:r>
              <w:rPr>
                <w:sz w:val="22"/>
                <w:szCs w:val="22"/>
              </w:rPr>
              <w:t>4-12</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20A313FA" w14:textId="7711FF35"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 13</w:t>
            </w:r>
          </w:p>
        </w:tc>
        <w:tc>
          <w:tcPr>
            <w:tcW w:w="712" w:type="dxa"/>
            <w:gridSpan w:val="2"/>
            <w:tcBorders>
              <w:top w:val="single" w:sz="6" w:space="0" w:color="auto"/>
              <w:left w:val="single" w:sz="6" w:space="0" w:color="auto"/>
              <w:bottom w:val="single" w:sz="6" w:space="0" w:color="auto"/>
              <w:right w:val="single" w:sz="6" w:space="0" w:color="auto"/>
            </w:tcBorders>
          </w:tcPr>
          <w:p w14:paraId="2B422D19" w14:textId="268DEC43"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 14</w:t>
            </w:r>
          </w:p>
        </w:tc>
        <w:tc>
          <w:tcPr>
            <w:tcW w:w="712" w:type="dxa"/>
            <w:gridSpan w:val="2"/>
            <w:tcBorders>
              <w:top w:val="single" w:sz="6" w:space="0" w:color="auto"/>
              <w:left w:val="single" w:sz="6" w:space="0" w:color="auto"/>
              <w:bottom w:val="single" w:sz="6" w:space="0" w:color="auto"/>
              <w:right w:val="single" w:sz="6" w:space="0" w:color="auto"/>
            </w:tcBorders>
          </w:tcPr>
          <w:p w14:paraId="24C8D24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18" w:type="dxa"/>
            <w:gridSpan w:val="2"/>
            <w:tcBorders>
              <w:top w:val="single" w:sz="6" w:space="0" w:color="auto"/>
              <w:left w:val="single" w:sz="6" w:space="0" w:color="auto"/>
              <w:bottom w:val="single" w:sz="6" w:space="0" w:color="auto"/>
              <w:right w:val="single" w:sz="6" w:space="0" w:color="auto"/>
            </w:tcBorders>
          </w:tcPr>
          <w:p w14:paraId="4738B2F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86" w:type="dxa"/>
            <w:gridSpan w:val="2"/>
            <w:tcBorders>
              <w:top w:val="single" w:sz="6" w:space="0" w:color="auto"/>
              <w:left w:val="single" w:sz="6" w:space="0" w:color="auto"/>
              <w:bottom w:val="single" w:sz="6" w:space="0" w:color="auto"/>
              <w:right w:val="single" w:sz="6" w:space="0" w:color="auto"/>
            </w:tcBorders>
          </w:tcPr>
          <w:p w14:paraId="65372D4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r>
      <w:tr w:rsidR="001B435B" w:rsidRPr="003F0BB9" w14:paraId="107E7380" w14:textId="77777777" w:rsidTr="00945269">
        <w:trPr>
          <w:trHeight w:val="467"/>
        </w:trPr>
        <w:tc>
          <w:tcPr>
            <w:tcW w:w="3433" w:type="dxa"/>
            <w:gridSpan w:val="2"/>
            <w:tcBorders>
              <w:top w:val="single" w:sz="6" w:space="0" w:color="auto"/>
              <w:left w:val="single" w:sz="6" w:space="0" w:color="auto"/>
              <w:bottom w:val="single" w:sz="6" w:space="0" w:color="auto"/>
              <w:right w:val="single" w:sz="6" w:space="0" w:color="auto"/>
            </w:tcBorders>
            <w:hideMark/>
          </w:tcPr>
          <w:p w14:paraId="6814BEA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b/>
                <w:i/>
                <w:sz w:val="22"/>
                <w:szCs w:val="22"/>
              </w:rPr>
              <w:t>LEDAMÖTER</w:t>
            </w:r>
          </w:p>
        </w:tc>
        <w:tc>
          <w:tcPr>
            <w:tcW w:w="355" w:type="dxa"/>
            <w:tcBorders>
              <w:top w:val="single" w:sz="6" w:space="0" w:color="auto"/>
              <w:left w:val="single" w:sz="6" w:space="0" w:color="auto"/>
              <w:bottom w:val="single" w:sz="6" w:space="0" w:color="auto"/>
              <w:right w:val="single" w:sz="6" w:space="0" w:color="auto"/>
            </w:tcBorders>
          </w:tcPr>
          <w:p w14:paraId="7EE2F1F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r w:rsidRPr="003F0BB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369A71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673CCC4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22761B0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7EE2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9203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5AD6D9F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F73D04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0A634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8F5DD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D1063D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8D2FB4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70FFD51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19FF4C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r>
      <w:tr w:rsidR="001B435B" w:rsidRPr="003F0BB9" w14:paraId="5FDEA5D0"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5E21BCFB" w14:textId="77777777" w:rsidR="001B435B" w:rsidRPr="003F0BB9" w:rsidRDefault="001B435B" w:rsidP="001B435B">
            <w:pPr>
              <w:rPr>
                <w:i/>
                <w:iCs/>
                <w:sz w:val="22"/>
                <w:szCs w:val="22"/>
                <w:lang w:val="en-US"/>
              </w:rPr>
            </w:pPr>
            <w:r w:rsidRPr="003F0BB9">
              <w:rPr>
                <w:sz w:val="22"/>
                <w:szCs w:val="22"/>
              </w:rPr>
              <w:t xml:space="preserve">Ulrika Heie (C) </w:t>
            </w:r>
            <w:r w:rsidRPr="003F0BB9">
              <w:rPr>
                <w:i/>
                <w:iCs/>
                <w:sz w:val="22"/>
                <w:szCs w:val="22"/>
              </w:rPr>
              <w:t>Ordförande</w:t>
            </w:r>
          </w:p>
        </w:tc>
        <w:tc>
          <w:tcPr>
            <w:tcW w:w="355" w:type="dxa"/>
            <w:tcBorders>
              <w:top w:val="single" w:sz="6" w:space="0" w:color="auto"/>
              <w:left w:val="single" w:sz="6" w:space="0" w:color="auto"/>
              <w:bottom w:val="single" w:sz="6" w:space="0" w:color="auto"/>
              <w:right w:val="single" w:sz="6" w:space="0" w:color="auto"/>
            </w:tcBorders>
          </w:tcPr>
          <w:p w14:paraId="4F5BCDF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3F0BB9">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FF93BF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677E7E9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3F0BB9">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7ACC785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30C47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6EE11F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6346A41" w14:textId="40E2AC13"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263" w:type="dxa"/>
            <w:tcBorders>
              <w:top w:val="single" w:sz="6" w:space="0" w:color="auto"/>
              <w:left w:val="single" w:sz="6" w:space="0" w:color="auto"/>
              <w:bottom w:val="single" w:sz="6" w:space="0" w:color="auto"/>
              <w:right w:val="single" w:sz="6" w:space="0" w:color="auto"/>
            </w:tcBorders>
          </w:tcPr>
          <w:p w14:paraId="63DD0F8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2AAD9E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75936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CA4001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AA4B5B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BDB35B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3A9B05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4B5F7C99"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7B8BFCD8" w14:textId="77777777" w:rsidR="001B435B" w:rsidRPr="003F0BB9" w:rsidRDefault="001B435B" w:rsidP="001B435B">
            <w:pPr>
              <w:rPr>
                <w:i/>
                <w:iCs/>
                <w:sz w:val="22"/>
                <w:szCs w:val="22"/>
                <w:lang w:val="en-US"/>
              </w:rPr>
            </w:pPr>
            <w:r w:rsidRPr="003F0BB9">
              <w:rPr>
                <w:sz w:val="22"/>
                <w:szCs w:val="22"/>
                <w:lang w:val="en-US"/>
              </w:rPr>
              <w:t xml:space="preserve">Thomas Morell (SD) </w:t>
            </w:r>
            <w:r w:rsidRPr="003F0BB9">
              <w:rPr>
                <w:i/>
                <w:iCs/>
                <w:sz w:val="22"/>
                <w:szCs w:val="22"/>
                <w:lang w:val="en-US"/>
              </w:rPr>
              <w:t xml:space="preserve">vice </w:t>
            </w:r>
            <w:proofErr w:type="spellStart"/>
            <w:r w:rsidRPr="003F0BB9">
              <w:rPr>
                <w:i/>
                <w:iCs/>
                <w:sz w:val="22"/>
                <w:szCs w:val="22"/>
                <w:lang w:val="en-US"/>
              </w:rPr>
              <w:t>ordf</w:t>
            </w:r>
            <w:proofErr w:type="spellEnd"/>
            <w:r w:rsidRPr="003F0BB9">
              <w:rPr>
                <w:i/>
                <w:iCs/>
                <w:sz w:val="22"/>
                <w:szCs w:val="22"/>
                <w:lang w:val="en-US"/>
              </w:rPr>
              <w:t>.</w:t>
            </w:r>
          </w:p>
        </w:tc>
        <w:tc>
          <w:tcPr>
            <w:tcW w:w="355" w:type="dxa"/>
            <w:tcBorders>
              <w:top w:val="single" w:sz="6" w:space="0" w:color="auto"/>
              <w:left w:val="single" w:sz="6" w:space="0" w:color="auto"/>
              <w:bottom w:val="single" w:sz="6" w:space="0" w:color="auto"/>
              <w:right w:val="single" w:sz="6" w:space="0" w:color="auto"/>
            </w:tcBorders>
          </w:tcPr>
          <w:p w14:paraId="446FD3F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123A15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EF1750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3024438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3F3050" w14:textId="581E6801"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52D559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7394452" w14:textId="52F03170"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263" w:type="dxa"/>
            <w:tcBorders>
              <w:top w:val="single" w:sz="6" w:space="0" w:color="auto"/>
              <w:left w:val="single" w:sz="6" w:space="0" w:color="auto"/>
              <w:bottom w:val="single" w:sz="6" w:space="0" w:color="auto"/>
              <w:right w:val="single" w:sz="6" w:space="0" w:color="auto"/>
            </w:tcBorders>
          </w:tcPr>
          <w:p w14:paraId="0AFEB5B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8CE7B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0A356D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5464DE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52705F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51D77F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568F1D2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3B1E55C5"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293BE255" w14:textId="77777777" w:rsidR="001B435B" w:rsidRPr="003F0BB9" w:rsidRDefault="001B435B" w:rsidP="001B435B">
            <w:pPr>
              <w:rPr>
                <w:color w:val="000000"/>
                <w:sz w:val="22"/>
                <w:szCs w:val="22"/>
                <w:lang w:val="en-US"/>
              </w:rPr>
            </w:pPr>
            <w:r w:rsidRPr="003F0BB9">
              <w:rPr>
                <w:color w:val="000000"/>
                <w:sz w:val="22"/>
                <w:szCs w:val="22"/>
                <w:lang w:val="en-US"/>
              </w:rPr>
              <w:t>Gunilla Svantorp (S)</w:t>
            </w:r>
          </w:p>
        </w:tc>
        <w:tc>
          <w:tcPr>
            <w:tcW w:w="355" w:type="dxa"/>
            <w:tcBorders>
              <w:top w:val="single" w:sz="6" w:space="0" w:color="auto"/>
              <w:left w:val="single" w:sz="6" w:space="0" w:color="auto"/>
              <w:bottom w:val="single" w:sz="6" w:space="0" w:color="auto"/>
              <w:right w:val="single" w:sz="6" w:space="0" w:color="auto"/>
            </w:tcBorders>
          </w:tcPr>
          <w:p w14:paraId="7966AE2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0BB9">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733498E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tcPr>
          <w:p w14:paraId="43DB150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3F0BB9">
              <w:rPr>
                <w:sz w:val="22"/>
                <w:szCs w:val="22"/>
                <w:lang w:val="en-GB"/>
              </w:rPr>
              <w:t>X</w:t>
            </w:r>
          </w:p>
        </w:tc>
        <w:tc>
          <w:tcPr>
            <w:tcW w:w="398" w:type="dxa"/>
            <w:tcBorders>
              <w:top w:val="single" w:sz="6" w:space="0" w:color="auto"/>
              <w:left w:val="single" w:sz="6" w:space="0" w:color="auto"/>
              <w:bottom w:val="single" w:sz="6" w:space="0" w:color="auto"/>
              <w:right w:val="single" w:sz="6" w:space="0" w:color="auto"/>
            </w:tcBorders>
          </w:tcPr>
          <w:p w14:paraId="46C3C86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FEAE23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50F6366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49" w:type="dxa"/>
            <w:tcBorders>
              <w:top w:val="single" w:sz="6" w:space="0" w:color="auto"/>
              <w:left w:val="single" w:sz="6" w:space="0" w:color="auto"/>
              <w:bottom w:val="single" w:sz="6" w:space="0" w:color="auto"/>
              <w:right w:val="single" w:sz="6" w:space="0" w:color="auto"/>
            </w:tcBorders>
          </w:tcPr>
          <w:p w14:paraId="1092952B" w14:textId="63A57C0A"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Pr>
                <w:sz w:val="22"/>
                <w:szCs w:val="22"/>
                <w:lang w:val="en-GB"/>
              </w:rPr>
              <w:t>X</w:t>
            </w:r>
          </w:p>
        </w:tc>
        <w:tc>
          <w:tcPr>
            <w:tcW w:w="263" w:type="dxa"/>
            <w:tcBorders>
              <w:top w:val="single" w:sz="6" w:space="0" w:color="auto"/>
              <w:left w:val="single" w:sz="6" w:space="0" w:color="auto"/>
              <w:bottom w:val="single" w:sz="6" w:space="0" w:color="auto"/>
              <w:right w:val="single" w:sz="6" w:space="0" w:color="auto"/>
            </w:tcBorders>
          </w:tcPr>
          <w:p w14:paraId="6271547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0C2E5E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FFB768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2CFE490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32441EF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7A64642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78644E5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B435B" w:rsidRPr="003F0BB9" w14:paraId="04FE293A"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15CD2B47" w14:textId="77777777" w:rsidR="001B435B" w:rsidRPr="003F0BB9" w:rsidRDefault="001B435B" w:rsidP="001B435B">
            <w:pPr>
              <w:rPr>
                <w:sz w:val="22"/>
                <w:szCs w:val="22"/>
                <w:lang w:val="en-US"/>
              </w:rPr>
            </w:pPr>
            <w:r w:rsidRPr="003F0BB9">
              <w:rPr>
                <w:sz w:val="22"/>
                <w:szCs w:val="22"/>
                <w:lang w:val="en-US"/>
              </w:rPr>
              <w:t xml:space="preserve">Maria </w:t>
            </w:r>
            <w:proofErr w:type="spellStart"/>
            <w:r w:rsidRPr="003F0BB9">
              <w:rPr>
                <w:sz w:val="22"/>
                <w:szCs w:val="22"/>
                <w:lang w:val="en-US"/>
              </w:rPr>
              <w:t>Stockhaus</w:t>
            </w:r>
            <w:proofErr w:type="spellEnd"/>
            <w:r w:rsidRPr="003F0BB9">
              <w:rPr>
                <w:sz w:val="22"/>
                <w:szCs w:val="22"/>
                <w:lang w:val="en-US"/>
              </w:rPr>
              <w:t xml:space="preserve"> (M)</w:t>
            </w:r>
          </w:p>
        </w:tc>
        <w:tc>
          <w:tcPr>
            <w:tcW w:w="355" w:type="dxa"/>
            <w:tcBorders>
              <w:top w:val="single" w:sz="6" w:space="0" w:color="auto"/>
              <w:left w:val="single" w:sz="6" w:space="0" w:color="auto"/>
              <w:bottom w:val="single" w:sz="6" w:space="0" w:color="auto"/>
              <w:right w:val="single" w:sz="6" w:space="0" w:color="auto"/>
            </w:tcBorders>
          </w:tcPr>
          <w:p w14:paraId="7B020BE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3F0BB9">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890415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128648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3F0BB9">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35A55D6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FDABB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5B136C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0A8FBCC7" w14:textId="5E946A1E"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263" w:type="dxa"/>
            <w:tcBorders>
              <w:top w:val="single" w:sz="6" w:space="0" w:color="auto"/>
              <w:left w:val="single" w:sz="6" w:space="0" w:color="auto"/>
              <w:bottom w:val="single" w:sz="6" w:space="0" w:color="auto"/>
              <w:right w:val="single" w:sz="6" w:space="0" w:color="auto"/>
            </w:tcBorders>
          </w:tcPr>
          <w:p w14:paraId="4749C62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443B84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01947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8AAAD2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6C22D1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24825A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4D9DCF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279A101B"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25804C78" w14:textId="77777777" w:rsidR="001B435B" w:rsidRPr="003F0BB9" w:rsidRDefault="001B435B" w:rsidP="001B435B">
            <w:pPr>
              <w:rPr>
                <w:sz w:val="22"/>
                <w:szCs w:val="22"/>
                <w:lang w:val="en-US"/>
              </w:rPr>
            </w:pPr>
            <w:r w:rsidRPr="003F0BB9">
              <w:rPr>
                <w:sz w:val="22"/>
                <w:szCs w:val="22"/>
                <w:lang w:val="en-US"/>
              </w:rPr>
              <w:t>Mattias Ottosson (S)</w:t>
            </w:r>
          </w:p>
        </w:tc>
        <w:tc>
          <w:tcPr>
            <w:tcW w:w="355" w:type="dxa"/>
            <w:tcBorders>
              <w:top w:val="single" w:sz="6" w:space="0" w:color="auto"/>
              <w:left w:val="single" w:sz="6" w:space="0" w:color="auto"/>
              <w:bottom w:val="single" w:sz="6" w:space="0" w:color="auto"/>
              <w:right w:val="single" w:sz="6" w:space="0" w:color="auto"/>
            </w:tcBorders>
          </w:tcPr>
          <w:p w14:paraId="46026C7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608C98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A28433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75A87D6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BDF0D1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706FCC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021B758C" w14:textId="7EB7DC9B"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263" w:type="dxa"/>
            <w:tcBorders>
              <w:top w:val="single" w:sz="6" w:space="0" w:color="auto"/>
              <w:left w:val="single" w:sz="6" w:space="0" w:color="auto"/>
              <w:bottom w:val="single" w:sz="6" w:space="0" w:color="auto"/>
              <w:right w:val="single" w:sz="6" w:space="0" w:color="auto"/>
            </w:tcBorders>
          </w:tcPr>
          <w:p w14:paraId="727931E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E7B838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3715CC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F00575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B238EC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E2950E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2112A8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41A6BB3F"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5C68AE14" w14:textId="77777777" w:rsidR="001B435B" w:rsidRPr="003F0BB9" w:rsidRDefault="001B435B" w:rsidP="001B435B">
            <w:pPr>
              <w:rPr>
                <w:sz w:val="22"/>
                <w:szCs w:val="22"/>
              </w:rPr>
            </w:pPr>
            <w:r w:rsidRPr="003F0BB9">
              <w:rPr>
                <w:sz w:val="22"/>
                <w:szCs w:val="22"/>
              </w:rPr>
              <w:t>Jimmy Ståhl (SD)</w:t>
            </w:r>
          </w:p>
        </w:tc>
        <w:tc>
          <w:tcPr>
            <w:tcW w:w="355" w:type="dxa"/>
            <w:tcBorders>
              <w:top w:val="single" w:sz="6" w:space="0" w:color="auto"/>
              <w:left w:val="single" w:sz="6" w:space="0" w:color="auto"/>
              <w:bottom w:val="single" w:sz="6" w:space="0" w:color="auto"/>
              <w:right w:val="single" w:sz="6" w:space="0" w:color="auto"/>
            </w:tcBorders>
          </w:tcPr>
          <w:p w14:paraId="36EB200A" w14:textId="0DE5D318"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538F34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24D8D35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98" w:type="dxa"/>
            <w:tcBorders>
              <w:top w:val="single" w:sz="6" w:space="0" w:color="auto"/>
              <w:left w:val="single" w:sz="6" w:space="0" w:color="auto"/>
              <w:bottom w:val="single" w:sz="6" w:space="0" w:color="auto"/>
              <w:right w:val="single" w:sz="6" w:space="0" w:color="auto"/>
            </w:tcBorders>
          </w:tcPr>
          <w:p w14:paraId="2D316D0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08201" w14:textId="18529A9B"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BF83FB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0DB264FF" w14:textId="6E973319"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263" w:type="dxa"/>
            <w:tcBorders>
              <w:top w:val="single" w:sz="6" w:space="0" w:color="auto"/>
              <w:left w:val="single" w:sz="6" w:space="0" w:color="auto"/>
              <w:bottom w:val="single" w:sz="6" w:space="0" w:color="auto"/>
              <w:right w:val="single" w:sz="6" w:space="0" w:color="auto"/>
            </w:tcBorders>
          </w:tcPr>
          <w:p w14:paraId="0FD93F9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A2D9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5007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DCF5E3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75E82C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4FCAFBF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3931AC2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B435B" w:rsidRPr="003F0BB9" w14:paraId="5505D3F9"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346A409F" w14:textId="77777777" w:rsidR="001B435B" w:rsidRPr="003F0BB9" w:rsidRDefault="001B435B" w:rsidP="001B435B">
            <w:pPr>
              <w:rPr>
                <w:sz w:val="22"/>
                <w:szCs w:val="22"/>
                <w:lang w:val="en-US"/>
              </w:rPr>
            </w:pPr>
            <w:r w:rsidRPr="003F0BB9">
              <w:rPr>
                <w:sz w:val="22"/>
                <w:szCs w:val="22"/>
                <w:lang w:val="en-US"/>
              </w:rPr>
              <w:t>Åsa Karlsson (S)</w:t>
            </w:r>
          </w:p>
        </w:tc>
        <w:tc>
          <w:tcPr>
            <w:tcW w:w="355" w:type="dxa"/>
            <w:tcBorders>
              <w:top w:val="single" w:sz="6" w:space="0" w:color="auto"/>
              <w:left w:val="single" w:sz="6" w:space="0" w:color="auto"/>
              <w:bottom w:val="single" w:sz="6" w:space="0" w:color="auto"/>
              <w:right w:val="single" w:sz="6" w:space="0" w:color="auto"/>
            </w:tcBorders>
          </w:tcPr>
          <w:p w14:paraId="6B3DDA5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EEE3FD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55147EF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0E578B5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8A737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D7D29D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5BA4BF6" w14:textId="39902B9C"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63" w:type="dxa"/>
            <w:tcBorders>
              <w:top w:val="single" w:sz="6" w:space="0" w:color="auto"/>
              <w:left w:val="single" w:sz="6" w:space="0" w:color="auto"/>
              <w:bottom w:val="single" w:sz="6" w:space="0" w:color="auto"/>
              <w:right w:val="single" w:sz="6" w:space="0" w:color="auto"/>
            </w:tcBorders>
          </w:tcPr>
          <w:p w14:paraId="2700DAB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6D3306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F42F9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8D3783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3B7E28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07AE56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5BFAAB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2D664E64" w14:textId="77777777" w:rsidTr="00945269">
        <w:trPr>
          <w:trHeight w:val="276"/>
        </w:trPr>
        <w:tc>
          <w:tcPr>
            <w:tcW w:w="3433" w:type="dxa"/>
            <w:gridSpan w:val="2"/>
            <w:tcBorders>
              <w:top w:val="single" w:sz="6" w:space="0" w:color="auto"/>
              <w:left w:val="single" w:sz="6" w:space="0" w:color="auto"/>
              <w:bottom w:val="single" w:sz="6" w:space="0" w:color="auto"/>
              <w:right w:val="single" w:sz="6" w:space="0" w:color="auto"/>
            </w:tcBorders>
          </w:tcPr>
          <w:p w14:paraId="5BA1E407" w14:textId="77777777" w:rsidR="001B435B" w:rsidRPr="003F0BB9" w:rsidRDefault="001B435B" w:rsidP="001B435B">
            <w:pPr>
              <w:rPr>
                <w:sz w:val="22"/>
                <w:szCs w:val="22"/>
              </w:rPr>
            </w:pPr>
            <w:r w:rsidRPr="003F0BB9">
              <w:rPr>
                <w:sz w:val="22"/>
                <w:szCs w:val="22"/>
              </w:rPr>
              <w:t>Sten Bergheden (M)</w:t>
            </w:r>
          </w:p>
        </w:tc>
        <w:tc>
          <w:tcPr>
            <w:tcW w:w="355" w:type="dxa"/>
            <w:tcBorders>
              <w:top w:val="single" w:sz="6" w:space="0" w:color="auto"/>
              <w:left w:val="single" w:sz="6" w:space="0" w:color="auto"/>
              <w:bottom w:val="single" w:sz="6" w:space="0" w:color="auto"/>
              <w:right w:val="single" w:sz="6" w:space="0" w:color="auto"/>
            </w:tcBorders>
          </w:tcPr>
          <w:p w14:paraId="6CB5C1F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DE663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560404D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733AF3D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AA48D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ABA2F9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73BF62A7" w14:textId="6AE5DE4E"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63" w:type="dxa"/>
            <w:tcBorders>
              <w:top w:val="single" w:sz="6" w:space="0" w:color="auto"/>
              <w:left w:val="single" w:sz="6" w:space="0" w:color="auto"/>
              <w:bottom w:val="single" w:sz="6" w:space="0" w:color="auto"/>
              <w:right w:val="single" w:sz="6" w:space="0" w:color="auto"/>
            </w:tcBorders>
          </w:tcPr>
          <w:p w14:paraId="10389B7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B1661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A596B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193733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0B91B6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85CAD9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367B25C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B435B" w:rsidRPr="003F0BB9" w14:paraId="5D824E02" w14:textId="77777777" w:rsidTr="00945269">
        <w:trPr>
          <w:trHeight w:val="138"/>
        </w:trPr>
        <w:tc>
          <w:tcPr>
            <w:tcW w:w="3433" w:type="dxa"/>
            <w:gridSpan w:val="2"/>
            <w:tcBorders>
              <w:top w:val="single" w:sz="6" w:space="0" w:color="auto"/>
              <w:left w:val="single" w:sz="6" w:space="0" w:color="auto"/>
              <w:bottom w:val="single" w:sz="6" w:space="0" w:color="auto"/>
              <w:right w:val="single" w:sz="6" w:space="0" w:color="auto"/>
            </w:tcBorders>
          </w:tcPr>
          <w:p w14:paraId="48DA2426" w14:textId="77777777" w:rsidR="001B435B" w:rsidRPr="003F0BB9" w:rsidRDefault="001B435B" w:rsidP="001B435B">
            <w:pPr>
              <w:rPr>
                <w:sz w:val="22"/>
                <w:szCs w:val="22"/>
              </w:rPr>
            </w:pPr>
            <w:r w:rsidRPr="003F0BB9">
              <w:rPr>
                <w:sz w:val="22"/>
                <w:szCs w:val="22"/>
              </w:rPr>
              <w:t>Kadir Kasirga (S)</w:t>
            </w:r>
          </w:p>
        </w:tc>
        <w:tc>
          <w:tcPr>
            <w:tcW w:w="355" w:type="dxa"/>
            <w:tcBorders>
              <w:top w:val="single" w:sz="6" w:space="0" w:color="auto"/>
              <w:left w:val="single" w:sz="6" w:space="0" w:color="auto"/>
              <w:bottom w:val="single" w:sz="6" w:space="0" w:color="auto"/>
              <w:right w:val="single" w:sz="6" w:space="0" w:color="auto"/>
            </w:tcBorders>
          </w:tcPr>
          <w:p w14:paraId="73A9AD2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63B75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F7D2AE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3FE3661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CF499C" w14:textId="3401FB49"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47985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DAB79E6" w14:textId="0F8E3FFD"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63" w:type="dxa"/>
            <w:tcBorders>
              <w:top w:val="single" w:sz="6" w:space="0" w:color="auto"/>
              <w:left w:val="single" w:sz="6" w:space="0" w:color="auto"/>
              <w:bottom w:val="single" w:sz="6" w:space="0" w:color="auto"/>
              <w:right w:val="single" w:sz="6" w:space="0" w:color="auto"/>
            </w:tcBorders>
          </w:tcPr>
          <w:p w14:paraId="46704CE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43771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D5FA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D8BC53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6199B4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F6617C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AAA2CB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B435B" w:rsidRPr="003F0BB9" w14:paraId="51444AE9"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6AF78149" w14:textId="77777777" w:rsidR="001B435B" w:rsidRPr="003F0BB9" w:rsidRDefault="001B435B" w:rsidP="001B435B">
            <w:pPr>
              <w:rPr>
                <w:sz w:val="22"/>
                <w:szCs w:val="22"/>
              </w:rPr>
            </w:pPr>
            <w:r w:rsidRPr="003F0BB9">
              <w:rPr>
                <w:sz w:val="22"/>
                <w:szCs w:val="22"/>
              </w:rPr>
              <w:t>Helena Gellerman (L)</w:t>
            </w:r>
          </w:p>
        </w:tc>
        <w:tc>
          <w:tcPr>
            <w:tcW w:w="355" w:type="dxa"/>
            <w:tcBorders>
              <w:top w:val="single" w:sz="6" w:space="0" w:color="auto"/>
              <w:left w:val="single" w:sz="6" w:space="0" w:color="auto"/>
              <w:bottom w:val="single" w:sz="6" w:space="0" w:color="auto"/>
              <w:right w:val="single" w:sz="6" w:space="0" w:color="auto"/>
            </w:tcBorders>
          </w:tcPr>
          <w:p w14:paraId="3427B03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19F76E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0DA18F1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09FAC23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F98A8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745238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26FF570" w14:textId="5F3984E1"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63" w:type="dxa"/>
            <w:tcBorders>
              <w:top w:val="single" w:sz="6" w:space="0" w:color="auto"/>
              <w:left w:val="single" w:sz="6" w:space="0" w:color="auto"/>
              <w:bottom w:val="single" w:sz="6" w:space="0" w:color="auto"/>
              <w:right w:val="single" w:sz="6" w:space="0" w:color="auto"/>
            </w:tcBorders>
          </w:tcPr>
          <w:p w14:paraId="5C27A0E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54A83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C722B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38AEE4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3E46EB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2D792B0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1C750B6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B435B" w:rsidRPr="003F0BB9" w14:paraId="2F3D8875"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43FA9F37" w14:textId="77777777" w:rsidR="001B435B" w:rsidRPr="003F0BB9" w:rsidRDefault="001B435B" w:rsidP="001B435B">
            <w:pPr>
              <w:rPr>
                <w:sz w:val="22"/>
                <w:szCs w:val="22"/>
              </w:rPr>
            </w:pPr>
            <w:r w:rsidRPr="003F0BB9">
              <w:rPr>
                <w:sz w:val="22"/>
                <w:szCs w:val="22"/>
              </w:rPr>
              <w:t>Carina Ödebrink (S)</w:t>
            </w:r>
          </w:p>
        </w:tc>
        <w:tc>
          <w:tcPr>
            <w:tcW w:w="355" w:type="dxa"/>
            <w:tcBorders>
              <w:top w:val="single" w:sz="6" w:space="0" w:color="auto"/>
              <w:left w:val="single" w:sz="6" w:space="0" w:color="auto"/>
              <w:bottom w:val="single" w:sz="6" w:space="0" w:color="auto"/>
              <w:right w:val="single" w:sz="6" w:space="0" w:color="auto"/>
            </w:tcBorders>
          </w:tcPr>
          <w:p w14:paraId="00BAE14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C60B0D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446CF85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23808EA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ED07F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15849A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730E7637" w14:textId="3CAB9FE1"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63" w:type="dxa"/>
            <w:tcBorders>
              <w:top w:val="single" w:sz="6" w:space="0" w:color="auto"/>
              <w:left w:val="single" w:sz="6" w:space="0" w:color="auto"/>
              <w:bottom w:val="single" w:sz="6" w:space="0" w:color="auto"/>
              <w:right w:val="single" w:sz="6" w:space="0" w:color="auto"/>
            </w:tcBorders>
          </w:tcPr>
          <w:p w14:paraId="0CDA011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6777A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65843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F8E810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8F7FEC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2CF5ABA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67C5EDB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B435B" w:rsidRPr="003F0BB9" w14:paraId="0AD8A355"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66A8B775" w14:textId="77777777" w:rsidR="001B435B" w:rsidRPr="003F0BB9" w:rsidRDefault="001B435B" w:rsidP="001B435B">
            <w:pPr>
              <w:rPr>
                <w:sz w:val="22"/>
                <w:szCs w:val="22"/>
              </w:rPr>
            </w:pPr>
            <w:r w:rsidRPr="003F0BB9">
              <w:rPr>
                <w:sz w:val="22"/>
                <w:szCs w:val="22"/>
              </w:rPr>
              <w:t>Ann-Sofie Lifvenhage (M)</w:t>
            </w:r>
          </w:p>
        </w:tc>
        <w:tc>
          <w:tcPr>
            <w:tcW w:w="355" w:type="dxa"/>
            <w:tcBorders>
              <w:top w:val="single" w:sz="6" w:space="0" w:color="auto"/>
              <w:left w:val="single" w:sz="6" w:space="0" w:color="auto"/>
              <w:bottom w:val="single" w:sz="6" w:space="0" w:color="auto"/>
              <w:right w:val="single" w:sz="6" w:space="0" w:color="auto"/>
            </w:tcBorders>
          </w:tcPr>
          <w:p w14:paraId="7193043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016278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5CF6FC4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0A39C76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A475F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14D741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36C8D5F" w14:textId="1F21430C"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63" w:type="dxa"/>
            <w:tcBorders>
              <w:top w:val="single" w:sz="6" w:space="0" w:color="auto"/>
              <w:left w:val="single" w:sz="6" w:space="0" w:color="auto"/>
              <w:bottom w:val="single" w:sz="6" w:space="0" w:color="auto"/>
              <w:right w:val="single" w:sz="6" w:space="0" w:color="auto"/>
            </w:tcBorders>
          </w:tcPr>
          <w:p w14:paraId="367853B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2FB9D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A4A3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2FD441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92B189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555AABE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128170F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B435B" w:rsidRPr="003F0BB9" w14:paraId="07AE6DE9"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33FEAC4D" w14:textId="77777777" w:rsidR="001B435B" w:rsidRPr="003F0BB9" w:rsidRDefault="001B435B" w:rsidP="001B435B">
            <w:pPr>
              <w:rPr>
                <w:sz w:val="22"/>
                <w:szCs w:val="22"/>
              </w:rPr>
            </w:pPr>
            <w:r w:rsidRPr="003F0BB9">
              <w:rPr>
                <w:sz w:val="22"/>
                <w:szCs w:val="22"/>
              </w:rPr>
              <w:t xml:space="preserve">Linda W </w:t>
            </w:r>
            <w:proofErr w:type="spellStart"/>
            <w:r w:rsidRPr="003F0BB9">
              <w:rPr>
                <w:sz w:val="22"/>
                <w:szCs w:val="22"/>
              </w:rPr>
              <w:t>Snecker</w:t>
            </w:r>
            <w:proofErr w:type="spellEnd"/>
            <w:r w:rsidRPr="003F0BB9">
              <w:rPr>
                <w:sz w:val="22"/>
                <w:szCs w:val="22"/>
              </w:rPr>
              <w:t xml:space="preserve"> (V)</w:t>
            </w:r>
          </w:p>
        </w:tc>
        <w:tc>
          <w:tcPr>
            <w:tcW w:w="355" w:type="dxa"/>
            <w:tcBorders>
              <w:top w:val="single" w:sz="6" w:space="0" w:color="auto"/>
              <w:left w:val="single" w:sz="6" w:space="0" w:color="auto"/>
              <w:bottom w:val="single" w:sz="6" w:space="0" w:color="auto"/>
              <w:right w:val="single" w:sz="6" w:space="0" w:color="auto"/>
            </w:tcBorders>
          </w:tcPr>
          <w:p w14:paraId="4C24D732" w14:textId="44DFF4C5"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606F1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5A9345C2" w14:textId="086D7491"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5EE8135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3AF814" w14:textId="4B11E43A"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94BDA5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E0391CC" w14:textId="5A15E1B3"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63" w:type="dxa"/>
            <w:tcBorders>
              <w:top w:val="single" w:sz="6" w:space="0" w:color="auto"/>
              <w:left w:val="single" w:sz="6" w:space="0" w:color="auto"/>
              <w:bottom w:val="single" w:sz="6" w:space="0" w:color="auto"/>
              <w:right w:val="single" w:sz="6" w:space="0" w:color="auto"/>
            </w:tcBorders>
          </w:tcPr>
          <w:p w14:paraId="79FD0B4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A7CB7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36429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FA48B8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68934E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48BE3AC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4E105F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B435B" w:rsidRPr="003F0BB9" w14:paraId="191DB85F"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49BB3852" w14:textId="77777777" w:rsidR="001B435B" w:rsidRPr="003F0BB9" w:rsidRDefault="001B435B" w:rsidP="001B435B">
            <w:pPr>
              <w:rPr>
                <w:sz w:val="22"/>
                <w:szCs w:val="22"/>
              </w:rPr>
            </w:pPr>
            <w:r w:rsidRPr="003F0BB9">
              <w:rPr>
                <w:sz w:val="22"/>
                <w:szCs w:val="22"/>
              </w:rPr>
              <w:t>Magnus Oscarsson (KD)</w:t>
            </w:r>
          </w:p>
        </w:tc>
        <w:tc>
          <w:tcPr>
            <w:tcW w:w="355" w:type="dxa"/>
            <w:tcBorders>
              <w:top w:val="single" w:sz="6" w:space="0" w:color="auto"/>
              <w:left w:val="single" w:sz="6" w:space="0" w:color="auto"/>
              <w:bottom w:val="single" w:sz="6" w:space="0" w:color="auto"/>
              <w:right w:val="single" w:sz="6" w:space="0" w:color="auto"/>
            </w:tcBorders>
          </w:tcPr>
          <w:p w14:paraId="2E6C6FD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0C557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21378A7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6AC73DE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EEF3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44B9CE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63CED288" w14:textId="14806EAA"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63" w:type="dxa"/>
            <w:tcBorders>
              <w:top w:val="single" w:sz="6" w:space="0" w:color="auto"/>
              <w:left w:val="single" w:sz="6" w:space="0" w:color="auto"/>
              <w:bottom w:val="single" w:sz="6" w:space="0" w:color="auto"/>
              <w:right w:val="single" w:sz="6" w:space="0" w:color="auto"/>
            </w:tcBorders>
          </w:tcPr>
          <w:p w14:paraId="106FA75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7378B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EAE29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C039A1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13B390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38077EE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129C816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B435B" w:rsidRPr="003F0BB9" w14:paraId="6157C6C0"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2436C777" w14:textId="77777777" w:rsidR="001B435B" w:rsidRPr="003F0BB9" w:rsidRDefault="001B435B" w:rsidP="001B435B">
            <w:pPr>
              <w:rPr>
                <w:sz w:val="22"/>
                <w:szCs w:val="22"/>
              </w:rPr>
            </w:pPr>
            <w:r w:rsidRPr="003F0BB9">
              <w:rPr>
                <w:sz w:val="22"/>
                <w:szCs w:val="22"/>
              </w:rPr>
              <w:t>Oskar Svärd (M)</w:t>
            </w:r>
          </w:p>
        </w:tc>
        <w:tc>
          <w:tcPr>
            <w:tcW w:w="355" w:type="dxa"/>
            <w:tcBorders>
              <w:top w:val="single" w:sz="6" w:space="0" w:color="auto"/>
              <w:left w:val="single" w:sz="6" w:space="0" w:color="auto"/>
              <w:bottom w:val="single" w:sz="6" w:space="0" w:color="auto"/>
              <w:right w:val="single" w:sz="6" w:space="0" w:color="auto"/>
            </w:tcBorders>
          </w:tcPr>
          <w:p w14:paraId="648EE77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953764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71ED9A1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433E7BA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1B11E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89DED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037EDB3" w14:textId="1E22330C"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63" w:type="dxa"/>
            <w:tcBorders>
              <w:top w:val="single" w:sz="6" w:space="0" w:color="auto"/>
              <w:left w:val="single" w:sz="6" w:space="0" w:color="auto"/>
              <w:bottom w:val="single" w:sz="6" w:space="0" w:color="auto"/>
              <w:right w:val="single" w:sz="6" w:space="0" w:color="auto"/>
            </w:tcBorders>
          </w:tcPr>
          <w:p w14:paraId="6CA6B9F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389BE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C109A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19B989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938D12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53BCED9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11F439B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B435B" w:rsidRPr="003F0BB9" w14:paraId="22FD47CB"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7F708B56" w14:textId="77777777" w:rsidR="001B435B" w:rsidRPr="003F0BB9" w:rsidRDefault="001B435B" w:rsidP="001B435B">
            <w:pPr>
              <w:rPr>
                <w:sz w:val="22"/>
                <w:szCs w:val="22"/>
              </w:rPr>
            </w:pPr>
            <w:r w:rsidRPr="003F0BB9">
              <w:rPr>
                <w:sz w:val="22"/>
                <w:szCs w:val="22"/>
              </w:rPr>
              <w:t>Daniel Helldén (MP)</w:t>
            </w:r>
          </w:p>
        </w:tc>
        <w:tc>
          <w:tcPr>
            <w:tcW w:w="355" w:type="dxa"/>
            <w:tcBorders>
              <w:top w:val="single" w:sz="6" w:space="0" w:color="auto"/>
              <w:left w:val="single" w:sz="6" w:space="0" w:color="auto"/>
              <w:bottom w:val="single" w:sz="6" w:space="0" w:color="auto"/>
              <w:right w:val="single" w:sz="6" w:space="0" w:color="auto"/>
            </w:tcBorders>
          </w:tcPr>
          <w:p w14:paraId="1B9E6F6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824CAB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2681917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53B66AE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30169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7E0075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887201A" w14:textId="210D0B2F"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63" w:type="dxa"/>
            <w:tcBorders>
              <w:top w:val="single" w:sz="6" w:space="0" w:color="auto"/>
              <w:left w:val="single" w:sz="6" w:space="0" w:color="auto"/>
              <w:bottom w:val="single" w:sz="6" w:space="0" w:color="auto"/>
              <w:right w:val="single" w:sz="6" w:space="0" w:color="auto"/>
            </w:tcBorders>
          </w:tcPr>
          <w:p w14:paraId="32E74A7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20292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D7449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76F07B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988779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36089A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98D0B7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B435B" w:rsidRPr="003F0BB9" w14:paraId="140117F3"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69B80ABD" w14:textId="77777777" w:rsidR="001B435B" w:rsidRPr="003F0BB9" w:rsidRDefault="001B435B" w:rsidP="001B435B">
            <w:pPr>
              <w:rPr>
                <w:sz w:val="22"/>
                <w:szCs w:val="22"/>
              </w:rPr>
            </w:pPr>
            <w:r w:rsidRPr="003F0BB9">
              <w:rPr>
                <w:sz w:val="22"/>
                <w:szCs w:val="22"/>
              </w:rPr>
              <w:t>Johanna Rantsi (M)</w:t>
            </w:r>
          </w:p>
        </w:tc>
        <w:tc>
          <w:tcPr>
            <w:tcW w:w="355" w:type="dxa"/>
            <w:tcBorders>
              <w:top w:val="single" w:sz="6" w:space="0" w:color="auto"/>
              <w:left w:val="single" w:sz="6" w:space="0" w:color="auto"/>
              <w:bottom w:val="single" w:sz="6" w:space="0" w:color="auto"/>
              <w:right w:val="single" w:sz="6" w:space="0" w:color="auto"/>
            </w:tcBorders>
          </w:tcPr>
          <w:p w14:paraId="5480E64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00E0D2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661C4EB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F0BB9">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6704948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C2D4E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E6ECEA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BF9C41D" w14:textId="0C72C9EB"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63" w:type="dxa"/>
            <w:tcBorders>
              <w:top w:val="single" w:sz="6" w:space="0" w:color="auto"/>
              <w:left w:val="single" w:sz="6" w:space="0" w:color="auto"/>
              <w:bottom w:val="single" w:sz="6" w:space="0" w:color="auto"/>
              <w:right w:val="single" w:sz="6" w:space="0" w:color="auto"/>
            </w:tcBorders>
          </w:tcPr>
          <w:p w14:paraId="47E56D4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9DB6A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4DC3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6300E2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C9AE90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5DEA474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7FBD15F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B435B" w:rsidRPr="003F0BB9" w14:paraId="10313473" w14:textId="77777777" w:rsidTr="00945269">
        <w:tc>
          <w:tcPr>
            <w:tcW w:w="3433" w:type="dxa"/>
            <w:gridSpan w:val="2"/>
            <w:tcBorders>
              <w:top w:val="single" w:sz="6" w:space="0" w:color="auto"/>
              <w:left w:val="single" w:sz="6" w:space="0" w:color="auto"/>
              <w:bottom w:val="single" w:sz="6" w:space="0" w:color="auto"/>
              <w:right w:val="single" w:sz="6" w:space="0" w:color="auto"/>
            </w:tcBorders>
            <w:hideMark/>
          </w:tcPr>
          <w:p w14:paraId="0900902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b/>
                <w:i/>
                <w:sz w:val="22"/>
                <w:szCs w:val="22"/>
              </w:rPr>
              <w:t>SUPPLEANTER</w:t>
            </w:r>
          </w:p>
        </w:tc>
        <w:tc>
          <w:tcPr>
            <w:tcW w:w="355" w:type="dxa"/>
            <w:tcBorders>
              <w:top w:val="single" w:sz="6" w:space="0" w:color="auto"/>
              <w:left w:val="single" w:sz="6" w:space="0" w:color="auto"/>
              <w:bottom w:val="single" w:sz="6" w:space="0" w:color="auto"/>
              <w:right w:val="single" w:sz="6" w:space="0" w:color="auto"/>
            </w:tcBorders>
          </w:tcPr>
          <w:p w14:paraId="75A62D6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29E74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799B1EB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4EF5E64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8F877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4C7BA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430A1F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48C1602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92D4E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FF14E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8D20AC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CF56AB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6E0B94D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D59FC4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r>
      <w:tr w:rsidR="001B435B" w:rsidRPr="003F0BB9" w14:paraId="4C470DBB"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4AB5D9C6" w14:textId="77777777" w:rsidR="001B435B" w:rsidRPr="003F0BB9" w:rsidRDefault="001B435B" w:rsidP="001B435B">
            <w:pPr>
              <w:rPr>
                <w:sz w:val="22"/>
                <w:szCs w:val="22"/>
              </w:rPr>
            </w:pPr>
            <w:r w:rsidRPr="003F0BB9">
              <w:rPr>
                <w:sz w:val="22"/>
                <w:szCs w:val="22"/>
              </w:rPr>
              <w:t>Patrik Jönsson (SD)</w:t>
            </w:r>
          </w:p>
        </w:tc>
        <w:tc>
          <w:tcPr>
            <w:tcW w:w="355" w:type="dxa"/>
            <w:tcBorders>
              <w:top w:val="single" w:sz="6" w:space="0" w:color="auto"/>
              <w:left w:val="single" w:sz="6" w:space="0" w:color="auto"/>
              <w:bottom w:val="single" w:sz="6" w:space="0" w:color="auto"/>
              <w:right w:val="single" w:sz="6" w:space="0" w:color="auto"/>
            </w:tcBorders>
          </w:tcPr>
          <w:p w14:paraId="3D704B09" w14:textId="3074A345"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7FB646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2247658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280E1ED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C3010B" w14:textId="066337D2"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40BC70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22DF550D" w14:textId="0472B170"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63" w:type="dxa"/>
            <w:tcBorders>
              <w:top w:val="single" w:sz="6" w:space="0" w:color="auto"/>
              <w:left w:val="single" w:sz="6" w:space="0" w:color="auto"/>
              <w:bottom w:val="single" w:sz="6" w:space="0" w:color="auto"/>
              <w:right w:val="single" w:sz="6" w:space="0" w:color="auto"/>
            </w:tcBorders>
          </w:tcPr>
          <w:p w14:paraId="6CCE90B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9290C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C8E31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5BD613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D47761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98A148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1142D73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B435B" w:rsidRPr="003F0BB9" w14:paraId="7C3142FC"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5CE693FA" w14:textId="77777777" w:rsidR="001B435B" w:rsidRPr="003F0BB9" w:rsidRDefault="001B435B" w:rsidP="001B435B">
            <w:pPr>
              <w:rPr>
                <w:sz w:val="22"/>
                <w:szCs w:val="22"/>
              </w:rPr>
            </w:pPr>
            <w:proofErr w:type="spellStart"/>
            <w:r w:rsidRPr="003F0BB9">
              <w:rPr>
                <w:sz w:val="22"/>
                <w:szCs w:val="22"/>
              </w:rPr>
              <w:t>Jamal</w:t>
            </w:r>
            <w:proofErr w:type="spellEnd"/>
            <w:r w:rsidRPr="003F0BB9">
              <w:rPr>
                <w:sz w:val="22"/>
                <w:szCs w:val="22"/>
              </w:rPr>
              <w:t xml:space="preserve"> </w:t>
            </w:r>
            <w:r>
              <w:rPr>
                <w:sz w:val="22"/>
                <w:szCs w:val="22"/>
              </w:rPr>
              <w:t>E</w:t>
            </w:r>
            <w:r w:rsidRPr="003F0BB9">
              <w:rPr>
                <w:sz w:val="22"/>
                <w:szCs w:val="22"/>
              </w:rPr>
              <w:t>l-Haj (S)</w:t>
            </w:r>
          </w:p>
        </w:tc>
        <w:tc>
          <w:tcPr>
            <w:tcW w:w="355" w:type="dxa"/>
            <w:tcBorders>
              <w:top w:val="single" w:sz="6" w:space="0" w:color="auto"/>
              <w:left w:val="single" w:sz="6" w:space="0" w:color="auto"/>
              <w:bottom w:val="single" w:sz="6" w:space="0" w:color="auto"/>
              <w:right w:val="single" w:sz="6" w:space="0" w:color="auto"/>
            </w:tcBorders>
          </w:tcPr>
          <w:p w14:paraId="14C7BDE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DCC355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2E26DA7E" w14:textId="451F387A"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98" w:type="dxa"/>
            <w:tcBorders>
              <w:top w:val="single" w:sz="6" w:space="0" w:color="auto"/>
              <w:left w:val="single" w:sz="6" w:space="0" w:color="auto"/>
              <w:bottom w:val="single" w:sz="6" w:space="0" w:color="auto"/>
              <w:right w:val="single" w:sz="6" w:space="0" w:color="auto"/>
            </w:tcBorders>
          </w:tcPr>
          <w:p w14:paraId="2398DAB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0C124C" w14:textId="36EA5DD4"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C26C9B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77149491" w14:textId="1271B98B"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263" w:type="dxa"/>
            <w:tcBorders>
              <w:top w:val="single" w:sz="6" w:space="0" w:color="auto"/>
              <w:left w:val="single" w:sz="6" w:space="0" w:color="auto"/>
              <w:bottom w:val="single" w:sz="6" w:space="0" w:color="auto"/>
              <w:right w:val="single" w:sz="6" w:space="0" w:color="auto"/>
            </w:tcBorders>
          </w:tcPr>
          <w:p w14:paraId="6B9475E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B5F0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F8859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52A2F6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E6A313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7AEE722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89F23E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B435B" w:rsidRPr="003F0BB9" w14:paraId="44D5B9CC"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08E3B73C" w14:textId="77777777" w:rsidR="001B435B" w:rsidRPr="003F0BB9" w:rsidRDefault="001B435B" w:rsidP="001B435B">
            <w:pPr>
              <w:rPr>
                <w:sz w:val="22"/>
                <w:szCs w:val="22"/>
              </w:rPr>
            </w:pPr>
            <w:r w:rsidRPr="003F0BB9">
              <w:rPr>
                <w:sz w:val="22"/>
                <w:szCs w:val="22"/>
              </w:rPr>
              <w:t>Lars Johnsson (M)</w:t>
            </w:r>
          </w:p>
        </w:tc>
        <w:tc>
          <w:tcPr>
            <w:tcW w:w="355" w:type="dxa"/>
            <w:tcBorders>
              <w:top w:val="single" w:sz="6" w:space="0" w:color="auto"/>
              <w:left w:val="single" w:sz="6" w:space="0" w:color="auto"/>
              <w:bottom w:val="single" w:sz="6" w:space="0" w:color="auto"/>
              <w:right w:val="single" w:sz="6" w:space="0" w:color="auto"/>
            </w:tcBorders>
          </w:tcPr>
          <w:p w14:paraId="22F92BA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0D4C2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52EAEB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5AF1475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4AE2E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F428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79D939F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1D92C18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6520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47F3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DA0A00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627A72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4A4433A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357E2EC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B435B" w:rsidRPr="003F0BB9" w14:paraId="1483FBE8"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5645ACB6" w14:textId="77777777" w:rsidR="001B435B" w:rsidRPr="003F0BB9" w:rsidRDefault="001B435B" w:rsidP="001B435B">
            <w:pPr>
              <w:rPr>
                <w:sz w:val="22"/>
                <w:szCs w:val="22"/>
              </w:rPr>
            </w:pPr>
            <w:r w:rsidRPr="003F0BB9">
              <w:rPr>
                <w:sz w:val="22"/>
                <w:szCs w:val="22"/>
              </w:rPr>
              <w:t>Inga-Lill Sjöblom (S)</w:t>
            </w:r>
          </w:p>
        </w:tc>
        <w:tc>
          <w:tcPr>
            <w:tcW w:w="355" w:type="dxa"/>
            <w:tcBorders>
              <w:top w:val="single" w:sz="6" w:space="0" w:color="auto"/>
              <w:left w:val="single" w:sz="6" w:space="0" w:color="auto"/>
              <w:bottom w:val="single" w:sz="6" w:space="0" w:color="auto"/>
              <w:right w:val="single" w:sz="6" w:space="0" w:color="auto"/>
            </w:tcBorders>
          </w:tcPr>
          <w:p w14:paraId="49FFA7A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FCF438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7D5D682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98" w:type="dxa"/>
            <w:tcBorders>
              <w:top w:val="single" w:sz="6" w:space="0" w:color="auto"/>
              <w:left w:val="single" w:sz="6" w:space="0" w:color="auto"/>
              <w:bottom w:val="single" w:sz="6" w:space="0" w:color="auto"/>
              <w:right w:val="single" w:sz="6" w:space="0" w:color="auto"/>
            </w:tcBorders>
          </w:tcPr>
          <w:p w14:paraId="03728F1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E8523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7A751F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901255C" w14:textId="2FE7C8D0"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263" w:type="dxa"/>
            <w:tcBorders>
              <w:top w:val="single" w:sz="6" w:space="0" w:color="auto"/>
              <w:left w:val="single" w:sz="6" w:space="0" w:color="auto"/>
              <w:bottom w:val="single" w:sz="6" w:space="0" w:color="auto"/>
              <w:right w:val="single" w:sz="6" w:space="0" w:color="auto"/>
            </w:tcBorders>
          </w:tcPr>
          <w:p w14:paraId="4C031B1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32B43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39908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D6A7B5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90B5CF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3FAB38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3C5C0D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B435B" w:rsidRPr="003F0BB9" w14:paraId="3B131B9E"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2663BA2A" w14:textId="77777777" w:rsidR="001B435B" w:rsidRPr="003F0BB9" w:rsidRDefault="001B435B" w:rsidP="001B435B">
            <w:pPr>
              <w:rPr>
                <w:sz w:val="22"/>
                <w:szCs w:val="22"/>
              </w:rPr>
            </w:pPr>
            <w:r w:rsidRPr="003F0BB9">
              <w:rPr>
                <w:sz w:val="22"/>
                <w:szCs w:val="22"/>
              </w:rPr>
              <w:t>Rashid Farivar (SD)</w:t>
            </w:r>
          </w:p>
        </w:tc>
        <w:tc>
          <w:tcPr>
            <w:tcW w:w="355" w:type="dxa"/>
            <w:tcBorders>
              <w:top w:val="single" w:sz="6" w:space="0" w:color="auto"/>
              <w:left w:val="single" w:sz="6" w:space="0" w:color="auto"/>
              <w:bottom w:val="single" w:sz="6" w:space="0" w:color="auto"/>
              <w:right w:val="single" w:sz="6" w:space="0" w:color="auto"/>
            </w:tcBorders>
          </w:tcPr>
          <w:p w14:paraId="5AE9B0A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22AD6E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508231E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98" w:type="dxa"/>
            <w:tcBorders>
              <w:top w:val="single" w:sz="6" w:space="0" w:color="auto"/>
              <w:left w:val="single" w:sz="6" w:space="0" w:color="auto"/>
              <w:bottom w:val="single" w:sz="6" w:space="0" w:color="auto"/>
              <w:right w:val="single" w:sz="6" w:space="0" w:color="auto"/>
            </w:tcBorders>
          </w:tcPr>
          <w:p w14:paraId="2DC165A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657F5F" w14:textId="0FB738C0"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3D4593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246EAC68" w14:textId="6A0F99B1"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263" w:type="dxa"/>
            <w:tcBorders>
              <w:top w:val="single" w:sz="6" w:space="0" w:color="auto"/>
              <w:left w:val="single" w:sz="6" w:space="0" w:color="auto"/>
              <w:bottom w:val="single" w:sz="6" w:space="0" w:color="auto"/>
              <w:right w:val="single" w:sz="6" w:space="0" w:color="auto"/>
            </w:tcBorders>
          </w:tcPr>
          <w:p w14:paraId="44D8D21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FFD08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EFE30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9E4388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35AC3A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7C11BC1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F6A462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B435B" w:rsidRPr="003F0BB9" w14:paraId="1B302606"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67174C1F" w14:textId="77777777" w:rsidR="001B435B" w:rsidRPr="003F0BB9" w:rsidRDefault="001B435B" w:rsidP="001B435B">
            <w:pPr>
              <w:rPr>
                <w:sz w:val="22"/>
                <w:szCs w:val="22"/>
              </w:rPr>
            </w:pPr>
            <w:r w:rsidRPr="003F0BB9">
              <w:rPr>
                <w:sz w:val="22"/>
                <w:szCs w:val="22"/>
              </w:rPr>
              <w:t xml:space="preserve">Denis </w:t>
            </w:r>
            <w:proofErr w:type="spellStart"/>
            <w:r w:rsidRPr="003F0BB9">
              <w:rPr>
                <w:sz w:val="22"/>
                <w:szCs w:val="22"/>
              </w:rPr>
              <w:t>Begic</w:t>
            </w:r>
            <w:proofErr w:type="spellEnd"/>
            <w:r w:rsidRPr="003F0BB9">
              <w:rPr>
                <w:sz w:val="22"/>
                <w:szCs w:val="22"/>
              </w:rPr>
              <w:t xml:space="preserve"> (S)</w:t>
            </w:r>
          </w:p>
        </w:tc>
        <w:tc>
          <w:tcPr>
            <w:tcW w:w="355" w:type="dxa"/>
            <w:tcBorders>
              <w:top w:val="single" w:sz="6" w:space="0" w:color="auto"/>
              <w:left w:val="single" w:sz="6" w:space="0" w:color="auto"/>
              <w:bottom w:val="single" w:sz="6" w:space="0" w:color="auto"/>
              <w:right w:val="single" w:sz="6" w:space="0" w:color="auto"/>
            </w:tcBorders>
          </w:tcPr>
          <w:p w14:paraId="03D0254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33748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480A476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4D62AEA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44F1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BAF5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50B2E2C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9B34A1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2DD44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35A11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7723F4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4F2891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78232C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78E242F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B435B" w:rsidRPr="003F0BB9" w14:paraId="3B18F798"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212F6675" w14:textId="77777777" w:rsidR="001B435B" w:rsidRPr="003F0BB9" w:rsidRDefault="001B435B" w:rsidP="001B435B">
            <w:pPr>
              <w:rPr>
                <w:sz w:val="22"/>
                <w:szCs w:val="22"/>
              </w:rPr>
            </w:pPr>
            <w:r w:rsidRPr="003F0BB9">
              <w:rPr>
                <w:sz w:val="22"/>
                <w:szCs w:val="22"/>
              </w:rPr>
              <w:t>Johanna Hornberger (M)</w:t>
            </w:r>
          </w:p>
        </w:tc>
        <w:tc>
          <w:tcPr>
            <w:tcW w:w="355" w:type="dxa"/>
            <w:tcBorders>
              <w:top w:val="single" w:sz="6" w:space="0" w:color="auto"/>
              <w:left w:val="single" w:sz="6" w:space="0" w:color="auto"/>
              <w:bottom w:val="single" w:sz="6" w:space="0" w:color="auto"/>
              <w:right w:val="single" w:sz="6" w:space="0" w:color="auto"/>
            </w:tcBorders>
          </w:tcPr>
          <w:p w14:paraId="327A6BC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85598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1FC87EA4" w14:textId="59C674D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69AF10F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2A1D0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A8A52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ED5B77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7ED384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9433D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670B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86FD92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5E991F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3C92904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5DB670F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B435B" w:rsidRPr="003F0BB9" w14:paraId="2AF4376E"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47DF54B7" w14:textId="77777777" w:rsidR="001B435B" w:rsidRPr="003F0BB9" w:rsidRDefault="001B435B" w:rsidP="001B435B">
            <w:pPr>
              <w:rPr>
                <w:sz w:val="22"/>
                <w:szCs w:val="22"/>
              </w:rPr>
            </w:pPr>
            <w:r w:rsidRPr="003F0BB9">
              <w:rPr>
                <w:sz w:val="22"/>
                <w:szCs w:val="22"/>
              </w:rPr>
              <w:t>Anna-Bell Strömberg (S)</w:t>
            </w:r>
          </w:p>
        </w:tc>
        <w:tc>
          <w:tcPr>
            <w:tcW w:w="355" w:type="dxa"/>
            <w:tcBorders>
              <w:top w:val="single" w:sz="6" w:space="0" w:color="auto"/>
              <w:left w:val="single" w:sz="6" w:space="0" w:color="auto"/>
              <w:bottom w:val="single" w:sz="6" w:space="0" w:color="auto"/>
              <w:right w:val="single" w:sz="6" w:space="0" w:color="auto"/>
            </w:tcBorders>
          </w:tcPr>
          <w:p w14:paraId="5DC1C9C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75E5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0E9C0C0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13860DE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155C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D57A5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65C3C99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319086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646F3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BB7B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693074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18AD99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56C9D1B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17802AB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B435B" w:rsidRPr="003F0BB9" w14:paraId="03DCCD1D"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75FF3539" w14:textId="77777777" w:rsidR="001B435B" w:rsidRPr="003F0BB9" w:rsidRDefault="001B435B" w:rsidP="001B435B">
            <w:pPr>
              <w:rPr>
                <w:sz w:val="22"/>
                <w:szCs w:val="22"/>
              </w:rPr>
            </w:pPr>
            <w:r w:rsidRPr="003F0BB9">
              <w:rPr>
                <w:sz w:val="22"/>
                <w:szCs w:val="22"/>
              </w:rPr>
              <w:t xml:space="preserve">Björn </w:t>
            </w:r>
            <w:proofErr w:type="spellStart"/>
            <w:r w:rsidRPr="003F0BB9">
              <w:rPr>
                <w:sz w:val="22"/>
                <w:szCs w:val="22"/>
              </w:rPr>
              <w:t>Tidland</w:t>
            </w:r>
            <w:proofErr w:type="spellEnd"/>
            <w:r w:rsidRPr="003F0BB9">
              <w:rPr>
                <w:sz w:val="22"/>
                <w:szCs w:val="22"/>
              </w:rPr>
              <w:t xml:space="preserve"> (D)</w:t>
            </w:r>
          </w:p>
        </w:tc>
        <w:tc>
          <w:tcPr>
            <w:tcW w:w="355" w:type="dxa"/>
            <w:tcBorders>
              <w:top w:val="single" w:sz="6" w:space="0" w:color="auto"/>
              <w:left w:val="single" w:sz="6" w:space="0" w:color="auto"/>
              <w:bottom w:val="single" w:sz="6" w:space="0" w:color="auto"/>
              <w:right w:val="single" w:sz="6" w:space="0" w:color="auto"/>
            </w:tcBorders>
          </w:tcPr>
          <w:p w14:paraId="5AA9C9B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AD1F3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12936CB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3CBEFD0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FEC1A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56F22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795035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6AADB80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7AEBA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AFDF4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1149C2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EB842F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7DEEB92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A42E87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B435B" w:rsidRPr="003F0BB9" w14:paraId="5FCAD18E"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48B587A2" w14:textId="77777777" w:rsidR="001B435B" w:rsidRPr="003F0BB9" w:rsidRDefault="001B435B" w:rsidP="001B435B">
            <w:pPr>
              <w:rPr>
                <w:sz w:val="22"/>
                <w:szCs w:val="22"/>
                <w:lang w:val="en-US"/>
              </w:rPr>
            </w:pPr>
            <w:r w:rsidRPr="003F0BB9">
              <w:rPr>
                <w:sz w:val="22"/>
                <w:szCs w:val="22"/>
                <w:lang w:val="en-US"/>
              </w:rPr>
              <w:t xml:space="preserve">Joakim </w:t>
            </w:r>
            <w:proofErr w:type="spellStart"/>
            <w:r w:rsidRPr="003F0BB9">
              <w:rPr>
                <w:sz w:val="22"/>
                <w:szCs w:val="22"/>
                <w:lang w:val="en-US"/>
              </w:rPr>
              <w:t>Järrebring</w:t>
            </w:r>
            <w:proofErr w:type="spellEnd"/>
            <w:r w:rsidRPr="003F0BB9">
              <w:rPr>
                <w:sz w:val="22"/>
                <w:szCs w:val="22"/>
                <w:lang w:val="en-US"/>
              </w:rPr>
              <w:t xml:space="preserve"> (S)</w:t>
            </w:r>
          </w:p>
        </w:tc>
        <w:tc>
          <w:tcPr>
            <w:tcW w:w="355" w:type="dxa"/>
            <w:tcBorders>
              <w:top w:val="single" w:sz="6" w:space="0" w:color="auto"/>
              <w:left w:val="single" w:sz="6" w:space="0" w:color="auto"/>
              <w:bottom w:val="single" w:sz="6" w:space="0" w:color="auto"/>
              <w:right w:val="single" w:sz="6" w:space="0" w:color="auto"/>
            </w:tcBorders>
          </w:tcPr>
          <w:p w14:paraId="7721313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6AAD6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A8B23C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56E78D1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1B728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04BAF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484A7F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402C5E3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2803C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25DD4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2A6F3E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9E7440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8297DF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AD31B4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21C4C12E"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02D60F1A" w14:textId="77777777" w:rsidR="001B435B" w:rsidRPr="003F0BB9" w:rsidRDefault="001B435B" w:rsidP="001B435B">
            <w:pPr>
              <w:rPr>
                <w:sz w:val="22"/>
                <w:szCs w:val="22"/>
              </w:rPr>
            </w:pPr>
            <w:r w:rsidRPr="003F0BB9">
              <w:rPr>
                <w:sz w:val="22"/>
                <w:szCs w:val="22"/>
              </w:rPr>
              <w:t>Ann-Charlotte Hammar Johnsson (M)</w:t>
            </w:r>
          </w:p>
        </w:tc>
        <w:tc>
          <w:tcPr>
            <w:tcW w:w="355" w:type="dxa"/>
            <w:tcBorders>
              <w:top w:val="single" w:sz="6" w:space="0" w:color="auto"/>
              <w:left w:val="single" w:sz="6" w:space="0" w:color="auto"/>
              <w:bottom w:val="single" w:sz="6" w:space="0" w:color="auto"/>
              <w:right w:val="single" w:sz="6" w:space="0" w:color="auto"/>
            </w:tcBorders>
          </w:tcPr>
          <w:p w14:paraId="690E1C1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59127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D26948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0C1DFB4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3EB28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2F08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65E25A0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37A3FF4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62CF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77496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A48008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74954D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6349C55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0240AF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B435B" w:rsidRPr="003F0BB9" w14:paraId="2A6CE1C2"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1433BE55" w14:textId="77777777" w:rsidR="001B435B" w:rsidRPr="003F0BB9" w:rsidRDefault="001B435B" w:rsidP="001B435B">
            <w:pPr>
              <w:rPr>
                <w:sz w:val="22"/>
                <w:szCs w:val="22"/>
                <w:lang w:val="en-US"/>
              </w:rPr>
            </w:pPr>
            <w:proofErr w:type="spellStart"/>
            <w:r w:rsidRPr="003F0BB9">
              <w:rPr>
                <w:sz w:val="22"/>
                <w:szCs w:val="22"/>
                <w:lang w:val="en-US"/>
              </w:rPr>
              <w:t>Kajsa</w:t>
            </w:r>
            <w:proofErr w:type="spellEnd"/>
            <w:r w:rsidRPr="003F0BB9">
              <w:rPr>
                <w:sz w:val="22"/>
                <w:szCs w:val="22"/>
                <w:lang w:val="en-US"/>
              </w:rPr>
              <w:t xml:space="preserve"> Fredholm (V)</w:t>
            </w:r>
          </w:p>
        </w:tc>
        <w:tc>
          <w:tcPr>
            <w:tcW w:w="355" w:type="dxa"/>
            <w:tcBorders>
              <w:top w:val="single" w:sz="6" w:space="0" w:color="auto"/>
              <w:left w:val="single" w:sz="6" w:space="0" w:color="auto"/>
              <w:bottom w:val="single" w:sz="6" w:space="0" w:color="auto"/>
              <w:right w:val="single" w:sz="6" w:space="0" w:color="auto"/>
            </w:tcBorders>
          </w:tcPr>
          <w:p w14:paraId="2019745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B90B63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9AB7E4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53182DE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A5D50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1EA4CC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049042F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2D65BAF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2C1BF1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DCD964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30AD3F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173ABF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D97E8E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7CEFA8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373C66A1"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2E1DA07A" w14:textId="77777777" w:rsidR="001B435B" w:rsidRPr="003F0BB9" w:rsidRDefault="001B435B" w:rsidP="001B435B">
            <w:pPr>
              <w:tabs>
                <w:tab w:val="left" w:pos="328"/>
              </w:tabs>
              <w:rPr>
                <w:sz w:val="22"/>
                <w:szCs w:val="22"/>
                <w:lang w:val="en-US"/>
              </w:rPr>
            </w:pPr>
            <w:proofErr w:type="spellStart"/>
            <w:r w:rsidRPr="003F0BB9">
              <w:rPr>
                <w:sz w:val="22"/>
                <w:szCs w:val="22"/>
                <w:lang w:val="en-US"/>
              </w:rPr>
              <w:t>Kjell</w:t>
            </w:r>
            <w:proofErr w:type="spellEnd"/>
            <w:r w:rsidRPr="003F0BB9">
              <w:rPr>
                <w:sz w:val="22"/>
                <w:szCs w:val="22"/>
                <w:lang w:val="en-US"/>
              </w:rPr>
              <w:t xml:space="preserve">-Arne </w:t>
            </w:r>
            <w:proofErr w:type="spellStart"/>
            <w:r w:rsidRPr="003F0BB9">
              <w:rPr>
                <w:sz w:val="22"/>
                <w:szCs w:val="22"/>
                <w:lang w:val="en-US"/>
              </w:rPr>
              <w:t>Ottosson</w:t>
            </w:r>
            <w:proofErr w:type="spellEnd"/>
            <w:r w:rsidRPr="003F0BB9">
              <w:rPr>
                <w:sz w:val="22"/>
                <w:szCs w:val="22"/>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41A2295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197B6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3D9EDA4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1227DB4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E145A0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CECEE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51E55B2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6E5AC3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0CD92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F2995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4F1439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6BBFA4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47CAB7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DCAC6E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0ECDDB18"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2339ED81" w14:textId="77777777" w:rsidR="001B435B" w:rsidRPr="003F0BB9" w:rsidRDefault="001B435B" w:rsidP="001B435B">
            <w:pPr>
              <w:rPr>
                <w:sz w:val="22"/>
                <w:szCs w:val="22"/>
                <w:lang w:val="en-US"/>
              </w:rPr>
            </w:pPr>
            <w:r w:rsidRPr="003F0BB9">
              <w:rPr>
                <w:sz w:val="22"/>
                <w:szCs w:val="22"/>
                <w:lang w:val="en-US"/>
              </w:rPr>
              <w:t xml:space="preserve">Anders </w:t>
            </w:r>
            <w:proofErr w:type="spellStart"/>
            <w:r w:rsidRPr="003F0BB9">
              <w:rPr>
                <w:sz w:val="22"/>
                <w:szCs w:val="22"/>
                <w:lang w:val="en-US"/>
              </w:rPr>
              <w:t>Ådahl</w:t>
            </w:r>
            <w:proofErr w:type="spellEnd"/>
            <w:r w:rsidRPr="003F0BB9">
              <w:rPr>
                <w:sz w:val="22"/>
                <w:szCs w:val="22"/>
                <w:lang w:val="en-US"/>
              </w:rPr>
              <w:t xml:space="preserve"> (C)</w:t>
            </w:r>
          </w:p>
        </w:tc>
        <w:tc>
          <w:tcPr>
            <w:tcW w:w="355" w:type="dxa"/>
            <w:tcBorders>
              <w:top w:val="single" w:sz="6" w:space="0" w:color="auto"/>
              <w:left w:val="single" w:sz="6" w:space="0" w:color="auto"/>
              <w:bottom w:val="single" w:sz="6" w:space="0" w:color="auto"/>
              <w:right w:val="single" w:sz="6" w:space="0" w:color="auto"/>
            </w:tcBorders>
          </w:tcPr>
          <w:p w14:paraId="00593E7E" w14:textId="05A84F55"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BF05F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D54DCA8" w14:textId="24F82B60"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0BA1C79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71B16F" w14:textId="3B2A2C46"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1CB0CC2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5951CC2" w14:textId="73881C1A"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O</w:t>
            </w:r>
          </w:p>
        </w:tc>
        <w:tc>
          <w:tcPr>
            <w:tcW w:w="263" w:type="dxa"/>
            <w:tcBorders>
              <w:top w:val="single" w:sz="6" w:space="0" w:color="auto"/>
              <w:left w:val="single" w:sz="6" w:space="0" w:color="auto"/>
              <w:bottom w:val="single" w:sz="6" w:space="0" w:color="auto"/>
              <w:right w:val="single" w:sz="6" w:space="0" w:color="auto"/>
            </w:tcBorders>
          </w:tcPr>
          <w:p w14:paraId="047D0C7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C54818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FA16B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5477D2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298D38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4BF7A8D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7157F9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47B9B6C3"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0A5AE397" w14:textId="77777777" w:rsidR="001B435B" w:rsidRPr="003F0BB9" w:rsidRDefault="001B435B" w:rsidP="001B435B">
            <w:pPr>
              <w:rPr>
                <w:sz w:val="22"/>
                <w:szCs w:val="22"/>
                <w:lang w:val="en-US"/>
              </w:rPr>
            </w:pPr>
            <w:r w:rsidRPr="003F0BB9">
              <w:rPr>
                <w:sz w:val="22"/>
                <w:szCs w:val="22"/>
                <w:lang w:val="en-US"/>
              </w:rPr>
              <w:t>Ulf Lindholm (SD)</w:t>
            </w:r>
          </w:p>
        </w:tc>
        <w:tc>
          <w:tcPr>
            <w:tcW w:w="355" w:type="dxa"/>
            <w:tcBorders>
              <w:top w:val="single" w:sz="6" w:space="0" w:color="auto"/>
              <w:left w:val="single" w:sz="6" w:space="0" w:color="auto"/>
              <w:bottom w:val="single" w:sz="6" w:space="0" w:color="auto"/>
              <w:right w:val="single" w:sz="6" w:space="0" w:color="auto"/>
            </w:tcBorders>
          </w:tcPr>
          <w:p w14:paraId="5BD9D05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1AE4E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8CBAA4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385099D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2ADFE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2DC014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D2AA7C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873A86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1158B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C84DBF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FF66B4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B7DEAD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8A628F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97E922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1E0CBF4F"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3AA53374" w14:textId="77777777" w:rsidR="001B435B" w:rsidRPr="003F0BB9" w:rsidRDefault="001B435B" w:rsidP="001B435B">
            <w:pPr>
              <w:rPr>
                <w:sz w:val="22"/>
                <w:szCs w:val="22"/>
                <w:lang w:val="en-US"/>
              </w:rPr>
            </w:pPr>
            <w:r w:rsidRPr="003F0BB9">
              <w:rPr>
                <w:sz w:val="22"/>
                <w:szCs w:val="22"/>
                <w:lang w:val="en-US"/>
              </w:rPr>
              <w:t xml:space="preserve">Katarina </w:t>
            </w:r>
            <w:proofErr w:type="spellStart"/>
            <w:proofErr w:type="gramStart"/>
            <w:r w:rsidRPr="003F0BB9">
              <w:rPr>
                <w:sz w:val="22"/>
                <w:szCs w:val="22"/>
                <w:lang w:val="en-US"/>
              </w:rPr>
              <w:t>Luhr</w:t>
            </w:r>
            <w:proofErr w:type="spellEnd"/>
            <w:r w:rsidRPr="003F0BB9">
              <w:rPr>
                <w:sz w:val="22"/>
                <w:szCs w:val="22"/>
                <w:lang w:val="en-US"/>
              </w:rPr>
              <w:t xml:space="preserve">  (</w:t>
            </w:r>
            <w:proofErr w:type="gramEnd"/>
            <w:r w:rsidRPr="003F0BB9">
              <w:rPr>
                <w:sz w:val="22"/>
                <w:szCs w:val="22"/>
                <w:lang w:val="en-US"/>
              </w:rPr>
              <w:t>MP)</w:t>
            </w:r>
          </w:p>
        </w:tc>
        <w:tc>
          <w:tcPr>
            <w:tcW w:w="355" w:type="dxa"/>
            <w:tcBorders>
              <w:top w:val="single" w:sz="6" w:space="0" w:color="auto"/>
              <w:left w:val="single" w:sz="6" w:space="0" w:color="auto"/>
              <w:bottom w:val="single" w:sz="6" w:space="0" w:color="auto"/>
              <w:right w:val="single" w:sz="6" w:space="0" w:color="auto"/>
            </w:tcBorders>
          </w:tcPr>
          <w:p w14:paraId="6EB3B01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E77897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AE0B6A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29CBEF3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A52D4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C6F94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254DAC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4C59C58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FCBA7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C89636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DB85FC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53E656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5C5D93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22C06C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4F4854BE"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6A140A65" w14:textId="77777777" w:rsidR="001B435B" w:rsidRPr="003F0BB9" w:rsidRDefault="001B435B" w:rsidP="001B435B">
            <w:pPr>
              <w:rPr>
                <w:sz w:val="22"/>
                <w:szCs w:val="22"/>
                <w:lang w:val="en-US"/>
              </w:rPr>
            </w:pPr>
            <w:r w:rsidRPr="003F0BB9">
              <w:rPr>
                <w:sz w:val="22"/>
                <w:szCs w:val="22"/>
                <w:lang w:val="en-US"/>
              </w:rPr>
              <w:t>Louise Eklund (L)</w:t>
            </w:r>
          </w:p>
        </w:tc>
        <w:tc>
          <w:tcPr>
            <w:tcW w:w="355" w:type="dxa"/>
            <w:tcBorders>
              <w:top w:val="single" w:sz="6" w:space="0" w:color="auto"/>
              <w:left w:val="single" w:sz="6" w:space="0" w:color="auto"/>
              <w:bottom w:val="single" w:sz="6" w:space="0" w:color="auto"/>
              <w:right w:val="single" w:sz="6" w:space="0" w:color="auto"/>
            </w:tcBorders>
          </w:tcPr>
          <w:p w14:paraId="1DDFB69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6C4F9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835349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4C2E255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5B812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777DE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5924F51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79DBFAE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345D1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EE2E1A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0F9039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C0B8C0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206B52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660EBF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21568044"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24E7CED9" w14:textId="77777777" w:rsidR="001B435B" w:rsidRPr="003F0BB9" w:rsidRDefault="001B435B" w:rsidP="001B435B">
            <w:pPr>
              <w:rPr>
                <w:sz w:val="22"/>
                <w:szCs w:val="22"/>
                <w:lang w:val="en-US"/>
              </w:rPr>
            </w:pPr>
            <w:r w:rsidRPr="003F0BB9">
              <w:rPr>
                <w:sz w:val="22"/>
                <w:szCs w:val="22"/>
                <w:lang w:val="en-US"/>
              </w:rPr>
              <w:t xml:space="preserve">Sara-Lena </w:t>
            </w:r>
            <w:proofErr w:type="spellStart"/>
            <w:r w:rsidRPr="003F0BB9">
              <w:rPr>
                <w:sz w:val="22"/>
                <w:szCs w:val="22"/>
                <w:lang w:val="en-US"/>
              </w:rPr>
              <w:t>Bjälkö</w:t>
            </w:r>
            <w:proofErr w:type="spellEnd"/>
            <w:r w:rsidRPr="003F0BB9">
              <w:rPr>
                <w:sz w:val="22"/>
                <w:szCs w:val="22"/>
                <w:lang w:val="en-US"/>
              </w:rPr>
              <w:t xml:space="preserve"> (SD)</w:t>
            </w:r>
          </w:p>
        </w:tc>
        <w:tc>
          <w:tcPr>
            <w:tcW w:w="355" w:type="dxa"/>
            <w:tcBorders>
              <w:top w:val="single" w:sz="6" w:space="0" w:color="auto"/>
              <w:left w:val="single" w:sz="6" w:space="0" w:color="auto"/>
              <w:bottom w:val="single" w:sz="6" w:space="0" w:color="auto"/>
              <w:right w:val="single" w:sz="6" w:space="0" w:color="auto"/>
            </w:tcBorders>
          </w:tcPr>
          <w:p w14:paraId="6BF71BC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F2271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1D2905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45F95F6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CD1F6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3A5C0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2BE864F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D75054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57860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BE68B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0C496C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0D8A5F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263A72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410534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77FE3435"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0E836528" w14:textId="77777777" w:rsidR="001B435B" w:rsidRPr="003F0BB9" w:rsidRDefault="001B435B" w:rsidP="001B435B">
            <w:pPr>
              <w:rPr>
                <w:sz w:val="22"/>
                <w:szCs w:val="22"/>
                <w:lang w:val="en-US"/>
              </w:rPr>
            </w:pPr>
            <w:r w:rsidRPr="003F0BB9">
              <w:rPr>
                <w:sz w:val="22"/>
                <w:szCs w:val="22"/>
                <w:lang w:val="en-US"/>
              </w:rPr>
              <w:t xml:space="preserve">Rasmus </w:t>
            </w:r>
            <w:proofErr w:type="spellStart"/>
            <w:r w:rsidRPr="003F0BB9">
              <w:rPr>
                <w:sz w:val="22"/>
                <w:szCs w:val="22"/>
                <w:lang w:val="en-US"/>
              </w:rPr>
              <w:t>Giertz</w:t>
            </w:r>
            <w:proofErr w:type="spellEnd"/>
            <w:r w:rsidRPr="003F0BB9">
              <w:rPr>
                <w:sz w:val="22"/>
                <w:szCs w:val="22"/>
                <w:lang w:val="en-US"/>
              </w:rPr>
              <w:t xml:space="preserve"> (SD)</w:t>
            </w:r>
          </w:p>
        </w:tc>
        <w:tc>
          <w:tcPr>
            <w:tcW w:w="355" w:type="dxa"/>
            <w:tcBorders>
              <w:top w:val="single" w:sz="6" w:space="0" w:color="auto"/>
              <w:left w:val="single" w:sz="6" w:space="0" w:color="auto"/>
              <w:bottom w:val="single" w:sz="6" w:space="0" w:color="auto"/>
              <w:right w:val="single" w:sz="6" w:space="0" w:color="auto"/>
            </w:tcBorders>
          </w:tcPr>
          <w:p w14:paraId="61CC68B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9D98B9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9CC332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19D28A2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09C13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A475CA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5EB9AF6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48A181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0CB343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E9F50F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0F0E60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4B6328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CBE1D0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546D165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57EEF455"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6E25CF16" w14:textId="77777777" w:rsidR="001B435B" w:rsidRPr="003F0BB9" w:rsidRDefault="001B435B" w:rsidP="001B435B">
            <w:pPr>
              <w:rPr>
                <w:sz w:val="22"/>
                <w:szCs w:val="22"/>
                <w:lang w:val="en-US"/>
              </w:rPr>
            </w:pPr>
            <w:r w:rsidRPr="003F0BB9">
              <w:rPr>
                <w:sz w:val="22"/>
                <w:szCs w:val="22"/>
                <w:lang w:val="en-US"/>
              </w:rPr>
              <w:t xml:space="preserve">Isabelle </w:t>
            </w:r>
            <w:proofErr w:type="spellStart"/>
            <w:r w:rsidRPr="003F0BB9">
              <w:rPr>
                <w:sz w:val="22"/>
                <w:szCs w:val="22"/>
                <w:lang w:val="en-US"/>
              </w:rPr>
              <w:t>Mixter</w:t>
            </w:r>
            <w:proofErr w:type="spellEnd"/>
            <w:r w:rsidRPr="003F0BB9">
              <w:rPr>
                <w:sz w:val="22"/>
                <w:szCs w:val="22"/>
                <w:lang w:val="en-US"/>
              </w:rPr>
              <w:t xml:space="preserve"> (V)</w:t>
            </w:r>
          </w:p>
        </w:tc>
        <w:tc>
          <w:tcPr>
            <w:tcW w:w="355" w:type="dxa"/>
            <w:tcBorders>
              <w:top w:val="single" w:sz="6" w:space="0" w:color="auto"/>
              <w:left w:val="single" w:sz="6" w:space="0" w:color="auto"/>
              <w:bottom w:val="single" w:sz="6" w:space="0" w:color="auto"/>
              <w:right w:val="single" w:sz="6" w:space="0" w:color="auto"/>
            </w:tcBorders>
          </w:tcPr>
          <w:p w14:paraId="3B86665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E101DD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3B55E14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8B12E2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44463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4680B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59C523D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7AFC680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3104C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92285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922020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8B45C0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A3C173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E5397B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72FD70D4"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05203FF8" w14:textId="77777777" w:rsidR="001B435B" w:rsidRPr="003F0BB9" w:rsidRDefault="001B435B" w:rsidP="001B435B">
            <w:pPr>
              <w:rPr>
                <w:sz w:val="22"/>
                <w:szCs w:val="22"/>
                <w:lang w:val="en-US"/>
              </w:rPr>
            </w:pPr>
            <w:r w:rsidRPr="003F0BB9">
              <w:rPr>
                <w:sz w:val="22"/>
                <w:szCs w:val="22"/>
                <w:lang w:val="en-US"/>
              </w:rPr>
              <w:t>Anders Karlsson (C)</w:t>
            </w:r>
          </w:p>
        </w:tc>
        <w:tc>
          <w:tcPr>
            <w:tcW w:w="355" w:type="dxa"/>
            <w:tcBorders>
              <w:top w:val="single" w:sz="6" w:space="0" w:color="auto"/>
              <w:left w:val="single" w:sz="6" w:space="0" w:color="auto"/>
              <w:bottom w:val="single" w:sz="6" w:space="0" w:color="auto"/>
              <w:right w:val="single" w:sz="6" w:space="0" w:color="auto"/>
            </w:tcBorders>
          </w:tcPr>
          <w:p w14:paraId="4142AD7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60573B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A340F6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0A3F2AC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57BCC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F2CF0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1FD0F1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3439C7F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7BA29C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E25EB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659342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7329E8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BF94DA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624F5F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1A4FDC14"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7FDE5C43" w14:textId="77777777" w:rsidR="001B435B" w:rsidRPr="003F0BB9" w:rsidRDefault="001B435B" w:rsidP="001B435B">
            <w:pPr>
              <w:rPr>
                <w:sz w:val="22"/>
                <w:szCs w:val="22"/>
                <w:lang w:val="en-US"/>
              </w:rPr>
            </w:pPr>
            <w:r w:rsidRPr="003F0BB9">
              <w:rPr>
                <w:sz w:val="22"/>
                <w:szCs w:val="22"/>
                <w:lang w:val="en-US"/>
              </w:rPr>
              <w:t xml:space="preserve">Dan </w:t>
            </w:r>
            <w:proofErr w:type="spellStart"/>
            <w:r w:rsidRPr="003F0BB9">
              <w:rPr>
                <w:sz w:val="22"/>
                <w:szCs w:val="22"/>
                <w:lang w:val="en-US"/>
              </w:rPr>
              <w:t>Hovskär</w:t>
            </w:r>
            <w:proofErr w:type="spellEnd"/>
            <w:r w:rsidRPr="003F0BB9">
              <w:rPr>
                <w:sz w:val="22"/>
                <w:szCs w:val="22"/>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1086823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3EF01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08CA5D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5EC26DD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3FC910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B54445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ACE50B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77FB3C3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43067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25BEB7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B64B47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16BB4E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C072DC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A73DF7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1099D75D"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04BA9F92" w14:textId="77777777" w:rsidR="001B435B" w:rsidRPr="003F0BB9" w:rsidRDefault="001B435B" w:rsidP="001B435B">
            <w:pPr>
              <w:rPr>
                <w:sz w:val="22"/>
                <w:szCs w:val="22"/>
                <w:lang w:val="en-US"/>
              </w:rPr>
            </w:pPr>
            <w:proofErr w:type="spellStart"/>
            <w:r w:rsidRPr="003F0BB9">
              <w:rPr>
                <w:sz w:val="22"/>
                <w:szCs w:val="22"/>
                <w:lang w:val="en-US"/>
              </w:rPr>
              <w:t>Torsten</w:t>
            </w:r>
            <w:proofErr w:type="spellEnd"/>
            <w:r w:rsidRPr="003F0BB9">
              <w:rPr>
                <w:sz w:val="22"/>
                <w:szCs w:val="22"/>
                <w:lang w:val="en-US"/>
              </w:rPr>
              <w:t xml:space="preserve"> </w:t>
            </w:r>
            <w:proofErr w:type="spellStart"/>
            <w:r w:rsidRPr="003F0BB9">
              <w:rPr>
                <w:sz w:val="22"/>
                <w:szCs w:val="22"/>
                <w:lang w:val="en-US"/>
              </w:rPr>
              <w:t>Elofsson</w:t>
            </w:r>
            <w:proofErr w:type="spellEnd"/>
            <w:r w:rsidRPr="003F0BB9">
              <w:rPr>
                <w:sz w:val="22"/>
                <w:szCs w:val="22"/>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06884F4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65602D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CB8378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2379AD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3D52E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DA12A7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5AE8432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B64C9C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49D508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227FDB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33D8D8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B6A6BE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CBA2EE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6DA5E6F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630891B4"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78E7D197" w14:textId="77777777" w:rsidR="001B435B" w:rsidRPr="003F0BB9" w:rsidRDefault="001B435B" w:rsidP="001B435B">
            <w:pPr>
              <w:rPr>
                <w:sz w:val="22"/>
                <w:szCs w:val="22"/>
                <w:lang w:val="en-US"/>
              </w:rPr>
            </w:pPr>
            <w:r w:rsidRPr="003F0BB9">
              <w:rPr>
                <w:sz w:val="22"/>
                <w:szCs w:val="22"/>
                <w:lang w:val="en-US"/>
              </w:rPr>
              <w:t xml:space="preserve">Emma </w:t>
            </w:r>
            <w:proofErr w:type="spellStart"/>
            <w:r w:rsidRPr="003F0BB9">
              <w:rPr>
                <w:sz w:val="22"/>
                <w:szCs w:val="22"/>
                <w:lang w:val="en-US"/>
              </w:rPr>
              <w:t>Berginger</w:t>
            </w:r>
            <w:proofErr w:type="spellEnd"/>
            <w:r w:rsidRPr="003F0BB9">
              <w:rPr>
                <w:sz w:val="22"/>
                <w:szCs w:val="22"/>
                <w:lang w:val="en-US"/>
              </w:rPr>
              <w:t xml:space="preserve"> (MP)</w:t>
            </w:r>
          </w:p>
        </w:tc>
        <w:tc>
          <w:tcPr>
            <w:tcW w:w="355" w:type="dxa"/>
            <w:tcBorders>
              <w:top w:val="single" w:sz="6" w:space="0" w:color="auto"/>
              <w:left w:val="single" w:sz="6" w:space="0" w:color="auto"/>
              <w:bottom w:val="single" w:sz="6" w:space="0" w:color="auto"/>
              <w:right w:val="single" w:sz="6" w:space="0" w:color="auto"/>
            </w:tcBorders>
          </w:tcPr>
          <w:p w14:paraId="706080A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341E4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77A1F4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30F857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58024C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01004E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5199734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6E9393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C44266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82253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4D9B89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F8B795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4BB859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901543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180E2AE0"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5ACA8A6B" w14:textId="77777777" w:rsidR="001B435B" w:rsidRPr="003F0BB9" w:rsidRDefault="001B435B" w:rsidP="001B435B">
            <w:pPr>
              <w:rPr>
                <w:sz w:val="22"/>
                <w:szCs w:val="22"/>
                <w:lang w:val="en-US"/>
              </w:rPr>
            </w:pPr>
            <w:r w:rsidRPr="003F0BB9">
              <w:rPr>
                <w:sz w:val="22"/>
                <w:szCs w:val="22"/>
                <w:lang w:val="en-US"/>
              </w:rPr>
              <w:t xml:space="preserve">Jakob </w:t>
            </w:r>
            <w:proofErr w:type="spellStart"/>
            <w:r w:rsidRPr="003F0BB9">
              <w:rPr>
                <w:sz w:val="22"/>
                <w:szCs w:val="22"/>
                <w:lang w:val="en-US"/>
              </w:rPr>
              <w:t>Olofsgård</w:t>
            </w:r>
            <w:proofErr w:type="spellEnd"/>
            <w:r w:rsidRPr="003F0BB9">
              <w:rPr>
                <w:sz w:val="22"/>
                <w:szCs w:val="22"/>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272D178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EC0B5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57B705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B91260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A6D8AE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76932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3AF8848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B0119D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483A8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FADB9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FC7C5D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DFD9E9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5BA4E1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5752A19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405B00D5"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728F8101" w14:textId="77777777" w:rsidR="001B435B" w:rsidRPr="003F0BB9" w:rsidRDefault="001B435B" w:rsidP="001B435B">
            <w:pPr>
              <w:rPr>
                <w:sz w:val="22"/>
                <w:szCs w:val="22"/>
                <w:lang w:val="en-US"/>
              </w:rPr>
            </w:pPr>
            <w:r w:rsidRPr="003F0BB9">
              <w:rPr>
                <w:sz w:val="22"/>
                <w:szCs w:val="22"/>
                <w:lang w:val="en-US"/>
              </w:rPr>
              <w:t xml:space="preserve">Camilla </w:t>
            </w:r>
            <w:proofErr w:type="spellStart"/>
            <w:r w:rsidRPr="003F0BB9">
              <w:rPr>
                <w:sz w:val="22"/>
                <w:szCs w:val="22"/>
                <w:lang w:val="en-US"/>
              </w:rPr>
              <w:t>Mårtensen</w:t>
            </w:r>
            <w:proofErr w:type="spellEnd"/>
            <w:r w:rsidRPr="003F0BB9">
              <w:rPr>
                <w:sz w:val="22"/>
                <w:szCs w:val="22"/>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0654F4F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4461C9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0C2BE0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1A017DE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47821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57C77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028CD34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F927F4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2A500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4D80D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454F04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992BFC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DD3923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89D949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1D5C2EE0"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7E3BD540" w14:textId="77777777" w:rsidR="001B435B" w:rsidRPr="003F0BB9" w:rsidRDefault="001B435B" w:rsidP="001B435B">
            <w:pPr>
              <w:rPr>
                <w:sz w:val="22"/>
                <w:szCs w:val="22"/>
                <w:lang w:val="en-US"/>
              </w:rPr>
            </w:pPr>
            <w:proofErr w:type="spellStart"/>
            <w:r w:rsidRPr="003F0BB9">
              <w:rPr>
                <w:sz w:val="22"/>
                <w:szCs w:val="22"/>
                <w:lang w:val="en-US"/>
              </w:rPr>
              <w:t>Marléne</w:t>
            </w:r>
            <w:proofErr w:type="spellEnd"/>
            <w:r w:rsidRPr="003F0BB9">
              <w:rPr>
                <w:sz w:val="22"/>
                <w:szCs w:val="22"/>
                <w:lang w:val="en-US"/>
              </w:rPr>
              <w:t xml:space="preserve"> Lund </w:t>
            </w:r>
            <w:proofErr w:type="spellStart"/>
            <w:r w:rsidRPr="003F0BB9">
              <w:rPr>
                <w:sz w:val="22"/>
                <w:szCs w:val="22"/>
                <w:lang w:val="en-US"/>
              </w:rPr>
              <w:t>Kopparklint</w:t>
            </w:r>
            <w:proofErr w:type="spellEnd"/>
            <w:r w:rsidRPr="003F0BB9">
              <w:rPr>
                <w:sz w:val="22"/>
                <w:szCs w:val="22"/>
                <w:lang w:val="en-US"/>
              </w:rPr>
              <w:t xml:space="preserve"> (M)</w:t>
            </w:r>
          </w:p>
        </w:tc>
        <w:tc>
          <w:tcPr>
            <w:tcW w:w="355" w:type="dxa"/>
            <w:tcBorders>
              <w:top w:val="single" w:sz="6" w:space="0" w:color="auto"/>
              <w:left w:val="single" w:sz="6" w:space="0" w:color="auto"/>
              <w:bottom w:val="single" w:sz="6" w:space="0" w:color="auto"/>
              <w:right w:val="single" w:sz="6" w:space="0" w:color="auto"/>
            </w:tcBorders>
          </w:tcPr>
          <w:p w14:paraId="5870EB5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F01427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6E5EE11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48EDE28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1857A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E71F6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6EAD3AD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6B7245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AF92BF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417815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4C9905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3B33A1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DC9429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D0BEBA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555D64B5"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747F0C9B" w14:textId="77777777" w:rsidR="001B435B" w:rsidRPr="003F0BB9" w:rsidRDefault="001B435B" w:rsidP="001B435B">
            <w:pPr>
              <w:rPr>
                <w:sz w:val="22"/>
                <w:szCs w:val="22"/>
                <w:lang w:val="en-US"/>
              </w:rPr>
            </w:pPr>
            <w:r w:rsidRPr="003F0BB9">
              <w:rPr>
                <w:sz w:val="22"/>
                <w:szCs w:val="22"/>
                <w:lang w:val="en-US"/>
              </w:rPr>
              <w:t xml:space="preserve">Nadja </w:t>
            </w:r>
            <w:proofErr w:type="spellStart"/>
            <w:r w:rsidRPr="003F0BB9">
              <w:rPr>
                <w:sz w:val="22"/>
                <w:szCs w:val="22"/>
                <w:lang w:val="en-US"/>
              </w:rPr>
              <w:t>Awad</w:t>
            </w:r>
            <w:proofErr w:type="spellEnd"/>
            <w:r w:rsidRPr="003F0BB9">
              <w:rPr>
                <w:sz w:val="22"/>
                <w:szCs w:val="22"/>
                <w:lang w:val="en-US"/>
              </w:rPr>
              <w:t xml:space="preserve"> (V)</w:t>
            </w:r>
          </w:p>
        </w:tc>
        <w:tc>
          <w:tcPr>
            <w:tcW w:w="355" w:type="dxa"/>
            <w:tcBorders>
              <w:top w:val="single" w:sz="6" w:space="0" w:color="auto"/>
              <w:left w:val="single" w:sz="6" w:space="0" w:color="auto"/>
              <w:bottom w:val="single" w:sz="6" w:space="0" w:color="auto"/>
              <w:right w:val="single" w:sz="6" w:space="0" w:color="auto"/>
            </w:tcBorders>
          </w:tcPr>
          <w:p w14:paraId="4913903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E907C3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57F991C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1C5A9D0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B4689D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C23638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34AD60F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7A6DF5C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7A3AB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72B688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754F78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1A8C7A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2FFB10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6361F5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0B16078E"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7AED699D" w14:textId="77777777" w:rsidR="001B435B" w:rsidRPr="003F0BB9" w:rsidRDefault="001B435B" w:rsidP="001B435B">
            <w:pPr>
              <w:rPr>
                <w:sz w:val="22"/>
                <w:szCs w:val="22"/>
                <w:lang w:val="en-US"/>
              </w:rPr>
            </w:pPr>
            <w:r w:rsidRPr="003F0BB9">
              <w:rPr>
                <w:sz w:val="22"/>
                <w:szCs w:val="22"/>
                <w:lang w:val="en-US"/>
              </w:rPr>
              <w:t xml:space="preserve">Carl </w:t>
            </w:r>
            <w:proofErr w:type="spellStart"/>
            <w:r w:rsidRPr="003F0BB9">
              <w:rPr>
                <w:sz w:val="22"/>
                <w:szCs w:val="22"/>
                <w:lang w:val="en-US"/>
              </w:rPr>
              <w:t>Nordblom</w:t>
            </w:r>
            <w:proofErr w:type="spellEnd"/>
            <w:r w:rsidRPr="003F0BB9">
              <w:rPr>
                <w:sz w:val="22"/>
                <w:szCs w:val="22"/>
                <w:lang w:val="en-US"/>
              </w:rPr>
              <w:t xml:space="preserve"> (M)</w:t>
            </w:r>
          </w:p>
        </w:tc>
        <w:tc>
          <w:tcPr>
            <w:tcW w:w="355" w:type="dxa"/>
            <w:tcBorders>
              <w:top w:val="single" w:sz="6" w:space="0" w:color="auto"/>
              <w:left w:val="single" w:sz="6" w:space="0" w:color="auto"/>
              <w:bottom w:val="single" w:sz="6" w:space="0" w:color="auto"/>
              <w:right w:val="single" w:sz="6" w:space="0" w:color="auto"/>
            </w:tcBorders>
          </w:tcPr>
          <w:p w14:paraId="00F9A18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3B6645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733AB6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4437F4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7737E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A81B7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503284D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3D1DFE9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BC0D2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51F43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A12309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6DF693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3D585E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517EDDF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28A50542"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672C7640" w14:textId="77777777" w:rsidR="001B435B" w:rsidRPr="003F0BB9" w:rsidRDefault="001B435B" w:rsidP="001B435B">
            <w:pPr>
              <w:rPr>
                <w:sz w:val="22"/>
                <w:szCs w:val="22"/>
                <w:lang w:val="en-US"/>
              </w:rPr>
            </w:pPr>
            <w:r w:rsidRPr="003F0BB9">
              <w:rPr>
                <w:sz w:val="22"/>
                <w:szCs w:val="22"/>
                <w:lang w:val="en-US"/>
              </w:rPr>
              <w:t xml:space="preserve">Rebecka Le </w:t>
            </w:r>
            <w:proofErr w:type="spellStart"/>
            <w:r w:rsidRPr="003F0BB9">
              <w:rPr>
                <w:sz w:val="22"/>
                <w:szCs w:val="22"/>
                <w:lang w:val="en-US"/>
              </w:rPr>
              <w:t>Moine</w:t>
            </w:r>
            <w:proofErr w:type="spellEnd"/>
            <w:r w:rsidRPr="003F0BB9">
              <w:rPr>
                <w:sz w:val="22"/>
                <w:szCs w:val="22"/>
                <w:lang w:val="en-US"/>
              </w:rPr>
              <w:t xml:space="preserve"> (MP)</w:t>
            </w:r>
          </w:p>
        </w:tc>
        <w:tc>
          <w:tcPr>
            <w:tcW w:w="355" w:type="dxa"/>
            <w:tcBorders>
              <w:top w:val="single" w:sz="6" w:space="0" w:color="auto"/>
              <w:left w:val="single" w:sz="6" w:space="0" w:color="auto"/>
              <w:bottom w:val="single" w:sz="6" w:space="0" w:color="auto"/>
              <w:right w:val="single" w:sz="6" w:space="0" w:color="auto"/>
            </w:tcBorders>
          </w:tcPr>
          <w:p w14:paraId="2FC160C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AA588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A123F2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190CAEE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9EAC9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4EBF3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80A95F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59272D25"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FBC22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551B1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AFD9DB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E987D8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B155EAA"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DDD94D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2368B0D2"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5DC76B13" w14:textId="77777777" w:rsidR="001B435B" w:rsidRPr="003F0BB9" w:rsidRDefault="001B435B" w:rsidP="001B435B">
            <w:pPr>
              <w:rPr>
                <w:sz w:val="22"/>
                <w:szCs w:val="22"/>
                <w:lang w:val="en-US"/>
              </w:rPr>
            </w:pPr>
          </w:p>
        </w:tc>
        <w:tc>
          <w:tcPr>
            <w:tcW w:w="355" w:type="dxa"/>
            <w:tcBorders>
              <w:top w:val="single" w:sz="6" w:space="0" w:color="auto"/>
              <w:left w:val="single" w:sz="6" w:space="0" w:color="auto"/>
              <w:bottom w:val="single" w:sz="6" w:space="0" w:color="auto"/>
              <w:right w:val="single" w:sz="6" w:space="0" w:color="auto"/>
            </w:tcBorders>
          </w:tcPr>
          <w:p w14:paraId="4663974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AFAE1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6FB7DCF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BA4B36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882DE1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8E0AD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741C94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51D331A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E23FE5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5E0944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3A4AD9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FA3B51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666571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F29031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4C86924D"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025440DC" w14:textId="77777777" w:rsidR="001B435B" w:rsidRPr="003F0BB9" w:rsidRDefault="001B435B" w:rsidP="001B435B">
            <w:pPr>
              <w:rPr>
                <w:sz w:val="22"/>
                <w:szCs w:val="22"/>
                <w:lang w:val="en-US"/>
              </w:rPr>
            </w:pPr>
            <w:r>
              <w:rPr>
                <w:b/>
                <w:i/>
                <w:sz w:val="22"/>
                <w:szCs w:val="22"/>
              </w:rPr>
              <w:t xml:space="preserve">EXTRA </w:t>
            </w:r>
            <w:r w:rsidRPr="003F0BB9">
              <w:rPr>
                <w:b/>
                <w:i/>
                <w:sz w:val="22"/>
                <w:szCs w:val="22"/>
              </w:rPr>
              <w:t>SUPPLEAN</w:t>
            </w:r>
            <w:r>
              <w:rPr>
                <w:b/>
                <w:i/>
                <w:sz w:val="22"/>
                <w:szCs w:val="22"/>
              </w:rPr>
              <w:t>T</w:t>
            </w:r>
          </w:p>
        </w:tc>
        <w:tc>
          <w:tcPr>
            <w:tcW w:w="355" w:type="dxa"/>
            <w:tcBorders>
              <w:top w:val="single" w:sz="6" w:space="0" w:color="auto"/>
              <w:left w:val="single" w:sz="6" w:space="0" w:color="auto"/>
              <w:bottom w:val="single" w:sz="6" w:space="0" w:color="auto"/>
              <w:right w:val="single" w:sz="6" w:space="0" w:color="auto"/>
            </w:tcBorders>
          </w:tcPr>
          <w:p w14:paraId="7548DFD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C0CDA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A9E11E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D209D8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485E7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D095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623D4AF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470D9B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5C227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A3B7F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0D4DB5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0F062D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10BB23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8C083A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7AA51C6A"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61A77EF8" w14:textId="77777777" w:rsidR="001B435B" w:rsidRPr="003F0BB9" w:rsidRDefault="001B435B" w:rsidP="001B435B">
            <w:pPr>
              <w:rPr>
                <w:sz w:val="22"/>
                <w:szCs w:val="22"/>
                <w:lang w:val="en-US"/>
              </w:rPr>
            </w:pPr>
            <w:r>
              <w:rPr>
                <w:sz w:val="22"/>
                <w:szCs w:val="22"/>
                <w:lang w:val="en-US"/>
              </w:rPr>
              <w:t>Lars Larsson (SD)</w:t>
            </w:r>
          </w:p>
        </w:tc>
        <w:tc>
          <w:tcPr>
            <w:tcW w:w="355" w:type="dxa"/>
            <w:tcBorders>
              <w:top w:val="single" w:sz="6" w:space="0" w:color="auto"/>
              <w:left w:val="single" w:sz="6" w:space="0" w:color="auto"/>
              <w:bottom w:val="single" w:sz="6" w:space="0" w:color="auto"/>
              <w:right w:val="single" w:sz="6" w:space="0" w:color="auto"/>
            </w:tcBorders>
          </w:tcPr>
          <w:p w14:paraId="71BED89E"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890E2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1F09F3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471A0CC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D680BE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9E455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71D6BD98"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563469C0"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C9DC9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1F7D2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D10BF7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68D4B6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593C50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0FB7AD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158AC99E" w14:textId="77777777" w:rsidTr="00945269">
        <w:tc>
          <w:tcPr>
            <w:tcW w:w="3433" w:type="dxa"/>
            <w:gridSpan w:val="2"/>
            <w:tcBorders>
              <w:top w:val="single" w:sz="6" w:space="0" w:color="auto"/>
              <w:left w:val="single" w:sz="6" w:space="0" w:color="auto"/>
              <w:bottom w:val="single" w:sz="6" w:space="0" w:color="auto"/>
              <w:right w:val="single" w:sz="6" w:space="0" w:color="auto"/>
            </w:tcBorders>
          </w:tcPr>
          <w:p w14:paraId="2B400E43" w14:textId="77777777" w:rsidR="001B435B" w:rsidRPr="003F0BB9" w:rsidRDefault="001B435B" w:rsidP="001B435B">
            <w:pPr>
              <w:rPr>
                <w:sz w:val="22"/>
                <w:szCs w:val="22"/>
                <w:lang w:val="en-US"/>
              </w:rPr>
            </w:pPr>
          </w:p>
        </w:tc>
        <w:tc>
          <w:tcPr>
            <w:tcW w:w="355" w:type="dxa"/>
            <w:tcBorders>
              <w:top w:val="single" w:sz="6" w:space="0" w:color="auto"/>
              <w:left w:val="single" w:sz="6" w:space="0" w:color="auto"/>
              <w:bottom w:val="single" w:sz="6" w:space="0" w:color="auto"/>
              <w:right w:val="single" w:sz="6" w:space="0" w:color="auto"/>
            </w:tcBorders>
          </w:tcPr>
          <w:p w14:paraId="536FEEA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822DC4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3C6A3DD4"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52D2CF4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66816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3801A0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64723EF3"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DE5DF06"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A9AE7D"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97CBEC"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87706C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94B1B37"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15FE58B"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6F5FA29"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B435B" w:rsidRPr="003F0BB9" w14:paraId="7DFE6EF0" w14:textId="77777777" w:rsidTr="00945269">
        <w:trPr>
          <w:trHeight w:val="263"/>
        </w:trPr>
        <w:tc>
          <w:tcPr>
            <w:tcW w:w="1836" w:type="dxa"/>
            <w:tcBorders>
              <w:top w:val="single" w:sz="4" w:space="0" w:color="auto"/>
              <w:left w:val="single" w:sz="4" w:space="0" w:color="auto"/>
              <w:bottom w:val="single" w:sz="4" w:space="0" w:color="auto"/>
              <w:right w:val="nil"/>
            </w:tcBorders>
            <w:hideMark/>
          </w:tcPr>
          <w:p w14:paraId="08657A4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N = Närvarande</w:t>
            </w:r>
          </w:p>
          <w:p w14:paraId="380FF0DF"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V = Votering</w:t>
            </w:r>
          </w:p>
        </w:tc>
        <w:tc>
          <w:tcPr>
            <w:tcW w:w="6660" w:type="dxa"/>
            <w:gridSpan w:val="15"/>
            <w:tcBorders>
              <w:top w:val="single" w:sz="4" w:space="0" w:color="auto"/>
              <w:left w:val="nil"/>
              <w:bottom w:val="single" w:sz="4" w:space="0" w:color="auto"/>
              <w:right w:val="single" w:sz="4" w:space="0" w:color="auto"/>
            </w:tcBorders>
            <w:hideMark/>
          </w:tcPr>
          <w:p w14:paraId="56986C02"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X = Ledamöter som deltagit i handläggningen</w:t>
            </w:r>
          </w:p>
          <w:p w14:paraId="30747021" w14:textId="77777777" w:rsidR="001B435B" w:rsidRPr="003F0BB9" w:rsidRDefault="001B435B" w:rsidP="001B4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O = Ledamöter som härutöver har varit närvarande</w:t>
            </w:r>
          </w:p>
        </w:tc>
      </w:tr>
    </w:tbl>
    <w:p w14:paraId="08BE8B0D" w14:textId="24079FF7" w:rsidR="00E4553B" w:rsidRDefault="00E4553B" w:rsidP="00E4553B">
      <w:pPr>
        <w:widowControl/>
        <w:rPr>
          <w:sz w:val="22"/>
          <w:szCs w:val="22"/>
        </w:rPr>
      </w:pPr>
    </w:p>
    <w:p w14:paraId="53908EF6" w14:textId="6622889D" w:rsidR="00E4553B" w:rsidRDefault="00E4553B">
      <w:pPr>
        <w:widowControl/>
        <w:spacing w:after="160" w:line="259" w:lineRule="auto"/>
        <w:rPr>
          <w:sz w:val="22"/>
          <w:szCs w:val="22"/>
        </w:rPr>
      </w:pPr>
      <w:r>
        <w:rPr>
          <w:sz w:val="22"/>
          <w:szCs w:val="22"/>
        </w:rPr>
        <w:br w:type="page"/>
      </w:r>
    </w:p>
    <w:p w14:paraId="55DFDB4E" w14:textId="5BF15537" w:rsidR="00E4553B" w:rsidRDefault="00E4553B" w:rsidP="00E4553B">
      <w:pPr>
        <w:widowControl/>
        <w:rPr>
          <w:b/>
          <w:bCs/>
          <w:sz w:val="22"/>
          <w:szCs w:val="22"/>
        </w:rPr>
      </w:pPr>
      <w:r w:rsidRPr="005E3207">
        <w:rPr>
          <w:b/>
          <w:bCs/>
          <w:sz w:val="22"/>
          <w:szCs w:val="22"/>
        </w:rPr>
        <w:lastRenderedPageBreak/>
        <w:t>Bilaga 2</w:t>
      </w:r>
    </w:p>
    <w:p w14:paraId="47EACB51" w14:textId="614A8A16" w:rsidR="00E4553B" w:rsidRDefault="00E4553B" w:rsidP="00E4553B">
      <w:pPr>
        <w:widowControl/>
        <w:rPr>
          <w:sz w:val="22"/>
          <w:szCs w:val="22"/>
        </w:rPr>
      </w:pPr>
    </w:p>
    <w:p w14:paraId="6EED0841" w14:textId="6E1B1A8A" w:rsidR="00E4553B" w:rsidRDefault="00E4553B" w:rsidP="00E4553B">
      <w:pPr>
        <w:widowControl/>
        <w:rPr>
          <w:sz w:val="22"/>
          <w:szCs w:val="22"/>
        </w:rPr>
      </w:pPr>
      <w:r w:rsidRPr="00E4553B">
        <w:rPr>
          <w:sz w:val="22"/>
          <w:szCs w:val="22"/>
        </w:rPr>
        <w:t xml:space="preserve">Regeringen välkomnar målsättningen med förslagen och bedömer att de, rätt genomförda, bidrar till att förbättra sjösäkerheten och skyddet för människa och miljö, moderniserar reglerna och stärker efterlevnaden av dem. Samtidigt måste de administrativa bördorna och kostnaderna som förslaget föranleder stå i proportion till nyttan och vara kostnadseffektiva. </w:t>
      </w:r>
    </w:p>
    <w:p w14:paraId="20D6054A" w14:textId="77777777" w:rsidR="00E4553B" w:rsidRPr="00E4553B" w:rsidRDefault="00E4553B" w:rsidP="00E4553B">
      <w:pPr>
        <w:widowControl/>
        <w:rPr>
          <w:sz w:val="22"/>
          <w:szCs w:val="22"/>
        </w:rPr>
      </w:pPr>
    </w:p>
    <w:p w14:paraId="166292A3" w14:textId="4D95A3C0" w:rsidR="00E4553B" w:rsidRDefault="00E4553B" w:rsidP="00E4553B">
      <w:pPr>
        <w:widowControl/>
        <w:rPr>
          <w:sz w:val="22"/>
          <w:szCs w:val="22"/>
        </w:rPr>
      </w:pPr>
      <w:r w:rsidRPr="00E4553B">
        <w:rPr>
          <w:sz w:val="22"/>
          <w:szCs w:val="22"/>
        </w:rPr>
        <w:t xml:space="preserve">Regeringen ser positivt på förslagen som syftar till att uppdatera definitioner och hänvisningar i direktiven och att ensa bestämmelserna till andra EU-regler eller internationella regler, bland annat från IMO och Paris </w:t>
      </w:r>
      <w:proofErr w:type="spellStart"/>
      <w:r w:rsidRPr="00E4553B">
        <w:rPr>
          <w:sz w:val="22"/>
          <w:szCs w:val="22"/>
        </w:rPr>
        <w:t>MoU</w:t>
      </w:r>
      <w:proofErr w:type="spellEnd"/>
      <w:r w:rsidRPr="00E4553B">
        <w:rPr>
          <w:sz w:val="22"/>
          <w:szCs w:val="22"/>
        </w:rPr>
        <w:t xml:space="preserve">. </w:t>
      </w:r>
    </w:p>
    <w:p w14:paraId="00B7DB9D" w14:textId="77777777" w:rsidR="00E4553B" w:rsidRPr="00E4553B" w:rsidRDefault="00E4553B" w:rsidP="00E4553B">
      <w:pPr>
        <w:widowControl/>
        <w:rPr>
          <w:sz w:val="22"/>
          <w:szCs w:val="22"/>
        </w:rPr>
      </w:pPr>
    </w:p>
    <w:p w14:paraId="5EA035C7" w14:textId="2870C7DD" w:rsidR="00E4553B" w:rsidRDefault="00E4553B" w:rsidP="00E4553B">
      <w:pPr>
        <w:widowControl/>
        <w:rPr>
          <w:sz w:val="22"/>
          <w:szCs w:val="22"/>
        </w:rPr>
      </w:pPr>
      <w:r w:rsidRPr="00E4553B">
        <w:rPr>
          <w:sz w:val="22"/>
          <w:szCs w:val="22"/>
        </w:rPr>
        <w:t xml:space="preserve">Vidare ser regeringen positivt på förslaget att utöka tillämpningsområdet för olycksutredningsdirektivet till fiskebåtar även under 15 meter. Det är oproblematiskt för svensk del då vi inte idag gör någon begränsning av utredningsskyldigheten kopplad till fartygets storlek. Med förslaget skapas ett incitament att även utreda olyckor med mindre fiskebåtar utan att detta görs obligatoriskt: en närmare granskning av sådana olyckor som resulterar i en formaliserad s.k. preliminär bedömning räcker. Vidare kommer denna typ av olyckor i fiskebåtssegmentet att fångas upp i statistiken, vilket på sikt skapar en grund för säkerhetsförbättringar inom området. </w:t>
      </w:r>
    </w:p>
    <w:p w14:paraId="09B03B1D" w14:textId="77777777" w:rsidR="00E4553B" w:rsidRPr="00E4553B" w:rsidRDefault="00E4553B" w:rsidP="00E4553B">
      <w:pPr>
        <w:widowControl/>
        <w:rPr>
          <w:sz w:val="22"/>
          <w:szCs w:val="22"/>
        </w:rPr>
      </w:pPr>
    </w:p>
    <w:p w14:paraId="433C06D5" w14:textId="48D86DA3" w:rsidR="00E4553B" w:rsidRDefault="00E4553B" w:rsidP="00E4553B">
      <w:pPr>
        <w:widowControl/>
        <w:rPr>
          <w:sz w:val="22"/>
          <w:szCs w:val="22"/>
        </w:rPr>
      </w:pPr>
      <w:r w:rsidRPr="00E4553B">
        <w:rPr>
          <w:sz w:val="22"/>
          <w:szCs w:val="22"/>
        </w:rPr>
        <w:t xml:space="preserve">När det gäller att inkludera fiskefartyg i hamnstatskontrollen på frivillig basis så kommer förutsättningarna för detta att tas fram i </w:t>
      </w:r>
      <w:proofErr w:type="spellStart"/>
      <w:r w:rsidRPr="00E4553B">
        <w:rPr>
          <w:sz w:val="22"/>
          <w:szCs w:val="22"/>
        </w:rPr>
        <w:t>genomförandeakter</w:t>
      </w:r>
      <w:proofErr w:type="spellEnd"/>
      <w:r w:rsidRPr="00E4553B">
        <w:rPr>
          <w:sz w:val="22"/>
          <w:szCs w:val="22"/>
        </w:rPr>
        <w:t xml:space="preserve">. Regeringens utgångspunkt är att en närmare analys av nytta och kostnader behöver göras i samband med det och att man bl.a. bör ta lärdom av den pågående försöksverksamheten inom Paris </w:t>
      </w:r>
      <w:proofErr w:type="spellStart"/>
      <w:r w:rsidRPr="00E4553B">
        <w:rPr>
          <w:sz w:val="22"/>
          <w:szCs w:val="22"/>
        </w:rPr>
        <w:t>MoU</w:t>
      </w:r>
      <w:proofErr w:type="spellEnd"/>
      <w:r w:rsidRPr="00E4553B">
        <w:rPr>
          <w:sz w:val="22"/>
          <w:szCs w:val="22"/>
        </w:rPr>
        <w:t xml:space="preserve">, för att bedöma hur ett proportionerligt genomförande ska kunna se ut. </w:t>
      </w:r>
    </w:p>
    <w:p w14:paraId="31F2DAD9" w14:textId="77777777" w:rsidR="00E4553B" w:rsidRPr="00E4553B" w:rsidRDefault="00E4553B" w:rsidP="00E4553B">
      <w:pPr>
        <w:widowControl/>
        <w:rPr>
          <w:sz w:val="22"/>
          <w:szCs w:val="22"/>
        </w:rPr>
      </w:pPr>
    </w:p>
    <w:p w14:paraId="70DEF6A9" w14:textId="6386FD6C" w:rsidR="00E4553B" w:rsidRDefault="00E4553B" w:rsidP="00E4553B">
      <w:pPr>
        <w:widowControl/>
        <w:rPr>
          <w:sz w:val="22"/>
          <w:szCs w:val="22"/>
        </w:rPr>
      </w:pPr>
      <w:r w:rsidRPr="00E4553B">
        <w:rPr>
          <w:sz w:val="22"/>
          <w:szCs w:val="22"/>
        </w:rPr>
        <w:t>Flera förslag förtydligar eller utökar EMSA:s stöd till medlemsstaterna. Det föreslås också att kommissionen ska ges en roll i IMO:s revision av staterna och att EMSA/kommissionen ska ges tillgång till omfattande data från staterna. I förslaget som gäller olycksutredningsdirektivet föreslås det även att den utredande myndigheten ska få tillgång till vissa funktioner även i den stat som har ett väsentligt intresse av händelsen. Regeringen anser att det är relevant att diskutera gränsdragningen och ansvarsfördelningen mellan kommissionen, EMSA och medlemsstaterna</w:t>
      </w:r>
    </w:p>
    <w:p w14:paraId="5D439E87" w14:textId="77777777" w:rsidR="00E4553B" w:rsidRPr="00E4553B" w:rsidRDefault="00E4553B" w:rsidP="00E4553B">
      <w:pPr>
        <w:widowControl/>
        <w:rPr>
          <w:sz w:val="22"/>
          <w:szCs w:val="22"/>
        </w:rPr>
      </w:pPr>
    </w:p>
    <w:p w14:paraId="34A9B711" w14:textId="062590D7" w:rsidR="00E4553B" w:rsidRDefault="00E4553B" w:rsidP="00E4553B">
      <w:pPr>
        <w:widowControl/>
        <w:rPr>
          <w:sz w:val="22"/>
          <w:szCs w:val="22"/>
        </w:rPr>
      </w:pPr>
      <w:r w:rsidRPr="00E4553B">
        <w:rPr>
          <w:sz w:val="22"/>
          <w:szCs w:val="22"/>
        </w:rPr>
        <w:t xml:space="preserve">Flera av förslagen som rör ändring av flaggstatsdirektivet ska närmare utvecklas i en ny högnivågrupp för flaggstatsfrågor och/eller i delegerade akter och genomförandakter. Regeringen anser att det bör bevakas vilka uppgifter gruppen tilldelas, hur beslutsfattandet sker och hur det säkerställs att medlemsstaterna är delaktiga och att nationella arbetsmarknadsmodeller respekteras. </w:t>
      </w:r>
    </w:p>
    <w:p w14:paraId="6A323BE1" w14:textId="77777777" w:rsidR="00E4553B" w:rsidRPr="00E4553B" w:rsidRDefault="00E4553B" w:rsidP="00E4553B">
      <w:pPr>
        <w:widowControl/>
        <w:rPr>
          <w:sz w:val="22"/>
          <w:szCs w:val="22"/>
        </w:rPr>
      </w:pPr>
    </w:p>
    <w:p w14:paraId="6DE0E2D0" w14:textId="4CB50E52" w:rsidR="00E4553B" w:rsidRDefault="00E4553B" w:rsidP="00E4553B">
      <w:pPr>
        <w:widowControl/>
        <w:rPr>
          <w:sz w:val="22"/>
          <w:szCs w:val="22"/>
        </w:rPr>
      </w:pPr>
      <w:r w:rsidRPr="00E4553B">
        <w:rPr>
          <w:sz w:val="22"/>
          <w:szCs w:val="22"/>
        </w:rPr>
        <w:t xml:space="preserve">Regeringen ser generellt positivt på förslag som bidrar till en ökad digitalisering. Det är dock viktigt att utvecklingen av de IT-system som behövs för utvecklingsarbetet är teknikneutral. Det är också viktigt att utformningen av IT-system, rapporteringskrav m.m. inte leder till en onödigt ökad administrativ börda för sjöfartsbranschen eller medlemsstaterna. </w:t>
      </w:r>
    </w:p>
    <w:p w14:paraId="58F343D1" w14:textId="77777777" w:rsidR="00E4553B" w:rsidRPr="00E4553B" w:rsidRDefault="00E4553B" w:rsidP="00E4553B">
      <w:pPr>
        <w:widowControl/>
        <w:rPr>
          <w:sz w:val="22"/>
          <w:szCs w:val="22"/>
        </w:rPr>
      </w:pPr>
    </w:p>
    <w:p w14:paraId="03A04896" w14:textId="676A2505" w:rsidR="00E4553B" w:rsidRDefault="00E4553B" w:rsidP="00E4553B">
      <w:pPr>
        <w:widowControl/>
        <w:rPr>
          <w:sz w:val="22"/>
          <w:szCs w:val="22"/>
        </w:rPr>
      </w:pPr>
      <w:r w:rsidRPr="00E4553B">
        <w:rPr>
          <w:sz w:val="22"/>
          <w:szCs w:val="22"/>
        </w:rPr>
        <w:t>Regeringen anser det vidare önskvärt att de rättsliga förutsättningarna för gränsöverskridande personuppgiftshantering, informationsutbyte och informationsägarskap klargörs på ett tidigt stadium, liksom hur dessa förslag förhåller sig till GDPR och svensk sekretesslagstiftning.</w:t>
      </w:r>
    </w:p>
    <w:p w14:paraId="13605706" w14:textId="77777777" w:rsidR="00E4553B" w:rsidRDefault="00E4553B" w:rsidP="00E4553B">
      <w:pPr>
        <w:widowControl/>
        <w:rPr>
          <w:sz w:val="22"/>
          <w:szCs w:val="22"/>
        </w:rPr>
      </w:pPr>
    </w:p>
    <w:p w14:paraId="6CBAB0D4" w14:textId="511EB657" w:rsidR="00E4553B" w:rsidRDefault="00E4553B">
      <w:pPr>
        <w:widowControl/>
        <w:spacing w:after="160" w:line="259" w:lineRule="auto"/>
        <w:rPr>
          <w:sz w:val="22"/>
          <w:szCs w:val="22"/>
        </w:rPr>
      </w:pPr>
      <w:r>
        <w:rPr>
          <w:sz w:val="22"/>
          <w:szCs w:val="22"/>
        </w:rPr>
        <w:br w:type="page"/>
      </w:r>
    </w:p>
    <w:p w14:paraId="2246153A" w14:textId="5ACBCD4E" w:rsidR="00E4553B" w:rsidRPr="00A21826" w:rsidRDefault="00E4553B" w:rsidP="00E4553B">
      <w:pPr>
        <w:widowControl/>
        <w:rPr>
          <w:b/>
          <w:bCs/>
          <w:sz w:val="22"/>
          <w:szCs w:val="22"/>
        </w:rPr>
      </w:pPr>
      <w:r w:rsidRPr="00A21826">
        <w:rPr>
          <w:b/>
          <w:bCs/>
          <w:sz w:val="22"/>
          <w:szCs w:val="22"/>
        </w:rPr>
        <w:lastRenderedPageBreak/>
        <w:t>Bilaga 3</w:t>
      </w:r>
    </w:p>
    <w:p w14:paraId="57901A40" w14:textId="212B7DEC" w:rsidR="00E4553B" w:rsidRDefault="00E4553B" w:rsidP="00E4553B">
      <w:pPr>
        <w:widowControl/>
        <w:rPr>
          <w:sz w:val="22"/>
          <w:szCs w:val="22"/>
        </w:rPr>
      </w:pPr>
    </w:p>
    <w:p w14:paraId="03866E65" w14:textId="5FFDB012" w:rsidR="00E4553B" w:rsidRDefault="00E4553B" w:rsidP="00E4553B">
      <w:pPr>
        <w:widowControl/>
        <w:rPr>
          <w:sz w:val="22"/>
          <w:szCs w:val="22"/>
        </w:rPr>
      </w:pPr>
      <w:r w:rsidRPr="00E4553B">
        <w:rPr>
          <w:sz w:val="22"/>
          <w:szCs w:val="22"/>
        </w:rPr>
        <w:t xml:space="preserve">Både skyddet av den marina miljön och av andra maritima näringar som kan skadas av utsläpp samt sjösäkerheten är högt prioriterade frågor för Sverige. </w:t>
      </w:r>
    </w:p>
    <w:p w14:paraId="2258885E" w14:textId="77777777" w:rsidR="00E4553B" w:rsidRPr="00E4553B" w:rsidRDefault="00E4553B" w:rsidP="00E4553B">
      <w:pPr>
        <w:widowControl/>
        <w:rPr>
          <w:sz w:val="22"/>
          <w:szCs w:val="22"/>
        </w:rPr>
      </w:pPr>
    </w:p>
    <w:p w14:paraId="5745D7DB" w14:textId="39745238" w:rsidR="00E4553B" w:rsidRDefault="00E4553B" w:rsidP="00E4553B">
      <w:pPr>
        <w:widowControl/>
        <w:rPr>
          <w:sz w:val="22"/>
          <w:szCs w:val="22"/>
        </w:rPr>
      </w:pPr>
      <w:r w:rsidRPr="00E4553B">
        <w:rPr>
          <w:sz w:val="22"/>
          <w:szCs w:val="22"/>
        </w:rPr>
        <w:t xml:space="preserve">Det är därför viktigt att effektiva åtgärder vidtas för att bekämpa fartygsföroreningar, vilka dessutom ofta får gränsöverskridande konsekvenser. Regeringen anser att förslaget bidrar till ovanstående. Regeringen välkomnar därför förslaget och dess målsättningar samt stödjer generellt dess utformning. </w:t>
      </w:r>
    </w:p>
    <w:p w14:paraId="3E83008A" w14:textId="77777777" w:rsidR="00E4553B" w:rsidRPr="00E4553B" w:rsidRDefault="00E4553B" w:rsidP="00E4553B">
      <w:pPr>
        <w:widowControl/>
        <w:rPr>
          <w:sz w:val="22"/>
          <w:szCs w:val="22"/>
        </w:rPr>
      </w:pPr>
    </w:p>
    <w:p w14:paraId="2D76CB1F" w14:textId="42B891F0" w:rsidR="00E4553B" w:rsidRDefault="00E4553B" w:rsidP="00E4553B">
      <w:pPr>
        <w:widowControl/>
        <w:rPr>
          <w:sz w:val="22"/>
          <w:szCs w:val="22"/>
        </w:rPr>
      </w:pPr>
      <w:r w:rsidRPr="00E4553B">
        <w:rPr>
          <w:sz w:val="22"/>
          <w:szCs w:val="22"/>
        </w:rPr>
        <w:t xml:space="preserve">Sverige bör bevaka så att de administrativa bördorna och kostnaderna som förslaget föranleder står i proportion till nyttan och är kostnadseffektiva. </w:t>
      </w:r>
    </w:p>
    <w:p w14:paraId="3DC37BEE" w14:textId="77777777" w:rsidR="00E4553B" w:rsidRPr="00E4553B" w:rsidRDefault="00E4553B" w:rsidP="00E4553B">
      <w:pPr>
        <w:widowControl/>
        <w:rPr>
          <w:sz w:val="22"/>
          <w:szCs w:val="22"/>
        </w:rPr>
      </w:pPr>
    </w:p>
    <w:p w14:paraId="1C8A7904" w14:textId="415B2094" w:rsidR="00E4553B" w:rsidRDefault="00E4553B" w:rsidP="00E4553B">
      <w:pPr>
        <w:widowControl/>
        <w:rPr>
          <w:sz w:val="22"/>
          <w:szCs w:val="22"/>
        </w:rPr>
      </w:pPr>
      <w:r w:rsidRPr="00E4553B">
        <w:rPr>
          <w:sz w:val="22"/>
          <w:szCs w:val="22"/>
        </w:rPr>
        <w:t>Eventuella kostnader som förslaget kan leda till för den nationella budgeten ska finansieras i linje med de principer om neutralitet för statens budget som riksdagen beslutat om (prop. 1994/95:40, bet. 1994/95FiU5, rskr. 1994/95:67). Om utgiftsdrivande åtgärder på EU-budgeten skulle bli aktuella ska dessa finansieras genom omprioriteringar i den fleråriga budgetramen (MFF)</w:t>
      </w:r>
    </w:p>
    <w:p w14:paraId="46C8D1F5" w14:textId="77777777" w:rsidR="00E4553B" w:rsidRDefault="00E4553B" w:rsidP="00E4553B">
      <w:pPr>
        <w:widowControl/>
        <w:rPr>
          <w:sz w:val="22"/>
          <w:szCs w:val="22"/>
        </w:rPr>
      </w:pPr>
    </w:p>
    <w:p w14:paraId="5489AA87" w14:textId="405FF1EE" w:rsidR="00E4553B" w:rsidRDefault="00E4553B">
      <w:pPr>
        <w:widowControl/>
        <w:spacing w:after="160" w:line="259" w:lineRule="auto"/>
        <w:rPr>
          <w:sz w:val="22"/>
          <w:szCs w:val="22"/>
        </w:rPr>
      </w:pPr>
      <w:r>
        <w:rPr>
          <w:sz w:val="22"/>
          <w:szCs w:val="22"/>
        </w:rPr>
        <w:br w:type="page"/>
      </w:r>
    </w:p>
    <w:p w14:paraId="3BD11F16" w14:textId="2077741B" w:rsidR="00E4553B" w:rsidRPr="00A21826" w:rsidRDefault="00E4553B" w:rsidP="00E4553B">
      <w:pPr>
        <w:widowControl/>
        <w:rPr>
          <w:b/>
          <w:bCs/>
          <w:sz w:val="22"/>
          <w:szCs w:val="22"/>
        </w:rPr>
      </w:pPr>
      <w:r w:rsidRPr="00A21826">
        <w:rPr>
          <w:b/>
          <w:bCs/>
          <w:sz w:val="22"/>
          <w:szCs w:val="22"/>
        </w:rPr>
        <w:lastRenderedPageBreak/>
        <w:t>Bilaga 4</w:t>
      </w:r>
    </w:p>
    <w:p w14:paraId="21AE029B" w14:textId="2BA6C322" w:rsidR="00E0676A" w:rsidRDefault="00E0676A" w:rsidP="00E4553B">
      <w:pPr>
        <w:widowControl/>
        <w:rPr>
          <w:sz w:val="22"/>
          <w:szCs w:val="22"/>
        </w:rPr>
      </w:pPr>
    </w:p>
    <w:p w14:paraId="4B1CCCC5" w14:textId="338859D1" w:rsidR="00E0676A" w:rsidRDefault="00E0676A" w:rsidP="00E0676A">
      <w:pPr>
        <w:widowControl/>
        <w:rPr>
          <w:sz w:val="22"/>
          <w:szCs w:val="22"/>
        </w:rPr>
      </w:pPr>
      <w:r w:rsidRPr="00E0676A">
        <w:rPr>
          <w:sz w:val="22"/>
          <w:szCs w:val="22"/>
        </w:rPr>
        <w:t>Regeringen är i huvudsak positivt inställd till kommissionens förslag. EMSA:s mandat bör uppdateras mot bakgrund av utvecklingen inom flera områden inom sjöfarten men även av administrativa skäl. EMSA har en viktig roll i det gemensamma arbetet för att framtidssäkra sjöfarten inom EU. Många av de åtgärder som föreslås i sjöfartspaketet behöver samordnas på EU-nivå och EMSA har visat sig lämpad att sköta den samordningen. Det är viktigt att utvecklingen av de IT-system som behövs för utvecklingsarbetet är teknikneutral (så att exempelvis fartyg inte tvingas installera nya system för att kunna bidra till EMSA:s datainsamling). Det är också viktigt att utformningen av IT-system, rapporteringskrav m.m. inte leder till en onödigt ökad administrativ börda för sjöfartsbranschen eller medlemsstaterna och att EMSA generellt sett arbetar för att de olika lösningarna och processerna är kostnadseffektiva.</w:t>
      </w:r>
    </w:p>
    <w:p w14:paraId="10EA7860" w14:textId="77777777" w:rsidR="00E0676A" w:rsidRPr="00E0676A" w:rsidRDefault="00E0676A" w:rsidP="00E0676A">
      <w:pPr>
        <w:widowControl/>
        <w:rPr>
          <w:sz w:val="22"/>
          <w:szCs w:val="22"/>
        </w:rPr>
      </w:pPr>
    </w:p>
    <w:p w14:paraId="3798CC7D" w14:textId="0E18BF5D" w:rsidR="00E0676A" w:rsidRDefault="00E0676A" w:rsidP="00E0676A">
      <w:pPr>
        <w:widowControl/>
        <w:rPr>
          <w:sz w:val="22"/>
          <w:szCs w:val="22"/>
        </w:rPr>
      </w:pPr>
      <w:r w:rsidRPr="00E0676A">
        <w:rPr>
          <w:sz w:val="22"/>
          <w:szCs w:val="22"/>
        </w:rPr>
        <w:t>Kommissionens förslag är neutralt i relation till EU:s budget vilket är en förutsättning i sammanhanget.</w:t>
      </w:r>
    </w:p>
    <w:p w14:paraId="66720702" w14:textId="77777777" w:rsidR="00E0676A" w:rsidRPr="00A30185" w:rsidRDefault="00E0676A" w:rsidP="00E0676A">
      <w:pPr>
        <w:widowControl/>
        <w:rPr>
          <w:sz w:val="22"/>
          <w:szCs w:val="22"/>
        </w:rPr>
      </w:pPr>
    </w:p>
    <w:sectPr w:rsidR="00E0676A" w:rsidRPr="00A30185">
      <w:pgSz w:w="11906" w:h="16838" w:code="9"/>
      <w:pgMar w:top="119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14"/>
    <w:rsid w:val="00027736"/>
    <w:rsid w:val="000351CD"/>
    <w:rsid w:val="0006043F"/>
    <w:rsid w:val="000668EB"/>
    <w:rsid w:val="00072835"/>
    <w:rsid w:val="00076B21"/>
    <w:rsid w:val="00094A50"/>
    <w:rsid w:val="000D5B1D"/>
    <w:rsid w:val="001B435B"/>
    <w:rsid w:val="00212062"/>
    <w:rsid w:val="0028015F"/>
    <w:rsid w:val="00280BC7"/>
    <w:rsid w:val="002B7046"/>
    <w:rsid w:val="002F6347"/>
    <w:rsid w:val="00325A53"/>
    <w:rsid w:val="0034038E"/>
    <w:rsid w:val="00362E91"/>
    <w:rsid w:val="0038361B"/>
    <w:rsid w:val="00386CC5"/>
    <w:rsid w:val="00397E05"/>
    <w:rsid w:val="00470A76"/>
    <w:rsid w:val="005315D0"/>
    <w:rsid w:val="00546BE4"/>
    <w:rsid w:val="00585C22"/>
    <w:rsid w:val="005B11D5"/>
    <w:rsid w:val="005D30DA"/>
    <w:rsid w:val="005E3207"/>
    <w:rsid w:val="006153DC"/>
    <w:rsid w:val="00643194"/>
    <w:rsid w:val="006C009E"/>
    <w:rsid w:val="006C2BDE"/>
    <w:rsid w:val="006D0C3E"/>
    <w:rsid w:val="006D3AF9"/>
    <w:rsid w:val="006E5EB4"/>
    <w:rsid w:val="00712851"/>
    <w:rsid w:val="007149F6"/>
    <w:rsid w:val="00715EB0"/>
    <w:rsid w:val="007B6A85"/>
    <w:rsid w:val="007C10AE"/>
    <w:rsid w:val="00874A67"/>
    <w:rsid w:val="00881887"/>
    <w:rsid w:val="008D3BE8"/>
    <w:rsid w:val="008E4777"/>
    <w:rsid w:val="008F5C48"/>
    <w:rsid w:val="0091628D"/>
    <w:rsid w:val="009168F6"/>
    <w:rsid w:val="00925EF5"/>
    <w:rsid w:val="00972155"/>
    <w:rsid w:val="00980BA4"/>
    <w:rsid w:val="009855B9"/>
    <w:rsid w:val="00A21826"/>
    <w:rsid w:val="00A2305A"/>
    <w:rsid w:val="00A30185"/>
    <w:rsid w:val="00A37376"/>
    <w:rsid w:val="00B01E8D"/>
    <w:rsid w:val="00B026D0"/>
    <w:rsid w:val="00D11614"/>
    <w:rsid w:val="00D66118"/>
    <w:rsid w:val="00D8468E"/>
    <w:rsid w:val="00DE3D8E"/>
    <w:rsid w:val="00E0676A"/>
    <w:rsid w:val="00E4553B"/>
    <w:rsid w:val="00E57ED0"/>
    <w:rsid w:val="00F063C4"/>
    <w:rsid w:val="00F10370"/>
    <w:rsid w:val="00F42833"/>
    <w:rsid w:val="00F66E5F"/>
    <w:rsid w:val="00FC3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DF91"/>
  <w15:chartTrackingRefBased/>
  <w15:docId w15:val="{5800F951-7596-478F-987E-95E657C4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614"/>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Oformateradtext">
    <w:name w:val="Plain Text"/>
    <w:basedOn w:val="Normal"/>
    <w:link w:val="OformateradtextChar"/>
    <w:uiPriority w:val="99"/>
    <w:unhideWhenUsed/>
    <w:rsid w:val="00D11614"/>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D11614"/>
    <w:rPr>
      <w:rFonts w:ascii="Calibri" w:hAnsi="Calibri"/>
      <w:szCs w:val="21"/>
      <w:lang w:val="sv-SE"/>
    </w:rPr>
  </w:style>
  <w:style w:type="character" w:styleId="Hyperlnk">
    <w:name w:val="Hyperlink"/>
    <w:basedOn w:val="Standardstycketeckensnitt"/>
    <w:uiPriority w:val="99"/>
    <w:semiHidden/>
    <w:unhideWhenUsed/>
    <w:rsid w:val="00FC31F9"/>
    <w:rPr>
      <w:color w:val="0563C1"/>
      <w:u w:val="single"/>
    </w:rPr>
  </w:style>
  <w:style w:type="paragraph" w:customStyle="1" w:styleId="s3">
    <w:name w:val="s3"/>
    <w:basedOn w:val="Normal"/>
    <w:rsid w:val="00FC31F9"/>
    <w:pPr>
      <w:widowControl/>
      <w:spacing w:before="100" w:beforeAutospacing="1" w:after="100" w:afterAutospacing="1"/>
    </w:pPr>
    <w:rPr>
      <w:rFonts w:ascii="Calibri" w:eastAsiaTheme="minorHAnsi" w:hAnsi="Calibri" w:cs="Calibri"/>
      <w:sz w:val="22"/>
      <w:szCs w:val="22"/>
    </w:rPr>
  </w:style>
  <w:style w:type="character" w:customStyle="1" w:styleId="s5">
    <w:name w:val="s5"/>
    <w:basedOn w:val="Standardstycketeckensnitt"/>
    <w:rsid w:val="00FC31F9"/>
  </w:style>
  <w:style w:type="character" w:customStyle="1" w:styleId="s2">
    <w:name w:val="s2"/>
    <w:basedOn w:val="Standardstycketeckensnitt"/>
    <w:rsid w:val="00FC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k0310ab\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DFCAE-02D3-4D9B-99F2-96307234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194</TotalTime>
  <Pages>8</Pages>
  <Words>1686</Words>
  <Characters>10422</Characters>
  <Application>Microsoft Office Word</Application>
  <DocSecurity>0</DocSecurity>
  <Lines>1302</Lines>
  <Paragraphs>302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Fredrik Björksten</cp:lastModifiedBy>
  <cp:revision>37</cp:revision>
  <cp:lastPrinted>2023-09-25T09:58:00Z</cp:lastPrinted>
  <dcterms:created xsi:type="dcterms:W3CDTF">2023-09-14T11:05:00Z</dcterms:created>
  <dcterms:modified xsi:type="dcterms:W3CDTF">2023-10-17T12:22:00Z</dcterms:modified>
</cp:coreProperties>
</file>